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2D0B" w14:paraId="69393150" w14:textId="77777777" w:rsidTr="0010095E">
        <w:trPr>
          <w:trHeight w:hRule="exact" w:val="1418"/>
        </w:trPr>
        <w:tc>
          <w:tcPr>
            <w:tcW w:w="6804" w:type="dxa"/>
            <w:shd w:val="clear" w:color="auto" w:fill="auto"/>
            <w:vAlign w:val="center"/>
          </w:tcPr>
          <w:p w14:paraId="3A8C695C" w14:textId="5013B1D5" w:rsidR="00751A4A" w:rsidRPr="00AD2D0B" w:rsidRDefault="00227099" w:rsidP="0010095E">
            <w:pPr>
              <w:pStyle w:val="EPName"/>
            </w:pPr>
            <w:r w:rsidRPr="00AD2D0B">
              <w:t>Европейски</w:t>
            </w:r>
            <w:r w:rsidR="00D90E07" w:rsidRPr="00AD2D0B">
              <w:t xml:space="preserve"> парламент</w:t>
            </w:r>
          </w:p>
          <w:p w14:paraId="37B2D407" w14:textId="160434D6" w:rsidR="00751A4A" w:rsidRPr="00AD2D0B" w:rsidRDefault="005F1B17" w:rsidP="005F1B17">
            <w:pPr>
              <w:pStyle w:val="EPTerm"/>
              <w:rPr>
                <w:rStyle w:val="HideTWBExt"/>
                <w:noProof w:val="0"/>
                <w:vanish w:val="0"/>
                <w:color w:val="auto"/>
              </w:rPr>
            </w:pPr>
            <w:r w:rsidRPr="00AD2D0B">
              <w:t>2024</w:t>
            </w:r>
            <w:r w:rsidR="00227099">
              <w:t> – </w:t>
            </w:r>
            <w:r w:rsidR="00817416" w:rsidRPr="00AD2D0B">
              <w:t>202</w:t>
            </w:r>
            <w:r w:rsidRPr="00AD2D0B">
              <w:t>9</w:t>
            </w:r>
          </w:p>
        </w:tc>
        <w:tc>
          <w:tcPr>
            <w:tcW w:w="2268" w:type="dxa"/>
            <w:shd w:val="clear" w:color="auto" w:fill="auto"/>
          </w:tcPr>
          <w:p w14:paraId="627CCFB5" w14:textId="77777777" w:rsidR="00751A4A" w:rsidRPr="00AD2D0B" w:rsidRDefault="00187494" w:rsidP="0010095E">
            <w:pPr>
              <w:pStyle w:val="EPLogo"/>
            </w:pPr>
            <w:r w:rsidRPr="00AD2D0B">
              <w:rPr>
                <w:noProof/>
                <w:lang w:eastAsia="ja-JP"/>
              </w:rPr>
              <w:drawing>
                <wp:inline distT="0" distB="0" distL="0" distR="0" wp14:anchorId="17997E5E" wp14:editId="76919D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25ACBE" w14:textId="77777777" w:rsidR="00D058B8" w:rsidRPr="00AD2D0B" w:rsidRDefault="00D058B8" w:rsidP="004C5D52">
      <w:pPr>
        <w:pStyle w:val="LineTop"/>
      </w:pPr>
    </w:p>
    <w:p w14:paraId="0A60D755" w14:textId="77777777" w:rsidR="00680577" w:rsidRPr="00AD2D0B" w:rsidRDefault="00D90E07" w:rsidP="00680577">
      <w:pPr>
        <w:pStyle w:val="EPBodyTA1"/>
      </w:pPr>
      <w:r w:rsidRPr="00AD2D0B">
        <w:t>ПРИЕТИ ТЕКСТОВЕ</w:t>
      </w:r>
    </w:p>
    <w:p w14:paraId="40319758" w14:textId="77777777" w:rsidR="00D058B8" w:rsidRPr="00AD2D0B" w:rsidRDefault="00D058B8" w:rsidP="00D058B8">
      <w:pPr>
        <w:pStyle w:val="LineBottom"/>
      </w:pPr>
    </w:p>
    <w:p w14:paraId="4987DF0A" w14:textId="3578CD1E" w:rsidR="00D90E07" w:rsidRPr="00AD2D0B" w:rsidRDefault="00D90E07" w:rsidP="00D90E07">
      <w:pPr>
        <w:pStyle w:val="ATHeading1"/>
      </w:pPr>
      <w:bookmarkStart w:id="0" w:name="TANumber"/>
      <w:r w:rsidRPr="00AD2D0B">
        <w:t>P10_TA(2025)0</w:t>
      </w:r>
      <w:r w:rsidR="00CD2205">
        <w:t>186</w:t>
      </w:r>
      <w:bookmarkEnd w:id="0"/>
    </w:p>
    <w:p w14:paraId="7C8454D3" w14:textId="77777777" w:rsidR="00D90E07" w:rsidRPr="00AD2D0B" w:rsidRDefault="00D90E07" w:rsidP="00D90E07">
      <w:pPr>
        <w:pStyle w:val="ATHeading2"/>
      </w:pPr>
      <w:bookmarkStart w:id="1" w:name="title"/>
      <w:r w:rsidRPr="00AD2D0B">
        <w:t>Роля на политиката на сближаване за подкрепа на справедливия преход</w:t>
      </w:r>
      <w:bookmarkEnd w:id="1"/>
    </w:p>
    <w:p w14:paraId="7BB72CD1" w14:textId="77777777" w:rsidR="00D90E07" w:rsidRPr="00AD2D0B" w:rsidRDefault="00D90E07" w:rsidP="00D90E07">
      <w:pPr>
        <w:rPr>
          <w:i/>
          <w:vanish/>
        </w:rPr>
      </w:pPr>
      <w:r w:rsidRPr="00AD2D0B">
        <w:rPr>
          <w:i/>
        </w:rPr>
        <w:fldChar w:fldCharType="begin"/>
      </w:r>
      <w:r w:rsidRPr="00AD2D0B">
        <w:rPr>
          <w:i/>
        </w:rPr>
        <w:instrText xml:space="preserve"> TC"(</w:instrText>
      </w:r>
      <w:bookmarkStart w:id="2" w:name="DocNumber"/>
      <w:r w:rsidRPr="00AD2D0B">
        <w:rPr>
          <w:i/>
        </w:rPr>
        <w:instrText>A10-0137/2025</w:instrText>
      </w:r>
      <w:bookmarkEnd w:id="2"/>
      <w:r w:rsidRPr="00AD2D0B">
        <w:rPr>
          <w:i/>
        </w:rPr>
        <w:instrText xml:space="preserve"> - Докладчик: Кирън Мълули)"\l3 \n&gt; \* MERGEFORMAT </w:instrText>
      </w:r>
      <w:r w:rsidRPr="00AD2D0B">
        <w:rPr>
          <w:i/>
        </w:rPr>
        <w:fldChar w:fldCharType="end"/>
      </w:r>
    </w:p>
    <w:p w14:paraId="3D3F4C08" w14:textId="77777777" w:rsidR="00D90E07" w:rsidRPr="00AD2D0B" w:rsidRDefault="00D90E07" w:rsidP="00D90E07">
      <w:pPr>
        <w:rPr>
          <w:vanish/>
        </w:rPr>
      </w:pPr>
      <w:bookmarkStart w:id="3" w:name="Commission"/>
      <w:r w:rsidRPr="00AD2D0B">
        <w:rPr>
          <w:vanish/>
        </w:rPr>
        <w:t>Комисия по регионално развитие</w:t>
      </w:r>
      <w:bookmarkEnd w:id="3"/>
    </w:p>
    <w:p w14:paraId="40549D5B" w14:textId="77777777" w:rsidR="00D90E07" w:rsidRPr="00AD2D0B" w:rsidRDefault="00D90E07" w:rsidP="00D90E07">
      <w:pPr>
        <w:rPr>
          <w:vanish/>
        </w:rPr>
      </w:pPr>
      <w:bookmarkStart w:id="4" w:name="PE"/>
      <w:r w:rsidRPr="00AD2D0B">
        <w:rPr>
          <w:vanish/>
        </w:rPr>
        <w:t>PE769.954</w:t>
      </w:r>
      <w:bookmarkEnd w:id="4"/>
    </w:p>
    <w:p w14:paraId="09258CB8" w14:textId="7492F3AD" w:rsidR="00D90E07" w:rsidRPr="00AD2D0B" w:rsidRDefault="00D90E07" w:rsidP="00D90E07">
      <w:pPr>
        <w:pStyle w:val="ATHeading3"/>
      </w:pPr>
      <w:bookmarkStart w:id="5" w:name="Sujet"/>
      <w:r w:rsidRPr="00AD2D0B">
        <w:t xml:space="preserve">Резолюция на Европейския парламент от </w:t>
      </w:r>
      <w:r w:rsidR="00CD2205">
        <w:t>10</w:t>
      </w:r>
      <w:r w:rsidR="00227099">
        <w:t xml:space="preserve"> септември</w:t>
      </w:r>
      <w:r w:rsidR="00227099" w:rsidRPr="00AD2D0B">
        <w:t xml:space="preserve"> </w:t>
      </w:r>
      <w:r w:rsidRPr="00AD2D0B">
        <w:t xml:space="preserve">2025 г. относно ролята на политиката на сближаване за подкрепа на справедливия преход </w:t>
      </w:r>
      <w:bookmarkStart w:id="6" w:name="References"/>
      <w:bookmarkEnd w:id="5"/>
      <w:r w:rsidRPr="00AD2D0B">
        <w:t>(2024/2121(INI))</w:t>
      </w:r>
      <w:bookmarkEnd w:id="6"/>
    </w:p>
    <w:p w14:paraId="26726F59" w14:textId="77777777" w:rsidR="00CB3833" w:rsidRPr="00AD2D0B" w:rsidRDefault="00CB3833" w:rsidP="00CB3833">
      <w:pPr>
        <w:pStyle w:val="EPComma"/>
      </w:pPr>
      <w:r w:rsidRPr="00AD2D0B">
        <w:rPr>
          <w:i/>
          <w:iCs/>
        </w:rPr>
        <w:t>Европейският парламент,</w:t>
      </w:r>
    </w:p>
    <w:p w14:paraId="0F266641" w14:textId="77777777" w:rsidR="00CB3833" w:rsidRPr="00AD2D0B" w:rsidRDefault="00CB3833" w:rsidP="00CB3833">
      <w:pPr>
        <w:pStyle w:val="NormalHanging12a"/>
      </w:pPr>
      <w:r w:rsidRPr="00AD2D0B">
        <w:t>–</w:t>
      </w:r>
      <w:r w:rsidRPr="00AD2D0B">
        <w:tab/>
        <w:t>като взе предвид членове 2 и 3 от Договора за Европейския съюз,</w:t>
      </w:r>
    </w:p>
    <w:p w14:paraId="4F2D7293" w14:textId="77777777" w:rsidR="00CB3833" w:rsidRPr="00AD2D0B" w:rsidRDefault="00CB3833" w:rsidP="00CB3833">
      <w:pPr>
        <w:pStyle w:val="NormalHanging12a"/>
      </w:pPr>
      <w:r w:rsidRPr="00AD2D0B">
        <w:t>–</w:t>
      </w:r>
      <w:r w:rsidRPr="00AD2D0B">
        <w:tab/>
        <w:t>като взе предвид членове 4, 9, 151, 153, 162, 174 – 178 и 349 от Договора за функционирането на Европейския съюз (ДФЕС),</w:t>
      </w:r>
    </w:p>
    <w:p w14:paraId="1D915CA1"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AD2D0B">
        <w:rPr>
          <w:rStyle w:val="FootnoteReference"/>
          <w:rFonts w:ascii="Times New Roman" w:eastAsia="Times New Roman" w:hAnsi="Times New Roman" w:cs="Times New Roman"/>
        </w:rPr>
        <w:footnoteReference w:id="1"/>
      </w:r>
      <w:r w:rsidRPr="00AD2D0B">
        <w:rPr>
          <w:rFonts w:ascii="Times New Roman" w:hAnsi="Times New Roman"/>
        </w:rPr>
        <w:t>,</w:t>
      </w:r>
    </w:p>
    <w:p w14:paraId="6C9B3D30" w14:textId="77777777" w:rsidR="00CB3833" w:rsidRPr="00AD2D0B" w:rsidRDefault="00CB3833" w:rsidP="00CB3833">
      <w:pPr>
        <w:pStyle w:val="NormalHanging12a"/>
      </w:pPr>
      <w:r w:rsidRPr="00AD2D0B">
        <w:t>–</w:t>
      </w:r>
      <w:r w:rsidRPr="00AD2D0B">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AD2D0B">
        <w:rPr>
          <w:vertAlign w:val="superscript"/>
        </w:rPr>
        <w:footnoteReference w:id="2"/>
      </w:r>
      <w:r w:rsidRPr="00AD2D0B">
        <w:t>,</w:t>
      </w:r>
    </w:p>
    <w:p w14:paraId="1A875D31" w14:textId="77777777" w:rsidR="00CB3833" w:rsidRPr="00AD2D0B" w:rsidRDefault="00CB3833" w:rsidP="00CB3833">
      <w:pPr>
        <w:pStyle w:val="NormalHanging12a"/>
      </w:pPr>
      <w:r w:rsidRPr="00AD2D0B">
        <w:t>–</w:t>
      </w:r>
      <w:r w:rsidRPr="00AD2D0B">
        <w:tab/>
        <w:t>като взе предвид Регламент (ЕС) 2021/1056 на Европейския парламент и на Съвета от 24 юни 2021 г. за създаване на Фонда за справедлив преход</w:t>
      </w:r>
      <w:r w:rsidRPr="00AD2D0B">
        <w:rPr>
          <w:rStyle w:val="FootnoteReference"/>
        </w:rPr>
        <w:footnoteReference w:id="3"/>
      </w:r>
      <w:r w:rsidRPr="00AD2D0B">
        <w:t>,</w:t>
      </w:r>
    </w:p>
    <w:p w14:paraId="560ED2ED" w14:textId="77777777" w:rsidR="00CB3833" w:rsidRPr="00AD2D0B" w:rsidRDefault="00CB3833" w:rsidP="00CB3833">
      <w:pPr>
        <w:pStyle w:val="NormalHanging12a"/>
      </w:pPr>
      <w:r w:rsidRPr="00AD2D0B">
        <w:t>–</w:t>
      </w:r>
      <w:r w:rsidRPr="00AD2D0B">
        <w:tab/>
        <w:t>като взе предвид Регламент (ЕС) 2021/1057 на Европейския парламент и на Съвета от 24 юни 2021 г. за създаване на Европейския социален фонд плюс (ЕСФ+) и за отмяна на Регламент (ЕС) № 1296/2013</w:t>
      </w:r>
      <w:r w:rsidRPr="00AD2D0B">
        <w:rPr>
          <w:rStyle w:val="FootnoteReference"/>
        </w:rPr>
        <w:footnoteReference w:id="4"/>
      </w:r>
      <w:r w:rsidRPr="00AD2D0B">
        <w:t>,</w:t>
      </w:r>
    </w:p>
    <w:p w14:paraId="11BEBBCC" w14:textId="77777777" w:rsidR="00CB3833" w:rsidRPr="00AD2D0B" w:rsidRDefault="00CB3833" w:rsidP="00CB3833">
      <w:pPr>
        <w:pStyle w:val="NormalHanging12a"/>
      </w:pPr>
      <w:r w:rsidRPr="00AD2D0B">
        <w:t>–</w:t>
      </w:r>
      <w:r w:rsidRPr="00AD2D0B">
        <w:tab/>
        <w:t xml:space="preserve">като взе предвид Регламент (ЕС) 2021/1058 на Европейския парламент и на Съвета от 24 юни 2021 г. относно Европейския фонд за регионално развитие и </w:t>
      </w:r>
      <w:r w:rsidRPr="00AD2D0B">
        <w:lastRenderedPageBreak/>
        <w:t>относно Кохезионния фонд</w:t>
      </w:r>
      <w:r w:rsidRPr="00AD2D0B">
        <w:rPr>
          <w:rStyle w:val="FootnoteReference"/>
        </w:rPr>
        <w:footnoteReference w:id="5"/>
      </w:r>
      <w:r w:rsidRPr="00AD2D0B">
        <w:t>,</w:t>
      </w:r>
    </w:p>
    <w:p w14:paraId="5D373196" w14:textId="77777777" w:rsidR="00CB3833" w:rsidRPr="00AD2D0B" w:rsidRDefault="00CB3833" w:rsidP="00CB3833">
      <w:pPr>
        <w:pStyle w:val="NormalHanging12a"/>
      </w:pPr>
      <w:r w:rsidRPr="00AD2D0B">
        <w:t>–</w:t>
      </w:r>
      <w:r w:rsidRPr="00AD2D0B">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(Регламент за общоприложимите разпоредби)</w:t>
      </w:r>
      <w:r w:rsidRPr="00AD2D0B">
        <w:rPr>
          <w:rStyle w:val="FootnoteReference"/>
        </w:rPr>
        <w:footnoteReference w:id="6"/>
      </w:r>
      <w:r w:rsidRPr="00AD2D0B">
        <w:t>,</w:t>
      </w:r>
    </w:p>
    <w:p w14:paraId="29763557" w14:textId="77777777" w:rsidR="00CB3833" w:rsidRPr="00AD2D0B" w:rsidRDefault="00CB3833" w:rsidP="00CB3833">
      <w:pPr>
        <w:pStyle w:val="NormalHanging12a"/>
      </w:pPr>
      <w:r w:rsidRPr="00AD2D0B">
        <w:t>–</w:t>
      </w:r>
      <w:r w:rsidRPr="00AD2D0B">
        <w:tab/>
        <w:t>като взе предвид Регламент (EС)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AD2D0B">
        <w:rPr>
          <w:rStyle w:val="FootnoteReference"/>
        </w:rPr>
        <w:footnoteReference w:id="7"/>
      </w:r>
      <w:r w:rsidRPr="00AD2D0B">
        <w:t xml:space="preserve"> цел за намаляване на нетните емисии на парникови газове с най-малко 55% до 2030 г. в сравнение с равнищата от 1990 г.,</w:t>
      </w:r>
    </w:p>
    <w:p w14:paraId="36E90906"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Регламент (ЕС) 2024/1735 на Европейския парламент и на Съвета от 13 юни 2024 г.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w:t>
      </w:r>
      <w:r w:rsidRPr="00AD2D0B">
        <w:rPr>
          <w:rStyle w:val="FootnoteReference"/>
          <w:rFonts w:ascii="Times New Roman" w:eastAsia="Times New Roman" w:hAnsi="Times New Roman" w:cs="Times New Roman"/>
        </w:rPr>
        <w:footnoteReference w:id="8"/>
      </w:r>
      <w:r w:rsidRPr="00AD2D0B">
        <w:rPr>
          <w:rFonts w:ascii="Times New Roman" w:hAnsi="Times New Roman"/>
        </w:rPr>
        <w:t>,</w:t>
      </w:r>
    </w:p>
    <w:p w14:paraId="250BEA6C"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своята резолюция от 25 март 2021 г. относно политиката на сближаване и регионалните стратегии за околната среда в борбата с изменението на климата</w:t>
      </w:r>
      <w:r w:rsidRPr="00AD2D0B">
        <w:rPr>
          <w:rStyle w:val="FootnoteReference"/>
          <w:rFonts w:ascii="Times New Roman" w:eastAsia="Times New Roman" w:hAnsi="Times New Roman" w:cs="Times New Roman"/>
        </w:rPr>
        <w:footnoteReference w:id="9"/>
      </w:r>
      <w:r w:rsidRPr="00AD2D0B">
        <w:rPr>
          <w:rFonts w:ascii="Times New Roman" w:hAnsi="Times New Roman"/>
        </w:rPr>
        <w:t>,</w:t>
      </w:r>
    </w:p>
    <w:p w14:paraId="552CF066"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своята резолюция от 20 май 2021 г. относно обръщането на демографските тенденции в регионите на ЕС чрез използване на инструментите на политиката на сближаване</w:t>
      </w:r>
      <w:r w:rsidRPr="00AD2D0B">
        <w:rPr>
          <w:rStyle w:val="FootnoteReference"/>
          <w:rFonts w:ascii="Times New Roman" w:eastAsia="Times New Roman" w:hAnsi="Times New Roman" w:cs="Times New Roman"/>
        </w:rPr>
        <w:footnoteReference w:id="10"/>
      </w:r>
      <w:r w:rsidRPr="00AD2D0B">
        <w:rPr>
          <w:rFonts w:ascii="Times New Roman" w:hAnsi="Times New Roman"/>
        </w:rPr>
        <w:t>,</w:t>
      </w:r>
    </w:p>
    <w:p w14:paraId="380F579D"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своята резолюция от 7 юни 2022 г. относно островите на ЕС и политиката на сближаване, настоящо положение и бъдещи предизвикателства</w:t>
      </w:r>
      <w:r w:rsidRPr="00AD2D0B">
        <w:rPr>
          <w:rStyle w:val="FootnoteReference"/>
          <w:rFonts w:ascii="Times New Roman" w:eastAsia="Times New Roman" w:hAnsi="Times New Roman" w:cs="Times New Roman"/>
        </w:rPr>
        <w:footnoteReference w:id="11"/>
      </w:r>
      <w:r w:rsidRPr="00AD2D0B">
        <w:rPr>
          <w:rFonts w:ascii="Times New Roman" w:hAnsi="Times New Roman"/>
        </w:rPr>
        <w:t>,</w:t>
      </w:r>
    </w:p>
    <w:p w14:paraId="3FA104B7" w14:textId="77777777" w:rsidR="00CB3833" w:rsidRPr="00AD2D0B" w:rsidRDefault="00CB3833" w:rsidP="00CB3833">
      <w:pPr>
        <w:pStyle w:val="NormalHanging12a"/>
      </w:pPr>
      <w:r w:rsidRPr="00AD2D0B">
        <w:t>–</w:t>
      </w:r>
      <w:r w:rsidRPr="00AD2D0B">
        <w:tab/>
        <w:t>като взе предвид своята резолюция от 15 септември 2022 г. относно икономическото, социалното и териториалното сближаване в ЕС: осми доклад за сближаването</w:t>
      </w:r>
      <w:r w:rsidRPr="00AD2D0B">
        <w:rPr>
          <w:rStyle w:val="FootnoteReference"/>
        </w:rPr>
        <w:footnoteReference w:id="12"/>
      </w:r>
      <w:r w:rsidRPr="00AD2D0B">
        <w:t>,</w:t>
      </w:r>
    </w:p>
    <w:p w14:paraId="1F3EC2CA" w14:textId="77777777" w:rsidR="00CB3833" w:rsidRPr="00AD2D0B" w:rsidRDefault="00CB3833" w:rsidP="00CB3833">
      <w:pPr>
        <w:pStyle w:val="NormalHanging12a"/>
      </w:pPr>
      <w:r w:rsidRPr="00AD2D0B">
        <w:t>–</w:t>
      </w:r>
      <w:r w:rsidRPr="00AD2D0B">
        <w:tab/>
        <w:t>като взе предвид своята резолюция от 23 ноември 2023 г. относно създаването на работни места – справедлив преход и инвестиции с положително въздействие</w:t>
      </w:r>
      <w:r w:rsidRPr="00AD2D0B">
        <w:rPr>
          <w:vertAlign w:val="superscript"/>
        </w:rPr>
        <w:footnoteReference w:id="13"/>
      </w:r>
      <w:r w:rsidRPr="00AD2D0B">
        <w:t>,</w:t>
      </w:r>
    </w:p>
    <w:p w14:paraId="45C37ED9" w14:textId="77777777" w:rsidR="00CB3833" w:rsidRPr="00AD2D0B" w:rsidRDefault="00CB3833" w:rsidP="00CB3833">
      <w:pPr>
        <w:pStyle w:val="NormalHanging12a"/>
      </w:pPr>
      <w:r w:rsidRPr="00AD2D0B">
        <w:t>–</w:t>
      </w:r>
      <w:r w:rsidRPr="00AD2D0B">
        <w:tab/>
        <w:t xml:space="preserve">като взе предвид своята резолюцията от 23 ноември 2023 г. относно оптимално </w:t>
      </w:r>
      <w:r w:rsidRPr="00AD2D0B">
        <w:lastRenderedPageBreak/>
        <w:t>използване на талантите в регионите на Европа</w:t>
      </w:r>
      <w:r w:rsidRPr="00AD2D0B">
        <w:rPr>
          <w:rStyle w:val="FootnoteReference"/>
        </w:rPr>
        <w:footnoteReference w:id="14"/>
      </w:r>
      <w:r w:rsidRPr="00AD2D0B">
        <w:t>,</w:t>
      </w:r>
    </w:p>
    <w:p w14:paraId="77E61EE6" w14:textId="77777777" w:rsidR="00CB3833" w:rsidRPr="00AD2D0B" w:rsidRDefault="00CB3833" w:rsidP="00CB3833">
      <w:pPr>
        <w:pStyle w:val="NormalHanging12a"/>
      </w:pPr>
      <w:r w:rsidRPr="00AD2D0B">
        <w:t>–</w:t>
      </w:r>
      <w:r w:rsidRPr="00AD2D0B">
        <w:tab/>
        <w:t>като взе предвид своята резолюция от 12 декември 2023 г. относно преструктурирането на бъдещата рамка на структурните фондове на ЕС в подкрепа на регионите, които са особено засегнати от предизвикателствата, свързани с прехода в автомобилостроенето, екологичния и цифровия преход</w:t>
      </w:r>
      <w:r w:rsidRPr="00AD2D0B">
        <w:rPr>
          <w:rStyle w:val="FootnoteReference"/>
        </w:rPr>
        <w:footnoteReference w:id="15"/>
      </w:r>
      <w:r w:rsidRPr="00AD2D0B">
        <w:t>,</w:t>
      </w:r>
    </w:p>
    <w:p w14:paraId="523C561D" w14:textId="77777777" w:rsidR="00CB3833" w:rsidRPr="00AD2D0B" w:rsidRDefault="00CB3833" w:rsidP="00CB3833">
      <w:pPr>
        <w:pStyle w:val="NormalHanging12a"/>
      </w:pPr>
      <w:r w:rsidRPr="00AD2D0B">
        <w:t>–</w:t>
      </w:r>
      <w:r w:rsidRPr="00AD2D0B">
        <w:tab/>
        <w:t>като взе предвид своята резолюция от 14 март 2024 г., озаглавена „Политиката на сближаване за периода 2014 – 2020 г. – изпълнение и резултати в държавите членки“</w:t>
      </w:r>
      <w:r w:rsidRPr="00AD2D0B">
        <w:rPr>
          <w:rStyle w:val="FootnoteReference"/>
        </w:rPr>
        <w:footnoteReference w:id="16"/>
      </w:r>
      <w:r w:rsidRPr="00AD2D0B">
        <w:t>,</w:t>
      </w:r>
    </w:p>
    <w:p w14:paraId="6FC07A69"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Парижкото споразумение, прието на 21-вата конференция на страните по Рамковата конвенция на ООН по изменение на климата (COP21) в Париж на 12 декември 2015 г.,</w:t>
      </w:r>
    </w:p>
    <w:p w14:paraId="46251338"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Териториалната програма за 2030 г.: бъдеще за всички територии, приета на 1 декември 2020 г. на неформалната среща на министрите по въпросите на териториалното устройство, териториалното развитие и/или териториалното сближаване,</w:t>
      </w:r>
    </w:p>
    <w:p w14:paraId="175F159A" w14:textId="1E9856D0" w:rsidR="00CB3833" w:rsidRPr="00AD2D0B" w:rsidRDefault="003C18F3" w:rsidP="00CB3833">
      <w:pPr>
        <w:pStyle w:val="NoSpacing"/>
        <w:tabs>
          <w:tab w:val="left" w:pos="0"/>
        </w:tabs>
        <w:spacing w:after="240"/>
        <w:ind w:left="567" w:hanging="567"/>
        <w:rPr>
          <w:rFonts w:ascii="Times New Roman" w:eastAsia="Times New Roman" w:hAnsi="Times New Roman" w:cs="Times New Roman"/>
        </w:rPr>
      </w:pPr>
      <w:r w:rsidRPr="00AD2D0B">
        <w:rPr>
          <w:rFonts w:ascii="Times New Roman" w:hAnsi="Times New Roman"/>
        </w:rPr>
        <w:t>–</w:t>
      </w:r>
      <w:r w:rsidR="00CB3833" w:rsidRPr="00AD2D0B">
        <w:tab/>
      </w:r>
      <w:r w:rsidR="00CB3833" w:rsidRPr="00AD2D0B">
        <w:rPr>
          <w:rFonts w:ascii="Times New Roman" w:hAnsi="Times New Roman"/>
        </w:rPr>
        <w:t>като взе предвид съобщението на Комисията от 4 март 2021 г. относно плана за действие на Европейския стълб на социалните права (COM(2021)0102),</w:t>
      </w:r>
    </w:p>
    <w:p w14:paraId="35CC68A6" w14:textId="77777777" w:rsidR="00CB3833" w:rsidRPr="00AD2D0B" w:rsidRDefault="00CB3833" w:rsidP="00CB3833">
      <w:pPr>
        <w:pStyle w:val="NoSpacing"/>
        <w:tabs>
          <w:tab w:val="left" w:pos="567"/>
        </w:tabs>
        <w:spacing w:after="240"/>
        <w:ind w:left="567" w:hanging="567"/>
        <w:rPr>
          <w:rFonts w:ascii="Times New Roman" w:eastAsia="Times New Roman" w:hAnsi="Times New Roman" w:cs="Times New Roman"/>
        </w:rPr>
      </w:pPr>
      <w:r w:rsidRPr="00AD2D0B">
        <w:rPr>
          <w:rFonts w:ascii="Symbol" w:hAnsi="Symbol"/>
        </w:rPr>
        <w:t></w:t>
      </w:r>
      <w:r w:rsidRPr="00AD2D0B">
        <w:rPr>
          <w:rFonts w:ascii="Symbol" w:hAnsi="Symbol"/>
        </w:rPr>
        <w:tab/>
      </w:r>
      <w:r w:rsidRPr="00AD2D0B">
        <w:rPr>
          <w:rFonts w:ascii="Times New Roman" w:hAnsi="Times New Roman"/>
        </w:rPr>
        <w:t>като взе предвид съобщението на Комисията от 14 юли 2021 г., озаглавено „Подготвени за цел 55“ („Fit for 55“): постигане на целта на ЕС в областта на климата до 2030 г. по пътя към неутралност по отношение на климата“ (COM(2021)0550),</w:t>
      </w:r>
    </w:p>
    <w:p w14:paraId="7DD76884" w14:textId="77777777" w:rsidR="00CB3833" w:rsidRPr="00AD2D0B" w:rsidRDefault="00CB3833" w:rsidP="00CB3833">
      <w:pPr>
        <w:pStyle w:val="NormalHanging12a"/>
      </w:pPr>
      <w:r w:rsidRPr="00AD2D0B">
        <w:t>–</w:t>
      </w:r>
      <w:r w:rsidRPr="00AD2D0B">
        <w:tab/>
        <w:t>като взе предвид доклада на Комисията от февруари 2024 г., озаглавен „Изграждане на устойчиво бъдеще заедно: сближаване за конкурентоспособна и приобщаваща Европа: доклад на групата на високо равнище относно бъдещето на политиката на сближаване“,</w:t>
      </w:r>
    </w:p>
    <w:p w14:paraId="4BD18358" w14:textId="77777777" w:rsidR="00CB3833" w:rsidRPr="00AD2D0B" w:rsidRDefault="00CB3833" w:rsidP="00CB3833">
      <w:pPr>
        <w:pStyle w:val="NormalHanging12a"/>
      </w:pPr>
      <w:r w:rsidRPr="00AD2D0B">
        <w:t>–</w:t>
      </w:r>
      <w:r w:rsidRPr="00AD2D0B">
        <w:tab/>
        <w:t>като взе предвид съобщението на Комисията от 27 март 2024 г. относно Деветия доклад за сближаването (COM(2024)0149),</w:t>
      </w:r>
    </w:p>
    <w:p w14:paraId="3FA89651" w14:textId="77777777" w:rsidR="00CB3833" w:rsidRPr="00AD2D0B" w:rsidRDefault="00CB3833" w:rsidP="00CB3833">
      <w:pPr>
        <w:pStyle w:val="NoSpacing"/>
        <w:tabs>
          <w:tab w:val="left" w:pos="709"/>
        </w:tabs>
        <w:spacing w:after="240"/>
        <w:ind w:left="567" w:hanging="567"/>
        <w:rPr>
          <w:rFonts w:ascii="Times New Roman" w:eastAsia="Times New Roman" w:hAnsi="Times New Roman" w:cs="Times New Roman"/>
        </w:rPr>
      </w:pPr>
      <w:r w:rsidRPr="00AD2D0B">
        <w:t>–</w:t>
      </w:r>
      <w:r w:rsidRPr="00AD2D0B">
        <w:tab/>
      </w:r>
      <w:r w:rsidRPr="00AD2D0B">
        <w:rPr>
          <w:rFonts w:ascii="Times New Roman" w:hAnsi="Times New Roman"/>
        </w:rPr>
        <w:t>като взе предвид съобщението на Комисията от 26 февруари 2025 г., озаглавено „Пактът за чиста промишленост: съвместна пътна карта за конкурентоспособност и декарбонизация“ (COM(2025)0085),</w:t>
      </w:r>
    </w:p>
    <w:p w14:paraId="419B88FA" w14:textId="55472309" w:rsidR="00CB3833" w:rsidRPr="00AD2D0B" w:rsidRDefault="00CB3833" w:rsidP="00CD2205">
      <w:pPr>
        <w:pStyle w:val="NoSpacing"/>
        <w:tabs>
          <w:tab w:val="left" w:pos="0"/>
        </w:tabs>
        <w:spacing w:after="240"/>
        <w:ind w:left="567" w:hanging="567"/>
        <w:rPr>
          <w:rFonts w:ascii="Times New Roman" w:eastAsia="Times New Roman" w:hAnsi="Times New Roman" w:cs="Times New Roman"/>
        </w:rPr>
      </w:pPr>
      <w:r w:rsidRPr="00AD2D0B">
        <w:rPr>
          <w:rFonts w:ascii="Times New Roman" w:hAnsi="Times New Roman"/>
        </w:rPr>
        <w:t>–</w:t>
      </w:r>
      <w:r w:rsidRPr="00AD2D0B">
        <w:rPr>
          <w:rFonts w:ascii="Times New Roman" w:hAnsi="Times New Roman"/>
        </w:rPr>
        <w:tab/>
        <w:t>като взе предвид съобщението на Комисията от 5 март 2025 г., озаглавено „Съюз на уменията“ (COM(2025)0090),</w:t>
      </w:r>
    </w:p>
    <w:p w14:paraId="06E2B9B6" w14:textId="77777777" w:rsidR="00CB3833" w:rsidRPr="00AD2D0B" w:rsidRDefault="00CB3833" w:rsidP="00CB3833">
      <w:pPr>
        <w:pStyle w:val="NormalHanging12a"/>
      </w:pPr>
      <w:r w:rsidRPr="00AD2D0B">
        <w:t>–</w:t>
      </w:r>
      <w:r w:rsidRPr="00AD2D0B">
        <w:tab/>
        <w:t>като взе предвид становището на Европейския комитет на регионите от 8 октомври 2024 г., озаглавено „Справедлив преход за всички региони на ЕС“</w:t>
      </w:r>
      <w:r w:rsidRPr="00AD2D0B">
        <w:rPr>
          <w:rStyle w:val="FootnoteReference"/>
        </w:rPr>
        <w:footnoteReference w:id="17"/>
      </w:r>
      <w:r w:rsidRPr="00AD2D0B">
        <w:t>,</w:t>
      </w:r>
    </w:p>
    <w:p w14:paraId="42FB3B42" w14:textId="77777777" w:rsidR="00CB3833" w:rsidRPr="00AD2D0B" w:rsidRDefault="00CB3833" w:rsidP="00CB3833">
      <w:pPr>
        <w:pStyle w:val="NormalHanging12a"/>
      </w:pPr>
      <w:r w:rsidRPr="00AD2D0B">
        <w:t>–</w:t>
      </w:r>
      <w:r w:rsidRPr="00AD2D0B">
        <w:tab/>
        <w:t xml:space="preserve">като взе предвид становището на Европейския комитет на регионите от 21 </w:t>
      </w:r>
      <w:r w:rsidRPr="00AD2D0B">
        <w:lastRenderedPageBreak/>
        <w:t>ноември 2024 г., озаглавено „Обновена политика на сближаване след 2027 г., при която никой няма да бъде изоставен“</w:t>
      </w:r>
      <w:r w:rsidRPr="00AD2D0B">
        <w:rPr>
          <w:rStyle w:val="FootnoteReference"/>
        </w:rPr>
        <w:footnoteReference w:id="18"/>
      </w:r>
      <w:r w:rsidRPr="00AD2D0B">
        <w:t>,</w:t>
      </w:r>
    </w:p>
    <w:p w14:paraId="3B1D1909" w14:textId="77777777" w:rsidR="00CB3833" w:rsidRPr="00AD2D0B" w:rsidRDefault="00CB3833" w:rsidP="00CB3833">
      <w:pPr>
        <w:pStyle w:val="NormalHanging12a"/>
      </w:pPr>
      <w:r w:rsidRPr="00AD2D0B">
        <w:t>–</w:t>
      </w:r>
      <w:r w:rsidRPr="00AD2D0B">
        <w:tab/>
        <w:t>като взе предвид доклада на Енрико Лета от 17 април 2024 г., озаглавен „Much more than a market – Speed, security, solidarity: empowering the Single Market to deliver a sustainable future and prosperity for all EU Citizens“ (Много повече от пазар – скорост, сигурност, солидарност: овластяване на единния пазар за осигуряване на устойчиво бъдеще и просперитет за всички граждани на ЕС),</w:t>
      </w:r>
    </w:p>
    <w:p w14:paraId="665641BD" w14:textId="77777777" w:rsidR="00CB3833" w:rsidRPr="00AD2D0B" w:rsidRDefault="00CB3833" w:rsidP="00CB3833">
      <w:pPr>
        <w:pStyle w:val="NormalHanging12a"/>
      </w:pPr>
      <w:r w:rsidRPr="00AD2D0B">
        <w:t>–</w:t>
      </w:r>
      <w:r w:rsidRPr="00AD2D0B">
        <w:tab/>
        <w:t>като взе предвид доклада на Марио Драги от 9 септември 2024 г., озаглавен „The future of European competitiveness“ (Бъдещето на европейската конкурентоспособност),</w:t>
      </w:r>
    </w:p>
    <w:p w14:paraId="1624D6D7" w14:textId="77777777" w:rsidR="00CB3833" w:rsidRPr="00AD2D0B" w:rsidRDefault="00CB3833" w:rsidP="00CB3833">
      <w:pPr>
        <w:pStyle w:val="NormalHanging12a"/>
      </w:pPr>
      <w:r w:rsidRPr="00AD2D0B">
        <w:t>–</w:t>
      </w:r>
      <w:r w:rsidRPr="00AD2D0B">
        <w:tab/>
        <w:t>като взе предвид член 55 от своя Правилник за дейността,</w:t>
      </w:r>
    </w:p>
    <w:p w14:paraId="1E52AE27" w14:textId="77777777" w:rsidR="00CB3833" w:rsidRPr="00AD2D0B" w:rsidRDefault="00CB3833" w:rsidP="00CB3833">
      <w:pPr>
        <w:pStyle w:val="NormalHanging12a"/>
      </w:pPr>
      <w:r w:rsidRPr="00AD2D0B">
        <w:t>–</w:t>
      </w:r>
      <w:r w:rsidRPr="00AD2D0B">
        <w:tab/>
        <w:t>като взе предвид становището на комисията по заетост и социални въпроси,</w:t>
      </w:r>
    </w:p>
    <w:p w14:paraId="64EFE2E9" w14:textId="77777777" w:rsidR="00CB3833" w:rsidRPr="00AD2D0B" w:rsidRDefault="00CB3833" w:rsidP="00CB3833">
      <w:pPr>
        <w:pStyle w:val="NoSpacing"/>
        <w:widowControl w:val="0"/>
        <w:tabs>
          <w:tab w:val="left" w:pos="567"/>
        </w:tabs>
        <w:spacing w:after="240"/>
        <w:ind w:left="567" w:hanging="567"/>
        <w:rPr>
          <w:rFonts w:ascii="Times New Roman" w:eastAsia="Times New Roman" w:hAnsi="Times New Roman" w:cs="Times New Roman"/>
        </w:rPr>
      </w:pPr>
      <w:r w:rsidRPr="00AD2D0B">
        <w:t>–</w:t>
      </w:r>
      <w:r w:rsidRPr="00AD2D0B">
        <w:tab/>
      </w:r>
      <w:r w:rsidRPr="00AD2D0B">
        <w:rPr>
          <w:rFonts w:ascii="Times New Roman" w:hAnsi="Times New Roman"/>
        </w:rPr>
        <w:t>като взе предвид доклада на комисията по регионално развитие (A10-0137/2025),</w:t>
      </w:r>
    </w:p>
    <w:p w14:paraId="0D450FE2" w14:textId="77777777" w:rsidR="00CB3833" w:rsidRPr="00AD2D0B" w:rsidRDefault="00CB3833" w:rsidP="00CB3833">
      <w:pPr>
        <w:pStyle w:val="NormalHanging12a"/>
        <w:rPr>
          <w:szCs w:val="24"/>
        </w:rPr>
      </w:pPr>
      <w:r w:rsidRPr="00AD2D0B">
        <w:t>А.</w:t>
      </w:r>
      <w:r w:rsidRPr="00AD2D0B">
        <w:tab/>
        <w:t>като има предвид, че амбициозната цел за преминаване към неутрална по отношение на въглеродните емисии икономика не по-късно от 2050 г. има потенциала да генерира значителни икономически, екологични и социални ползи, включително създаването на нови отрасли, възможности за работа и подобрено качество на живот; като има предвид, че в същото време този преход може също така да изостри съществуващите различия между регионите, като засегне непропорционално уязвимите групи от населението поради социално-икономически фактори, възпрепятстващи способността им да се възползват от прехода, и като създаде нови уязвимости, особено в регионите, които са силно зависими от въглеродно интензивни промишлени отрасли, включително въгледобивните региони;</w:t>
      </w:r>
    </w:p>
    <w:p w14:paraId="2D7F05DA" w14:textId="77777777" w:rsidR="00CB3833" w:rsidRPr="00AD2D0B" w:rsidRDefault="00CB3833" w:rsidP="00CB3833">
      <w:pPr>
        <w:pStyle w:val="NormalHanging12a"/>
        <w:rPr>
          <w:b/>
          <w:i/>
        </w:rPr>
      </w:pPr>
      <w:r w:rsidRPr="00AD2D0B">
        <w:t>Б.</w:t>
      </w:r>
      <w:r w:rsidRPr="00AD2D0B">
        <w:tab/>
        <w:t>като има предвид, че регионите на ЕС се различават значително по отношение на социално-икономическите си характеристики, с различни равнища на развитие, инфраструктура, демографски тенденции и условия на пазара на труда, и че е очевидно, че не съществува универсално решение, което да е в състояние да отговори адекватно на техните разнородни нужди; като има предвид, че по-слабо развитите региони обикновено страдат в по-голяма степен от прехода в сравнение с по-силно развитите региони;</w:t>
      </w:r>
    </w:p>
    <w:p w14:paraId="7D10513C" w14:textId="77777777" w:rsidR="00CB3833" w:rsidRPr="00AD2D0B" w:rsidRDefault="00CB3833" w:rsidP="00CB3833">
      <w:pPr>
        <w:pStyle w:val="NormalHanging12a"/>
        <w:rPr>
          <w:b/>
          <w:i/>
          <w:szCs w:val="24"/>
        </w:rPr>
      </w:pPr>
      <w:r w:rsidRPr="00AD2D0B">
        <w:t>В.</w:t>
      </w:r>
      <w:r w:rsidRPr="00AD2D0B">
        <w:rPr>
          <w:b/>
          <w:i/>
        </w:rPr>
        <w:tab/>
      </w:r>
      <w:r w:rsidRPr="00AD2D0B">
        <w:t xml:space="preserve">като има предвид, че продължават да съществуват различия в скоростта на цифровия преход и свързаността в Европа, особено в селските и отдалечените региони; като има предвид, че редица засегнати региони не разполагат с основна инфраструктура и основни услуги, което затруднява привличането на продуктивни инвестиции, водещи до устойчиво икономическо възстановяване; като има предвид, че са необходими повече инвестиции за ускоряване на прехода към устойчива и интелигентна мобилност и за модернизиране и диверсифициране на инфраструктурните системи с цел подобряване на достъпността, насърчаване на иновациите и подпомагане на прехода към по-екологична икономика; като има предвид, че политиката на сближаване следва да играе стратегическа роля за </w:t>
      </w:r>
      <w:r w:rsidRPr="00AD2D0B">
        <w:lastRenderedPageBreak/>
        <w:t>преодоляване на тези пропуски, насърчаване на териториалното сближаване и гарантиране, че нито един регион няма да бъде изоставен в прехода;</w:t>
      </w:r>
    </w:p>
    <w:p w14:paraId="76097137" w14:textId="77777777" w:rsidR="00CB3833" w:rsidRPr="00AD2D0B" w:rsidRDefault="00CB3833" w:rsidP="00CB3833">
      <w:pPr>
        <w:pStyle w:val="NormalHanging12a"/>
      </w:pPr>
      <w:r w:rsidRPr="00AD2D0B">
        <w:t>Г.</w:t>
      </w:r>
      <w:r w:rsidRPr="00AD2D0B">
        <w:rPr>
          <w:b/>
          <w:i/>
        </w:rPr>
        <w:tab/>
      </w:r>
      <w:r w:rsidRPr="00AD2D0B">
        <w:t xml:space="preserve">като има предвид, че много от най-бедните и най-уязвимите региони са разположени в източната част на ЕС; като има предвид, че войната в Украйна оказва допълнително отрицателно въздействие върху тези региони; </w:t>
      </w:r>
    </w:p>
    <w:p w14:paraId="63494616" w14:textId="77777777" w:rsidR="00CB3833" w:rsidRPr="00AD2D0B" w:rsidRDefault="00CB3833" w:rsidP="00CB3833">
      <w:pPr>
        <w:pStyle w:val="NormalHanging12a"/>
        <w:rPr>
          <w:b/>
          <w:i/>
        </w:rPr>
      </w:pPr>
      <w:r w:rsidRPr="00AD2D0B">
        <w:t>Д.</w:t>
      </w:r>
      <w:r w:rsidRPr="00AD2D0B">
        <w:rPr>
          <w:b/>
          <w:i/>
        </w:rPr>
        <w:tab/>
      </w:r>
      <w:r w:rsidRPr="00AD2D0B">
        <w:t>като има предвид, че физическото изключване и изолацията на островите от континента представляват трайно структурно неблагоприятно положение, което засяга множество аспекти на икономическия и социалния живот, включително достъпа до пазара на труда, образованието, здравеопазването, мобилността и обществените услуги; като има предвид, че ограничената територия на островите значително ограничава възможностите за професионално повишаване на квалификацията и преквалификация, като по този начин ограничава способността на работниците да се адаптират към структурни или секторни промени, като например тези, породени от екологичния и цифровия преход; като има предвид, че в много случаи тази липса на алтернативи принуждава работниците да напуснат родните си региони, за да получат достъп до възможности за заетост другаде, което на практика подкопава тяхното „право на престой“ и допринася за обезлюдяването и изтичането на мозъци в островните територии;</w:t>
      </w:r>
    </w:p>
    <w:p w14:paraId="0D12A49E" w14:textId="77777777" w:rsidR="00CB3833" w:rsidRPr="00AD2D0B" w:rsidRDefault="00CB3833" w:rsidP="00CB3833">
      <w:pPr>
        <w:pStyle w:val="NormalHanging12a"/>
        <w:rPr>
          <w:szCs w:val="24"/>
        </w:rPr>
      </w:pPr>
      <w:r w:rsidRPr="00AD2D0B">
        <w:t>Е.</w:t>
      </w:r>
      <w:r w:rsidRPr="00AD2D0B">
        <w:tab/>
        <w:t>като има предвид, че Фондът на ЕС за справедлив преход (ФСП) е и следва да продължи да бъде важен инструмент, за да се гарантира, че хората, живеещи в териториите, засегнати от прехода към неутралност по отношение на климата, няма да бъдат изоставени, и за да се допринесе за постигането на целта да се даде възможност на регионите и хората да се справят със социалните, свързаните със заетостта, икономическите и екологичните въздействия на прехода; като има предвид, че степента на усвояване остава твърде ниска на този етап от програмния период;</w:t>
      </w:r>
    </w:p>
    <w:p w14:paraId="1F420716" w14:textId="77777777" w:rsidR="00CB3833" w:rsidRPr="00AD2D0B" w:rsidRDefault="00CB3833" w:rsidP="00CB3833">
      <w:pPr>
        <w:pStyle w:val="NormalHanging12a"/>
      </w:pPr>
      <w:r w:rsidRPr="00AD2D0B">
        <w:t>Ж.</w:t>
      </w:r>
      <w:r w:rsidRPr="00AD2D0B">
        <w:tab/>
        <w:t>като има предвид, че преходът към нисковъглеродна икономика, глобалната криза, свързана с климата и замърсяването на околната среда с въздействието им върху прехраната, образованието и здравето също представляват криза на правата на детето в различните региони на ЕС и че трябва да се предприемат ефективни и значителни мерки, за да се гарантира, че децата и бъдещите поколения растат с достойнство и са в състояние да се квалифицират за бъдещия пазар на специализиран труд;</w:t>
      </w:r>
    </w:p>
    <w:p w14:paraId="4316879F" w14:textId="77777777" w:rsidR="00CB3833" w:rsidRPr="00AD2D0B" w:rsidRDefault="00CB3833" w:rsidP="00CB3833">
      <w:pPr>
        <w:pStyle w:val="NormalHanging12a"/>
      </w:pPr>
      <w:r w:rsidRPr="00AD2D0B">
        <w:t>З.</w:t>
      </w:r>
      <w:r w:rsidRPr="00AD2D0B">
        <w:tab/>
        <w:t>като има предвид, че препоръките към държавите членки за цялостна стратегия с подходящи бюджетни кредити за борба с бедността, особено на семействата и децата в ЕС, и политиките и действията за тяхното прилагане насърчават задълбочаването на вътрешния пазар и напредъка в постигането на икономическо, социално и териториално сближаване и подкрепят целта на Комисията за конкурентоспособна и приобщаваща Европа на регионалното многообразие;</w:t>
      </w:r>
    </w:p>
    <w:p w14:paraId="525DB42E" w14:textId="77777777" w:rsidR="00CB3833" w:rsidRPr="00AD2D0B" w:rsidRDefault="00CB3833" w:rsidP="00CB3833">
      <w:pPr>
        <w:pStyle w:val="NormalHanging12a"/>
      </w:pPr>
      <w:r w:rsidRPr="00AD2D0B">
        <w:t>И.</w:t>
      </w:r>
      <w:r w:rsidRPr="00AD2D0B">
        <w:tab/>
        <w:t xml:space="preserve">като има предвид, че понастоящем Европа е изправена пред недостиг на работна сила и умения, възпрепятстващи конкурентоспособността на Съюза, както беше посочено в докладите на Драги и Лета; като има предвид, че децентрализацията на промишленото и технологичното развитие и инвестициите в регионите, засегнати от прехода, могат да спомогнат за справяне с този недостиг, но изискват достатъчно инвестиции в съпътстващи обществени услуги и инфраструктура, като </w:t>
      </w:r>
      <w:r w:rsidRPr="00AD2D0B">
        <w:lastRenderedPageBreak/>
        <w:t>например жилища, образование и транспорт;</w:t>
      </w:r>
    </w:p>
    <w:p w14:paraId="6FD6253F" w14:textId="77777777" w:rsidR="00CB3833" w:rsidRPr="00AD2D0B" w:rsidRDefault="00CB3833" w:rsidP="00CB3833">
      <w:pPr>
        <w:pStyle w:val="NormalHanging12a"/>
        <w:rPr>
          <w:szCs w:val="24"/>
        </w:rPr>
      </w:pPr>
      <w:r w:rsidRPr="00AD2D0B">
        <w:t>Й.</w:t>
      </w:r>
      <w:r w:rsidRPr="00AD2D0B">
        <w:tab/>
        <w:t>като има предвид, че редица отрасли, които са най-силно засегнати от декарбонизацията, бяха изправени пред неблагоприятни условия на труд и зависимост от сезонни работници; като има предвид, че екологичният и цифровият преход трябва да вървят ръка за ръка със социалната справедливост; като има предвид, че справедливият преход следва да спомогне за справяне с дискриминацията на работното място, гарантиране на достойни и качествени условия на труд, повишаване на трудовите стандарти и гарантиране на ефективни защитни мрежи и механизми за защита на работниците, чиито работни места са засегнати;</w:t>
      </w:r>
    </w:p>
    <w:p w14:paraId="055FC83E" w14:textId="77777777" w:rsidR="00CB3833" w:rsidRPr="00AD2D0B" w:rsidRDefault="00CB3833" w:rsidP="00CB3833">
      <w:pPr>
        <w:pStyle w:val="NormalHanging12a"/>
      </w:pPr>
      <w:r w:rsidRPr="00AD2D0B">
        <w:t>К.</w:t>
      </w:r>
      <w:r w:rsidRPr="00AD2D0B">
        <w:tab/>
        <w:t>като има предвид, че туризмът е ключов сектор на икономиката на ЕС, който пряко и косвено допринася за над 10% от БВП на ЕС и играе жизненоважна роля за повишаване на конкурентоспособността, социалното благосъстояние и създаването на устойчиви работни места, особено в регионите, които са силно зависими от туризма; като има предвид, че туризмът има потенциала да допринесе значително за териториалното сближаване, особено в отдалечените, селските, крайбрежните, най-отдалечените и островните региони, и може да подкрепи икономическата диверсификация и справедливия преход в районите, изправени пред структурни предизвикателства, намаляване на населението или зависимост от отрасли с висок въглероден интензитет; като има предвид, че туристическият сектор на ЕС, съставен предимно от 2,3 милиона малки и средни предприятия (МСП(, осигурява заетост на приблизително 12,3 милиона души и представлява основна икономическа дейност със силен мултиплициращ ефект в различни сектори; като има предвид, че политиката на сближаване следва да подкрепя стратегиите за устойчив туризъм като част от справедливия преход, като насърчава устойчивостта, иновациите, екологичната и цифровата трансформация в сектора на туризма, като същевременно насърчава приобщаващия растеж и опазването на културното и природното наследство;</w:t>
      </w:r>
    </w:p>
    <w:p w14:paraId="4691AACB" w14:textId="77777777" w:rsidR="00CB3833" w:rsidRPr="00AD2D0B" w:rsidRDefault="00CB3833" w:rsidP="00CB3833">
      <w:pPr>
        <w:pStyle w:val="NormalHanging12a"/>
      </w:pPr>
      <w:r w:rsidRPr="00AD2D0B">
        <w:t>Л.</w:t>
      </w:r>
      <w:r w:rsidRPr="00AD2D0B">
        <w:tab/>
        <w:t>като има предвид, че за разлика от основните си конкуренти, ЕС е световен лидер в намаляването на емисиите, като същевременно се справя с много предизвикателства, породени от сложния глобален геополитически и икономически контекст;</w:t>
      </w:r>
    </w:p>
    <w:p w14:paraId="5D521765" w14:textId="77777777" w:rsidR="00CB3833" w:rsidRPr="00AD2D0B" w:rsidRDefault="00CB3833" w:rsidP="00CB3833">
      <w:pPr>
        <w:pStyle w:val="NormalHanging12a"/>
      </w:pPr>
      <w:r w:rsidRPr="00AD2D0B">
        <w:t>М.</w:t>
      </w:r>
      <w:r w:rsidRPr="00AD2D0B">
        <w:tab/>
        <w:t>като има предвид, че процесът на енергиен преход следва да върви ръка за ръка с икономическата конкурентоспособност и като има предвид, че е от съществено значение да се защити енергийната сигурност на регионите в преход;</w:t>
      </w:r>
    </w:p>
    <w:p w14:paraId="31585BE1" w14:textId="77777777" w:rsidR="00CB3833" w:rsidRPr="00AD2D0B" w:rsidRDefault="00CB3833" w:rsidP="00CB3833">
      <w:pPr>
        <w:pStyle w:val="NormalHanging12a"/>
      </w:pPr>
      <w:r w:rsidRPr="00AD2D0B">
        <w:t>Н.</w:t>
      </w:r>
      <w:r w:rsidRPr="00AD2D0B">
        <w:tab/>
        <w:t>като има предвид, че ядрената енергия е включена в зелената таксономия и като има предвид, че поради това тя допринася за прехода към декарбонизирана икономика; като има предвид, че повече инвестиции в тази енергийна форма биха спомогнали за постигането на стратегическата автономност на ЕС и за целите за намаляване на въглеродните емисии; като има предвид освен това, че този енергиен източник би бил ефективен заместител по отношение на енергийните характеристики, създаването на работни места и икономическия растеж в регионите в преход;</w:t>
      </w:r>
    </w:p>
    <w:p w14:paraId="25C98694" w14:textId="77777777" w:rsidR="00CB3833" w:rsidRPr="00AD2D0B" w:rsidRDefault="00CB3833" w:rsidP="00CB3833">
      <w:pPr>
        <w:pStyle w:val="NormalHanging12a"/>
      </w:pPr>
      <w:r w:rsidRPr="00AD2D0B">
        <w:t>О.</w:t>
      </w:r>
      <w:r w:rsidRPr="00AD2D0B">
        <w:tab/>
        <w:t>като има предвид, че европейският континент се затопля по-бързо от останалите части от света и рисковете, породени от изменението на климата, стават по-</w:t>
      </w:r>
      <w:r w:rsidRPr="00AD2D0B">
        <w:lastRenderedPageBreak/>
        <w:t>сложни и пораждат по-големи предизвикателства;</w:t>
      </w:r>
    </w:p>
    <w:p w14:paraId="3F3CAC50" w14:textId="77777777" w:rsidR="00CB3833" w:rsidRPr="00AD2D0B" w:rsidRDefault="00CB3833" w:rsidP="00CB3833">
      <w:pPr>
        <w:pStyle w:val="NormalHanging12a"/>
        <w:rPr>
          <w:b/>
          <w:i/>
        </w:rPr>
      </w:pPr>
      <w:r w:rsidRPr="00AD2D0B">
        <w:t>П.</w:t>
      </w:r>
      <w:r w:rsidRPr="00AD2D0B">
        <w:rPr>
          <w:b/>
          <w:i/>
        </w:rPr>
        <w:tab/>
      </w:r>
      <w:r w:rsidRPr="00AD2D0B">
        <w:t>като има предвид, че особено внимание и подкрепа трябва да бъдат насочени към уязвимото положение на островите и островните и най-отдалечените региони, като се имат предвид сериозните социално-икономически предизвикателства, пред които те са изправени при прехода към енергийните цели на ЕС за 2030 г. и целта за неутрална по отношение на климата икономика до 2050 г.; като има предвид, че съществуващите едновременно неблагоприятни условия на островите, произтичащи от островния характер, съчетани със сериозното въздействие на кризата в областта на климата, поставят техните граждани в допълнително неравностойно положение, което изостря съществуващите социални и икономически различия; като има предвид, че все по-честите екстремни метеорологични явления и природни бедствия, като например суши, наводнения и горски пожари, допълнително увеличават различията в развитието и възпрепятстват напредъка в устойчивото развитие на островните региони на ЕС;</w:t>
      </w:r>
    </w:p>
    <w:p w14:paraId="15AB5D05" w14:textId="77777777" w:rsidR="00CB3833" w:rsidRPr="00AD2D0B" w:rsidRDefault="00CB3833" w:rsidP="00CB3833">
      <w:pPr>
        <w:pStyle w:val="NormalHanging12a"/>
        <w:rPr>
          <w:szCs w:val="24"/>
        </w:rPr>
      </w:pPr>
      <w:r w:rsidRPr="00AD2D0B">
        <w:t>Р.</w:t>
      </w:r>
      <w:r w:rsidRPr="00AD2D0B">
        <w:tab/>
        <w:t>като има предвид, че без подходящо внимание и финансова подкрепа регионите, които преди са били зависими от производството на енергия, включително производство на торф, миннодобивни дейности и процеси на рафиниране, както и други силно индустриализирани региони, са изправени пред риск от икономически упадък, намаляващ тяхната конкурентоспособност; като има предвид, че тези райони често са изправени пред демографски предизвикателства, като например трайно обезлюдяване, по-специално в селските райони, островите и най-отдалечените региони, както и ограничен достъп до инвестиции, недостатъчна инфраструктура, недостатъчна свързаност и нарастваща разлика в производителността и възможностите за заетост в сравнение с по-динамичните региони; като има предвид, че те изискват всеобхватна подкрепа и специфични стратегии за преобразуване, за да превърнат тези предизвикателства във възможности;</w:t>
      </w:r>
    </w:p>
    <w:p w14:paraId="6A1C4821" w14:textId="77777777" w:rsidR="00CB3833" w:rsidRPr="00AD2D0B" w:rsidRDefault="00CB3833" w:rsidP="00CB3833">
      <w:pPr>
        <w:pStyle w:val="NormalHanging12a"/>
        <w:rPr>
          <w:szCs w:val="24"/>
        </w:rPr>
      </w:pPr>
      <w:r w:rsidRPr="00AD2D0B">
        <w:t>С.</w:t>
      </w:r>
      <w:r w:rsidRPr="00AD2D0B">
        <w:tab/>
        <w:t>като има предвид, че ефективността на стратегиите за справедлив преход зависи от съгласуваното и стратегическо използване на финансовите инструменти на ЕС; като има предвид, че поради това е от съществено значение да се поддържа териториален и ориентиран към местните условия подход за териториалните планове за справедлив преход, като се гарантира участието на регионалните и местните органи в разработването на стратегии „отдолу нагоре“ за териториите, обхванати от програмата;</w:t>
      </w:r>
    </w:p>
    <w:p w14:paraId="5A08067C" w14:textId="77777777" w:rsidR="00CB3833" w:rsidRPr="00AD2D0B" w:rsidRDefault="00CB3833" w:rsidP="00CB3833">
      <w:pPr>
        <w:pStyle w:val="NormalHanging12a"/>
        <w:rPr>
          <w:b/>
          <w:i/>
          <w:szCs w:val="24"/>
        </w:rPr>
      </w:pPr>
      <w:r w:rsidRPr="00AD2D0B">
        <w:t>Т.</w:t>
      </w:r>
      <w:r w:rsidRPr="00AD2D0B">
        <w:rPr>
          <w:b/>
          <w:i/>
        </w:rPr>
        <w:tab/>
      </w:r>
      <w:r w:rsidRPr="00AD2D0B">
        <w:t>като има предвид, че техническата помощ за публичните органи в рамките на ФСП, InvestEU и механизма за отпускане на заеми в публичния сектор — трите стълба на механизма за справедлив преход — следва да бъде засилена;</w:t>
      </w:r>
    </w:p>
    <w:p w14:paraId="00ED9D7D" w14:textId="77777777" w:rsidR="00CB3833" w:rsidRPr="00AD2D0B" w:rsidRDefault="00CB3833" w:rsidP="00CB3833">
      <w:pPr>
        <w:pStyle w:val="NormalHanging12a"/>
        <w:rPr>
          <w:szCs w:val="24"/>
        </w:rPr>
      </w:pPr>
      <w:r w:rsidRPr="00AD2D0B">
        <w:t>У.</w:t>
      </w:r>
      <w:r w:rsidRPr="00AD2D0B">
        <w:tab/>
        <w:t>като има предвид, че процесът на кандидатстване за ФСП трябва да бъде опростен и рационализиран и да стане по-гъвкав, за да се гарантира по-широка достъпност и да се даде възможност за по-бързо и по-ефективно разгръщане на ресурсите; като има предвид, че опростяването на процедурите е от съществено значение, за да се увеличи максимално въздействието на ФСП, особено за по-малките региони и местните органи с ограничен административен капацитет, и за да се гарантира, че подкрепата достига своевременно до общностите и работниците, които са най-силно засегнати от екологичния преход;</w:t>
      </w:r>
    </w:p>
    <w:p w14:paraId="36BF811A" w14:textId="77777777" w:rsidR="00CB3833" w:rsidRPr="00AD2D0B" w:rsidRDefault="00CB3833" w:rsidP="00CB3833">
      <w:pPr>
        <w:pStyle w:val="NormalHanging12a"/>
        <w:rPr>
          <w:b/>
          <w:i/>
          <w:iCs/>
        </w:rPr>
      </w:pPr>
      <w:r w:rsidRPr="00AD2D0B">
        <w:rPr>
          <w:b/>
          <w:i/>
        </w:rPr>
        <w:lastRenderedPageBreak/>
        <w:t>Насочване към райони, характеризиращи се със загуба на работни места</w:t>
      </w:r>
    </w:p>
    <w:p w14:paraId="6BC8A13A" w14:textId="77777777" w:rsidR="00CB3833" w:rsidRPr="00AD2D0B" w:rsidRDefault="00CB3833" w:rsidP="00CB3833">
      <w:pPr>
        <w:pStyle w:val="NormalHanging12a"/>
        <w:rPr>
          <w:szCs w:val="24"/>
        </w:rPr>
      </w:pPr>
      <w:r w:rsidRPr="00AD2D0B">
        <w:t>1.</w:t>
      </w:r>
      <w:r w:rsidRPr="00AD2D0B">
        <w:tab/>
        <w:t>призовава Комисията, по предложение на държавите членки, в партньорство с регионите и местните органи, да улесни създаването на специални икономически зони по ФСП за районите, засегнати от затварянето на обекти, докато по-голямата част от загубените работни места на местно равнище не бъдат заменени в съответния район, като първоначално се даде приоритет на достъпа до финансиране за пряко засегнати места в обща близост до зоната, в която са били закрити работни места, както и на други райони, при условие че е надлежно обосновано, че прякото или непрякото въздействие на тези закривания дава основание за достъп до ФСП; подчертава, че е важно също така да се вземат предвид социални критерии, като например равнищата на безработица на местно равнище, социално-икономическата несигурност и повишените рискове от социално изключване, като се гарантира, че икономическото възстановяване се ръководи от общностите и е устойчиво;</w:t>
      </w:r>
    </w:p>
    <w:p w14:paraId="0ADE3120" w14:textId="77777777" w:rsidR="00CB3833" w:rsidRPr="00AD2D0B" w:rsidRDefault="00CB3833" w:rsidP="00CB3833">
      <w:pPr>
        <w:pStyle w:val="NormalHanging12a"/>
        <w:rPr>
          <w:szCs w:val="24"/>
        </w:rPr>
      </w:pPr>
      <w:r w:rsidRPr="00AD2D0B">
        <w:t>2.</w:t>
      </w:r>
      <w:r w:rsidRPr="00AD2D0B">
        <w:tab/>
        <w:t>призовава за въвеждането на по-бързи решения за планиране, заедно със специални мерки, финансови инструменти и стимули в тези зони, включително временни и целенасочени данъчни стимули за предприятията и инвестициите, при условие че те не подкопават стабилността на единния пазар; отново потвърждава, че тези мерки могат да създадат работни места, да предоставят възможности за хората, живеещи в тези региони, и да подкрепят икономическите субекти, като дават приоритет на МСП, микропредприятията и тези, които управляват традиционни местни и семейни предприятия, като засилват регионалното развитие и конкурентоспособността;</w:t>
      </w:r>
    </w:p>
    <w:p w14:paraId="090F4044" w14:textId="77777777" w:rsidR="00CB3833" w:rsidRPr="00AD2D0B" w:rsidRDefault="00CB3833" w:rsidP="00CB3833">
      <w:pPr>
        <w:pStyle w:val="NormalHanging12a"/>
      </w:pPr>
      <w:r w:rsidRPr="00AD2D0B">
        <w:t>3.</w:t>
      </w:r>
      <w:r w:rsidRPr="00AD2D0B">
        <w:tab/>
        <w:t>подчертава, че е специалните икономически зони имат потенциала да стимулират инвестициите и растежа в региони като специалните икономически зони, създадени на летище „Шанън“ в графство Клеър, Ирландия през 1959 г., и в Катовице, регион Силезия, Полша през 1996 г.; настоява обаче, че тези механизми трябва да се ръководят от строги правила, за да се гарантира, че икономическите ползи достигат ефективно до местното население, предотвратяват всяка форма на социален или фискален дъмпинг, изпиране на пари и отклонение от данъчно облагане и подлежат на строги критерии за социална, икономическа и екологична устойчивост, като се дава приоритет на местните предприятия, по-специално МСП и микропредприятия;</w:t>
      </w:r>
    </w:p>
    <w:p w14:paraId="2921278D" w14:textId="77777777" w:rsidR="00CB3833" w:rsidRPr="00AD2D0B" w:rsidRDefault="00CB3833" w:rsidP="00CB3833">
      <w:pPr>
        <w:pStyle w:val="NormalHanging12a"/>
      </w:pPr>
      <w:r w:rsidRPr="00AD2D0B">
        <w:t>4.</w:t>
      </w:r>
      <w:r w:rsidRPr="00AD2D0B">
        <w:tab/>
        <w:t>призовава за включването на островните региони като допустими райони за прилагането на намалени данъчни ставки в рамките на островните икономически зони на ФСП с цел справяне с непропорционално високите разходи за живот в тези територии – положение, което се изостря допълнително от въздействието на екологичния и енергийния преход; подчертава, че тези фискални мерки са от съществено значение за повишаване на икономическата жизнеспособност на островните общности, за подкрепа на местните предприятия и за привличане на устойчиви инвестиции; подчертава, че целенасочените данъчни стимули могат да служат като ефективен инструмент за противодействие на трайната тенденция на обезлюдяване на островите, за насърчаване на създаването на работни места и за насърчаване на устойчиви, самоподдържащи се местни икономики, като същевременно се гарантира справедлив и приобщаващ преход към неутралност по отношение на климата;</w:t>
      </w:r>
    </w:p>
    <w:p w14:paraId="77F7248F" w14:textId="77777777" w:rsidR="00CB3833" w:rsidRPr="00AD2D0B" w:rsidRDefault="00CB3833" w:rsidP="00CB3833">
      <w:pPr>
        <w:pStyle w:val="NormalHanging12a"/>
        <w:rPr>
          <w:b/>
          <w:i/>
          <w:iCs/>
        </w:rPr>
      </w:pPr>
      <w:r w:rsidRPr="00AD2D0B">
        <w:rPr>
          <w:b/>
          <w:i/>
        </w:rPr>
        <w:lastRenderedPageBreak/>
        <w:t>Образование, обучение на работници и чиракуване</w:t>
      </w:r>
    </w:p>
    <w:p w14:paraId="5F428812" w14:textId="77777777" w:rsidR="00CB3833" w:rsidRPr="00AD2D0B" w:rsidRDefault="00CB3833" w:rsidP="00CB3833">
      <w:pPr>
        <w:pStyle w:val="NormalHanging12a"/>
      </w:pPr>
      <w:r w:rsidRPr="00AD2D0B">
        <w:t>5.</w:t>
      </w:r>
      <w:r w:rsidRPr="00AD2D0B">
        <w:tab/>
        <w:t>посочва, че фондовете на ЕС (ЕСИ фондовете и по-конкретно Европейският социален фонд плюс (ЕСФ+) и Механизмът за възстановяване и устойчивост (МВУ)) и ФСП се използват за подпомагане на инвестициите в образование в ранна детска възраст в широк кръг от региони;</w:t>
      </w:r>
    </w:p>
    <w:p w14:paraId="166AF9C7" w14:textId="77777777" w:rsidR="00CB3833" w:rsidRPr="00AD2D0B" w:rsidRDefault="00CB3833" w:rsidP="00CB3833">
      <w:pPr>
        <w:pStyle w:val="NormalHanging12a"/>
        <w:rPr>
          <w:szCs w:val="24"/>
        </w:rPr>
      </w:pPr>
      <w:r w:rsidRPr="00AD2D0B">
        <w:t>6.</w:t>
      </w:r>
      <w:r w:rsidRPr="00AD2D0B">
        <w:tab/>
        <w:t>отново заявява, че много региони, обхванати от ФСП, се гордеят с големи традиции на обучение и програми за чиракуване, което обстоятелство е от съществено значение за преквалификацията на работниците и за да се отговори на новите изисквания на пазара на труда; подчертава, че тяхното продължаване следва да бъде приоритет; призовава за финансиране в рамките на ФСП в подкрепа на достъпа до възможности за обучение и чиракуване, особено за жените, младите хора и маргинализираните общности;</w:t>
      </w:r>
    </w:p>
    <w:p w14:paraId="20FCF59A" w14:textId="77777777" w:rsidR="00CB3833" w:rsidRPr="00AD2D0B" w:rsidRDefault="00CB3833" w:rsidP="00CB3833">
      <w:pPr>
        <w:pStyle w:val="NormalHanging12a"/>
        <w:rPr>
          <w:szCs w:val="24"/>
        </w:rPr>
      </w:pPr>
      <w:r w:rsidRPr="00AD2D0B">
        <w:t>7.</w:t>
      </w:r>
      <w:r w:rsidRPr="00AD2D0B">
        <w:tab/>
        <w:t>подчертава в този контекст необходимостта да се отдава приоритет на инвестициите на всички равнища на образование и обучение в засегнатите райони, включително чрез интегриране на екологичните цифровите умения, езиковата и основната математическа грамотност, както и уменията в областта на науката, технологиите, инженерството и математиката (НТИМ) в програмите за обучение, в съответствие с неотдавнашните съобщения на Комисията относно Съюза на уменията, Плана за действие за основните умения и стратегическата рамка за образование в областта на НТИМ; подчертава значението на финансирането за укрепване на основните цифрови и технически умения, за да се повишат пригодността за заетост и конкурентоспособността; подчертава необходимостта от подходящо финансиране от ЕС за обучение за децата и учещите, идващи от засегнатите райони, включително финансова подкрепа за средното и висшето образование;</w:t>
      </w:r>
    </w:p>
    <w:p w14:paraId="2366D22A" w14:textId="77777777" w:rsidR="00CB3833" w:rsidRPr="00AD2D0B" w:rsidRDefault="00CB3833" w:rsidP="00CB3833">
      <w:pPr>
        <w:pStyle w:val="NormalHanging12a"/>
        <w:rPr>
          <w:szCs w:val="24"/>
        </w:rPr>
      </w:pPr>
      <w:r w:rsidRPr="00AD2D0B">
        <w:t>8.</w:t>
      </w:r>
      <w:r w:rsidRPr="00AD2D0B">
        <w:tab/>
        <w:t>подчертава, че недостигът на специализирани учители задълбочава недостига на умения в стратегическите сектори и подкопава икономическата конкурентоспособност на по-слабо развитите региони; призовава за разработването на целенасочени програми за повишаване на привлекателността на учителската професия, особено в областта на НТИМ, чрез икономически и неикономически стимули, особено в регионите, засегнати от прехода; подчертава значението на разпределянето на специфични ресурси за иновативно обучение на учители и обучители, както и за развитието на цифрови педагогически умения, които са от съществено значение за подготовката на работниците за индустриалния преход; призовава за мерки за повишаване на заплатите и подобряване на условията на труд на учителите с цел привличане и задържане на квалифицирани преподаватели, особено в области, които са в процес на преход, като се признае тяхната решаваща роля за подготовката на работната сила за бъдещите промишлени нужди; призовава Комисията да оцени въздействието на инвестициите в обучението на учители и обучители, за да се гарантира по-доброто използване на финансирането и да се оптимизират резултатите от уменията, придобити от студентите и работниците в по-слабо развитите региони;</w:t>
      </w:r>
    </w:p>
    <w:p w14:paraId="3A995818" w14:textId="77777777" w:rsidR="00CB3833" w:rsidRPr="00AD2D0B" w:rsidRDefault="00CB3833" w:rsidP="00CB3833">
      <w:pPr>
        <w:pStyle w:val="NormalHanging12a"/>
        <w:rPr>
          <w:szCs w:val="24"/>
        </w:rPr>
      </w:pPr>
      <w:r w:rsidRPr="00AD2D0B">
        <w:t>9.</w:t>
      </w:r>
      <w:r w:rsidRPr="00AD2D0B">
        <w:tab/>
        <w:t xml:space="preserve">като признава вече направените инвестиции в чиракуване, призовава значителна част от средствата за образование в засегнатите региони да се използват за чиракуване и професионално обучение, което е в съответствие с нуждите на местната общност, където се губят работни места, чрез висококачествени </w:t>
      </w:r>
      <w:r w:rsidRPr="00AD2D0B">
        <w:lastRenderedPageBreak/>
        <w:t>програми за чиракуване, като се гарантира, че тези програми предлагат адекватно възнаграждение, достойни условия на труд и качествено обучение;</w:t>
      </w:r>
    </w:p>
    <w:p w14:paraId="27D56B75" w14:textId="77777777" w:rsidR="00CB3833" w:rsidRPr="00AD2D0B" w:rsidRDefault="00CB3833" w:rsidP="00CB3833">
      <w:pPr>
        <w:pStyle w:val="NormalHanging12a"/>
        <w:rPr>
          <w:szCs w:val="24"/>
        </w:rPr>
      </w:pPr>
      <w:r w:rsidRPr="00AD2D0B">
        <w:t>10.</w:t>
      </w:r>
      <w:r w:rsidRPr="00AD2D0B">
        <w:tab/>
        <w:t>подчертава, че политиката на сближаване е правилният отговор на икономическите различия и че тази роля е особено важна сега с оглед на заплахата от деиндустриализация; призовава за по-голяма координация между ФСП, ЕСФ+ и Европейския фонд за регионално развитие, за да се увеличи максимално тяхното въздействие върху преразпределението и преквалификацията на работниците, засегнати от промишлени преструктурирания; освен това призовава управлението на финансирането по линия на ЕСФ+ да бъде насочено в по-голяма степен към регионите, да се ръководи от многостепенен подход, включващ националните, регионалните и местните органи, както и за повече и по-добри полезни взаимодействия между ЕСФ+ и ФСП, особено по отношение на образованието и обучението; признава също така съществената роля на Европейската инвестиционна банка при оказването на подкрепа за справедливия преход и необходимостта от продължаване на укрепването на сътрудничеството между публичните и частните инвестиции;</w:t>
      </w:r>
    </w:p>
    <w:p w14:paraId="41884012" w14:textId="77777777" w:rsidR="00CB3833" w:rsidRPr="00AD2D0B" w:rsidRDefault="00CB3833" w:rsidP="00CB3833">
      <w:pPr>
        <w:pStyle w:val="NormalHanging12a"/>
      </w:pPr>
      <w:r w:rsidRPr="00AD2D0B">
        <w:t>11.</w:t>
      </w:r>
      <w:r w:rsidRPr="00AD2D0B">
        <w:tab/>
        <w:t>подчертава, че е важно политиката на сближаване, включително ФСП, да бъде приведена в съответствие с регионалните стратегии за иновации и приоритетите за интелигентна специализация, за да се повиши регионалната конкурентоспособност и да се подкрепят икономическата диверсификация и устойчивостта на районите в преход; настоятелно призовава Комисията и държавите членки да обърнат специално внимание на районите в демографски упадък и да дадат приоритет на засегнатите райони пред тези, които не са засегнати от прехода, в критериите за подбор на проекти, допустими за финансиране по линия на ФСП, като увеличат резултатите на предприемаческите инициативи, които се намират изцяло в общините, засегнати от закриването на сектори с висок въглероден интензитет, като по този начин гарантират, че този стимул води до осезаеми резултати; настоятелно призовава Комисията и държавите членки да гарантират, че средствата, налични по линия на МВУ, допринасят за подкрепата на процеса на преход във въпросните територии.</w:t>
      </w:r>
    </w:p>
    <w:p w14:paraId="230EC0D7" w14:textId="77777777" w:rsidR="00CB3833" w:rsidRPr="00AD2D0B" w:rsidRDefault="00CB3833" w:rsidP="00CB3833">
      <w:pPr>
        <w:pStyle w:val="NormalHanging12a"/>
      </w:pPr>
      <w:r w:rsidRPr="00AD2D0B">
        <w:t>12.</w:t>
      </w:r>
      <w:r w:rsidRPr="00AD2D0B">
        <w:tab/>
        <w:t>признава ключовата роля на автомобилната промишленост в ЕС, включително за създаването на заетост в различни региони; счита, че включването на автомобилния сектор в обхвата на справедливия преход е от съществено значение, като се имат предвид предизвикателствата, породени от глобалната конкуренция при преминаването към електромобилност, и въздействието на необоснованите пречки пред търговията; подчертава необходимостта от целенасочени политики, които дават приоритет на преквалификацията на работниците, и от инициативи, насочени към диверсифициране на икономическия модел на регионите със силно развита автомобилна промишленост;</w:t>
      </w:r>
    </w:p>
    <w:p w14:paraId="0808CAD4" w14:textId="77777777" w:rsidR="00CB3833" w:rsidRPr="00AD2D0B" w:rsidRDefault="00CB3833" w:rsidP="00CB3833">
      <w:pPr>
        <w:pStyle w:val="NormalHanging12a"/>
        <w:rPr>
          <w:szCs w:val="24"/>
        </w:rPr>
      </w:pPr>
      <w:r w:rsidRPr="00AD2D0B">
        <w:t>13.</w:t>
      </w:r>
      <w:r w:rsidRPr="00AD2D0B">
        <w:tab/>
        <w:t>счита, че професионалното обучение е необходим отговор на икономическата трансформация на регионите; подчертава необходимостта от създаване, чрез ФСП, на амбициозни и целенасочени програми за професионално обучение и преквалификация за търсещите работа лица и работниците, пряко засегнати от икономическите преходи, за да се предотврати появата на дългосрочна структурна безработица; настоява, че е необходимо да се отпусне финансиране за тези програми в териториалните планове за справедлив преход;</w:t>
      </w:r>
    </w:p>
    <w:p w14:paraId="5459EEDF" w14:textId="77777777" w:rsidR="00CB3833" w:rsidRPr="00AD2D0B" w:rsidRDefault="00CB3833" w:rsidP="00CB3833">
      <w:pPr>
        <w:pStyle w:val="NormalHanging12a"/>
      </w:pPr>
      <w:r w:rsidRPr="00AD2D0B">
        <w:lastRenderedPageBreak/>
        <w:t>14.</w:t>
      </w:r>
      <w:r w:rsidRPr="00AD2D0B">
        <w:tab/>
        <w:t>призовава Комисията да работи с държавите членки, местните и регионалните органи, профсъюзите и местните предприятия, за да гарантира, че на работниците, изгубили работата си, се предоставя възможността да участват в подкрепяни от ЕСФ+ програми за заетост и обучение или други финансирани от ЕС програми в своите общности;</w:t>
      </w:r>
    </w:p>
    <w:p w14:paraId="192DC245" w14:textId="77777777" w:rsidR="00CB3833" w:rsidRPr="00AD2D0B" w:rsidRDefault="00CB3833" w:rsidP="00CB3833">
      <w:pPr>
        <w:pStyle w:val="NormalHanging12a"/>
      </w:pPr>
      <w:r w:rsidRPr="00AD2D0B">
        <w:t>15.</w:t>
      </w:r>
      <w:r w:rsidRPr="00AD2D0B">
        <w:tab/>
        <w:t>подчертава необходимостта от разработване на програми за чиракуване и обучение за районите, засегнати от прехода, в сътрудничество с местните предприятия, образователните институции, центровете за обучение и учене през целия живот, социалните партньори, местните и регионалните органи и публичната администрация, за да се предоставят на студентите и безработните лица възможности и съдържателен опит в рамките на техните общности и да се гарантира тяхното „право на престой“;</w:t>
      </w:r>
    </w:p>
    <w:p w14:paraId="0B82A211" w14:textId="77777777" w:rsidR="00CB3833" w:rsidRPr="00AD2D0B" w:rsidRDefault="00CB3833" w:rsidP="00CB3833">
      <w:pPr>
        <w:pStyle w:val="NormalHanging12a"/>
        <w:rPr>
          <w:szCs w:val="24"/>
        </w:rPr>
      </w:pPr>
      <w:r w:rsidRPr="00AD2D0B">
        <w:t>16.</w:t>
      </w:r>
      <w:r w:rsidRPr="00AD2D0B">
        <w:tab/>
        <w:t>подчертава, че ефективните програми за преквалификация и повишаване на квалификацията изискват адекватно планиране и подготовка достатъчно време преди всяко постепенно премахване или значителна индустриална промяна; отбелязва, че обучението и преквалификацията на работниците и лицата, търсещи работа, повишаването на квалификацията, преквалификацията и образованието през целия живот трябва да се извършват по начин, който гарантира, че никой, независимо от неговия трудов сектор, вид договор, пол или географско местоположение, не е забравен по пътя към екологичния и цифровия преход на ЕС; призовава за мерки за улесняване на проактивното предвиждане и планиране на потребностите от умения и за гарантиране на тези права за всички засегнати работници; приканва държавите членки и регионалните органи да създадат „местни съвети по уменията“ или подобни органи с участието на множество заинтересовани страни, натоварени със задачата да диагностицират недостига на умения на местно равнище, да предвиждат нуждите от умения, свързани с екологичния и цифровия преход, и да предоставят консултации относно целевите инвестиции по линия на ФСП и ЕСФ+;</w:t>
      </w:r>
    </w:p>
    <w:p w14:paraId="2D902737" w14:textId="77777777" w:rsidR="00CB3833" w:rsidRPr="00AD2D0B" w:rsidRDefault="00CB3833" w:rsidP="00CB3833">
      <w:pPr>
        <w:pStyle w:val="NormalHanging12a"/>
      </w:pPr>
      <w:r w:rsidRPr="00AD2D0B">
        <w:t>17.</w:t>
      </w:r>
      <w:r w:rsidRPr="00AD2D0B">
        <w:tab/>
        <w:t>предлага създаването на регионален механизъм за наблюдение и оценка на въздействието на схемите за чиракуване с участието на всички заинтересовани страни, като например местните органи, работодателите, образователните институции и младите хора; счита, че ова би позволило стратегиите за обучение да бъдат бързо адаптирани към изискванията на пазара на труда и към пряката обратна връзка от участниците, като по този начин се гарантира устойчивостта и ефективността на чиракуването в дългосрочен план;</w:t>
      </w:r>
    </w:p>
    <w:p w14:paraId="0E3D35EF" w14:textId="77777777" w:rsidR="00CB3833" w:rsidRPr="00AD2D0B" w:rsidRDefault="00CB3833" w:rsidP="00CB3833">
      <w:pPr>
        <w:pStyle w:val="NormalHanging12a"/>
      </w:pPr>
      <w:r w:rsidRPr="00AD2D0B">
        <w:t>18.</w:t>
      </w:r>
      <w:r w:rsidRPr="00AD2D0B">
        <w:tab/>
        <w:t>посочва, че регионите, засегнати от екологичния преход, са изправени пред недостиг на умения и работна ръка, докато в много от градските райони на Европа има жилищна криза и пренаселеност; предлага създаването на програма за жилища на достъпни цени в тези региони и отбелязва, че тази програма следва да привлича млади хора, като по този начин допринася за икономическото и социалното съживяване на тези райони;</w:t>
      </w:r>
    </w:p>
    <w:p w14:paraId="5D4ADA34" w14:textId="77777777" w:rsidR="00CB3833" w:rsidRPr="00AD2D0B" w:rsidRDefault="00CB3833" w:rsidP="00CB3833">
      <w:pPr>
        <w:pStyle w:val="NormalHanging12a"/>
      </w:pPr>
      <w:r w:rsidRPr="00AD2D0B">
        <w:t>19.</w:t>
      </w:r>
      <w:r w:rsidRPr="00AD2D0B">
        <w:tab/>
        <w:t>насърчава държавите членки да включат в подпомаганите от ФСП и ЕСФ+ проекти жилищни гаранции, схеми за съжителство и помощ за наем, особено в региони с висок процент на младежка безработица или такива, изправени пред демографски спад;</w:t>
      </w:r>
    </w:p>
    <w:p w14:paraId="1BA1E891" w14:textId="77777777" w:rsidR="00CB3833" w:rsidRPr="00AD2D0B" w:rsidRDefault="00CB3833" w:rsidP="00CB3833">
      <w:pPr>
        <w:pStyle w:val="NormalHanging12a"/>
      </w:pPr>
      <w:r w:rsidRPr="00AD2D0B">
        <w:lastRenderedPageBreak/>
        <w:t>20.</w:t>
      </w:r>
      <w:r w:rsidRPr="00AD2D0B">
        <w:tab/>
        <w:t>призовава част от средствата за сближаване да се предоставят специално за саниране на жилищата на домакинствата с най-ниски доходи и сградите с най-ниска енергийна ефективност, тъй като в противен случай те ще изостанат по време на екологичния преход;</w:t>
      </w:r>
    </w:p>
    <w:p w14:paraId="2D63B6D4" w14:textId="77777777" w:rsidR="00CB3833" w:rsidRPr="00AD2D0B" w:rsidRDefault="00CB3833" w:rsidP="00CB3833">
      <w:pPr>
        <w:pStyle w:val="NormalHanging12a"/>
        <w:rPr>
          <w:b/>
          <w:i/>
          <w:iCs/>
          <w:szCs w:val="24"/>
        </w:rPr>
      </w:pPr>
      <w:r w:rsidRPr="00AD2D0B">
        <w:rPr>
          <w:b/>
          <w:i/>
        </w:rPr>
        <w:t>План за качествени работни места</w:t>
      </w:r>
    </w:p>
    <w:p w14:paraId="6569A6AD" w14:textId="77777777" w:rsidR="00CB3833" w:rsidRPr="00AD2D0B" w:rsidRDefault="00CB3833" w:rsidP="00CB3833">
      <w:pPr>
        <w:pStyle w:val="NormalHanging12a"/>
        <w:rPr>
          <w:szCs w:val="24"/>
        </w:rPr>
      </w:pPr>
      <w:r w:rsidRPr="00AD2D0B">
        <w:t>21.</w:t>
      </w:r>
      <w:r w:rsidRPr="00AD2D0B">
        <w:tab/>
        <w:t>отбелязва, че при справедливия преход не са взети предвид в достатъчна степен особеностите на различните профили на работниците и засегнатите общности; отбелязва със съжаление, че не са създадени алтернативи за сезонна работа нито като източник на допълнителни доходи за работниците, нито като възможност за доходи за учещите;</w:t>
      </w:r>
    </w:p>
    <w:p w14:paraId="212C1583" w14:textId="77777777" w:rsidR="00CB3833" w:rsidRPr="00AD2D0B" w:rsidRDefault="00CB3833" w:rsidP="00CB3833">
      <w:pPr>
        <w:pStyle w:val="NormalHanging12a"/>
      </w:pPr>
      <w:r w:rsidRPr="00AD2D0B">
        <w:t>22.</w:t>
      </w:r>
      <w:r w:rsidRPr="00AD2D0B">
        <w:tab/>
        <w:t>обръща внимание на безработицата, в т.ч. младежката, в много региони, селски райони и държави членки; поради това подчертава необходимостта от наличие на жилища, транспорт и образование на достъпни цени, както и от приобщаване на младите поколения, и по-специално тези с произход от домакинствата с ниски доходи;</w:t>
      </w:r>
    </w:p>
    <w:p w14:paraId="33421430" w14:textId="77777777" w:rsidR="00CB3833" w:rsidRPr="00AD2D0B" w:rsidRDefault="00CB3833" w:rsidP="00CB3833">
      <w:pPr>
        <w:pStyle w:val="NormalHanging12a"/>
        <w:rPr>
          <w:szCs w:val="24"/>
        </w:rPr>
      </w:pPr>
      <w:r w:rsidRPr="00AD2D0B">
        <w:t>23.</w:t>
      </w:r>
      <w:r w:rsidRPr="00AD2D0B">
        <w:tab/>
        <w:t>подчертава необходимостта от допълване на финансирането на съветите за висше образование и обучение, за да се гарантира преквалификацията на работниците, които обмислят промяна на професионалния си профил или които са загубили работата си, със специално внимание към жените и лицата на възраст над 50 години; предлага ФСП да предоставя също и възможности за обучения, преквалификация и образование на най-близките членове на семейството на засегнатите работници в техния район;</w:t>
      </w:r>
    </w:p>
    <w:p w14:paraId="090D47DD" w14:textId="77777777" w:rsidR="00CB3833" w:rsidRPr="00AD2D0B" w:rsidRDefault="00CB3833" w:rsidP="00CB3833">
      <w:pPr>
        <w:pStyle w:val="NormalHanging12a"/>
      </w:pPr>
      <w:r w:rsidRPr="00AD2D0B">
        <w:t>24.</w:t>
      </w:r>
      <w:r w:rsidRPr="00AD2D0B">
        <w:tab/>
        <w:t>предупреждава, че условията на труд в някои от отраслите, които са прекратили дейността си или са в процес на прекратяване, са били над средното икономическо равнище, т.е. с по-високи заплати, надбавки за работа при риск и здравно осигуряване за работниците и техните семейства; поради това подчертава необходимостта от временно финансиране в рамките на ФСП, за да се компенсира разликата между обезщетенията за безработица и новата заплата, като се позволи по-плавен преход и се гарантира изпълнението на всички предишни договорни задължения;</w:t>
      </w:r>
    </w:p>
    <w:p w14:paraId="5D8A9544" w14:textId="77777777" w:rsidR="00CB3833" w:rsidRPr="00AD2D0B" w:rsidRDefault="00CB3833" w:rsidP="00CB3833">
      <w:pPr>
        <w:pStyle w:val="NormalHanging12a"/>
      </w:pPr>
      <w:r w:rsidRPr="00AD2D0B">
        <w:t>25.</w:t>
      </w:r>
      <w:r w:rsidRPr="00AD2D0B">
        <w:tab/>
        <w:t>приветства ангажимента на Комисията да предложи пътна карта за качествени работни места до края на 2025 г., разработена заедно със социалните партньори, за да се гарантира справедлив преход за всички; припомня, че с пътната карта следва да се подкрепя справедливото заплащане, високите стандарти за здраве и безопасност, добрите условия на труд, обучението и прехода от едно работно място към друго за работниците, в т.ч. самостоятелно заетите лица, по-специално чрез увеличаване на обхвата на колективното договаряне; подчертава, че пътната карта следва да превърне управлението на преходите в ключов приоритет и да включва съпътстващи предложения, които конкретно подкрепят работниците;</w:t>
      </w:r>
    </w:p>
    <w:p w14:paraId="288D4372" w14:textId="77777777" w:rsidR="00CB3833" w:rsidRPr="00AD2D0B" w:rsidRDefault="00CB3833" w:rsidP="00CB3833">
      <w:pPr>
        <w:pStyle w:val="NormalHanging12a"/>
        <w:rPr>
          <w:szCs w:val="24"/>
        </w:rPr>
      </w:pPr>
      <w:r w:rsidRPr="00AD2D0B">
        <w:t>26.</w:t>
      </w:r>
      <w:r w:rsidRPr="00AD2D0B">
        <w:tab/>
        <w:t xml:space="preserve">подчертава необходимостта „социалните договори“, сключени за икономическите отрасли в процес на справедлив преход и за които Комисията е уведомена, да бъдат незабавно одобрени; подчертава, че тези социални договори следва да се основават на солидна диагноза и икономически прогнози, да подкрепят колективното договаряне и зачитането на правата на работниците и да отчитат </w:t>
      </w:r>
      <w:r w:rsidRPr="00AD2D0B">
        <w:lastRenderedPageBreak/>
        <w:t>особеностите на съответните региони; подкрепя създаването на механизми за социална закрила за работниците, които са пряко засегнати от индустриалния и енергийния преход, като например доход при професионален преход и целенасочено удължаване на обезщетенията за безработица; призовава за директива относно справедливия преход в сферата на труда, в която да се определи законодателна рамка, за да се гарантира създаването на качествени работни места в засегнатите от прехода региони; насърчава създаването на групи от работници в отраслите, засегнати от прехода, което да позволява на бившите работници да се възползват пряко от регионалното икономическо обновяване;</w:t>
      </w:r>
    </w:p>
    <w:p w14:paraId="4E613BEA" w14:textId="77777777" w:rsidR="00CB3833" w:rsidRPr="00AD2D0B" w:rsidRDefault="00CB3833" w:rsidP="00CB3833">
      <w:pPr>
        <w:pStyle w:val="NormalHanging12a"/>
        <w:rPr>
          <w:szCs w:val="24"/>
        </w:rPr>
      </w:pPr>
      <w:r w:rsidRPr="00AD2D0B">
        <w:t>27.</w:t>
      </w:r>
      <w:r w:rsidRPr="00AD2D0B">
        <w:tab/>
        <w:t>призовава Комисията да улесни създаването на програма за социално обучение за по-възрастните безработни лица, особено за жените и дългосрочно безработните, които не са в състояние да се преквалифицират и да получат назначение на нова работа, като се гарантира, че те имат подкрепа до пенсионирането си, за да им се осигури достоен стандарт на живот; подчертава необходимостта от засилване на ролята на жените и от насърчаване на интеграцията на хората с увреждания;</w:t>
      </w:r>
    </w:p>
    <w:p w14:paraId="03444F23" w14:textId="77777777" w:rsidR="00CB3833" w:rsidRPr="00AD2D0B" w:rsidRDefault="00CB3833" w:rsidP="00CB3833">
      <w:pPr>
        <w:pStyle w:val="NormalHanging12a"/>
        <w:rPr>
          <w:szCs w:val="24"/>
        </w:rPr>
      </w:pPr>
      <w:r w:rsidRPr="00AD2D0B">
        <w:t>28.</w:t>
      </w:r>
      <w:r w:rsidRPr="00AD2D0B">
        <w:tab/>
        <w:t>подчертава, че държавите членки трябва да приоритизират достъпа до държавна земя и следва, когато е възможно, да си възвръщат, възстановяват и преустройват сгради и други активи, като например стари промишлени съоръжения и минни обекти, за да ги пригодят към нови проекти по линия на ФСП, включително възобновяеми енергийни източници, обновяване на енергийната ефективност или екологична реиндустриализация; подчертава, че държавите членки и Комисията следва да упражняват надзор и мониторинг над този процес;</w:t>
      </w:r>
    </w:p>
    <w:p w14:paraId="6E9C9DFF" w14:textId="77777777" w:rsidR="00CB3833" w:rsidRPr="00AD2D0B" w:rsidRDefault="00CB3833" w:rsidP="00227099">
      <w:pPr>
        <w:spacing w:after="240"/>
        <w:rPr>
          <w:b/>
          <w:i/>
          <w:iCs/>
        </w:rPr>
      </w:pPr>
      <w:r w:rsidRPr="00AD2D0B">
        <w:rPr>
          <w:b/>
          <w:i/>
        </w:rPr>
        <w:t xml:space="preserve">Изпълнение и управление </w:t>
      </w:r>
    </w:p>
    <w:p w14:paraId="2EEECEEC" w14:textId="77777777" w:rsidR="00CB3833" w:rsidRPr="00AD2D0B" w:rsidRDefault="00CB3833" w:rsidP="00CB3833">
      <w:pPr>
        <w:pStyle w:val="NormalHanging12a"/>
        <w:rPr>
          <w:szCs w:val="24"/>
        </w:rPr>
      </w:pPr>
      <w:r w:rsidRPr="00AD2D0B">
        <w:t>29.</w:t>
      </w:r>
      <w:r w:rsidRPr="00AD2D0B">
        <w:tab/>
        <w:t>подчертава, че преходът в регионите, които отговарят на условията за подкрепа по линия на ФСП, все още не е завършен и че тези региони ще продължат да се нуждаят от конкретна подкрепа за справяне с различните предизвикателства, свързани с енергийния преход и за в бъдеще; счита, че е необходимо да се приемат мерки за гарантиране на максимално усвояване на тези средства, включително чрез опростяване на административните процедури, създаване на механизми за подкрепа и консултации, за да се помогне на местните органи да получат достъп до необходимите инвестиции и да ги използват успешно, както и чрез увеличаване на предварителното финансиране за местните органи;</w:t>
      </w:r>
    </w:p>
    <w:p w14:paraId="1A850243" w14:textId="77777777" w:rsidR="00CB3833" w:rsidRPr="00AD2D0B" w:rsidRDefault="00CB3833" w:rsidP="00CB3833">
      <w:pPr>
        <w:pStyle w:val="NormalHanging12a"/>
        <w:rPr>
          <w:szCs w:val="24"/>
        </w:rPr>
      </w:pPr>
      <w:r w:rsidRPr="00AD2D0B">
        <w:t>30.</w:t>
      </w:r>
      <w:r w:rsidRPr="00AD2D0B">
        <w:tab/>
        <w:t>изразява съжаление, че някои региони на ЕС са изправени пред непрекъснат отлив на млади и квалифицирани работници поради демографските промени и миграцията, като селските и вътрешните райони, островите и най-отдалечените региони са особено засегнати; припомня в този контекст значението на солидните връзки между селските и градските райони, както и на целенасочената подкрепа за жените в селските райони; припомня, че тези равнища на миграция и обезлюдяване засягат сериозно конкурентоспособността, икономическия растеж, продоволствената сигурност, производителността и устойчивостта на засегнатите региони;</w:t>
      </w:r>
    </w:p>
    <w:p w14:paraId="7BB48599" w14:textId="77777777" w:rsidR="00CB3833" w:rsidRPr="00AD2D0B" w:rsidRDefault="00CB3833" w:rsidP="00CB3833">
      <w:pPr>
        <w:pStyle w:val="NormalHanging12a"/>
      </w:pPr>
      <w:r w:rsidRPr="00AD2D0B">
        <w:t>31.</w:t>
      </w:r>
      <w:r w:rsidRPr="00AD2D0B">
        <w:tab/>
        <w:t xml:space="preserve">отбелязва със загриженост сериозния спад през последните години по отношение на адекватните равнища на национално финансиране от страна на държавите членки за техните по-бедни региони; припомня колко е важно да се зачита принципът на ЕС за допълняемост; призовава Комисията да гарантира, че </w:t>
      </w:r>
      <w:r w:rsidRPr="00AD2D0B">
        <w:lastRenderedPageBreak/>
        <w:t>националните органи отчитат надлежно вътрешното сближаване, когато изготвят и изпълняват проекти по структурните и инвестиционни фондове;</w:t>
      </w:r>
    </w:p>
    <w:p w14:paraId="577646CD" w14:textId="77777777" w:rsidR="00CB3833" w:rsidRPr="00AD2D0B" w:rsidRDefault="00CB3833" w:rsidP="00CB3833">
      <w:pPr>
        <w:pStyle w:val="NormalHanging12a"/>
        <w:rPr>
          <w:szCs w:val="24"/>
        </w:rPr>
      </w:pPr>
      <w:r w:rsidRPr="00AD2D0B">
        <w:t>32.</w:t>
      </w:r>
      <w:r w:rsidRPr="00AD2D0B">
        <w:tab/>
        <w:t>приема, че изпълнението на процеса на ФСП е въпрос от компетентността на държавите членки, но призовава за по-солидна роля на местните и регионалните органи и на засегнатите страни в процеса на вземане на решения, като се гарантира, че стратегиите за финансиране са съобразени със специфичните нужди на общностите, засегнати от прехода, и са съгласувани с инвестициите в рамките на други стратегически фондове, свързани със справедливия преход; подчертава, че е от решаващо значение да се опрости достъпът до кандидатстване и да се разшири обхватът на фонда, така че да се позволи на други еднакво засегнати региони и сектори да се възползват от ФСП; подчертава необходимостта Комисията, в сътрудничество с държавите членки, да представи ясни насоки по въпроси, свързани с изпълнението, за да се ускори разпределението на средствата и ефективното изпълнение на инициативите по ФСП;</w:t>
      </w:r>
    </w:p>
    <w:p w14:paraId="6F870900" w14:textId="77777777" w:rsidR="00CB3833" w:rsidRPr="00AD2D0B" w:rsidRDefault="00CB3833" w:rsidP="00CB3833">
      <w:pPr>
        <w:pStyle w:val="NormalHanging12a"/>
        <w:rPr>
          <w:szCs w:val="24"/>
        </w:rPr>
      </w:pPr>
      <w:r w:rsidRPr="00AD2D0B">
        <w:t>33.</w:t>
      </w:r>
      <w:r w:rsidRPr="00AD2D0B">
        <w:tab/>
        <w:t>счита, че Комисията е трябвало да определи ясни параметри, които всяка държава членка да следва в области като инвестиране в образование и обучение, повишаване на квалификацията и преквалификация на работниците за алтернативна заетост и предоставяне на възможност на инвеститори от трети страни да запазят културата и традициите на бившите въгледобивни и торфени региони, както и подпомагане на почистването на замърсените райони около обектите за добив; насърчава обмена на ноу-хау и най-добри практики между регионите в преход; освен това призовава за полезни взаимодействия с инициативи като Новия европейски Баухаус, чиято цел е да преобразува стари промишлени съоръжения в социални и културни обекти;</w:t>
      </w:r>
    </w:p>
    <w:p w14:paraId="2A713FBC" w14:textId="77777777" w:rsidR="00CB3833" w:rsidRPr="00AD2D0B" w:rsidRDefault="00CB3833" w:rsidP="00CB3833">
      <w:pPr>
        <w:pStyle w:val="NormalHanging12a"/>
        <w:rPr>
          <w:szCs w:val="24"/>
        </w:rPr>
      </w:pPr>
      <w:r w:rsidRPr="00AD2D0B">
        <w:t>34.</w:t>
      </w:r>
      <w:r w:rsidRPr="00AD2D0B">
        <w:tab/>
        <w:t>признава недостига на финансиране за мащабни проекти „отдолу нагоре“; препоръчва ФСП да продължава да запълва тези пропуски, когато бъде установена необходимост; подчертава значението на предоставянето на специална техническа подкрепа от ФСП на регионите, местните органи и общностните групи от най-ранните етапи, за да се укрепи техният капацитет за планиране „отдолу нагоре“ и да се подпомогнат потенциалните бенефициери при изготвянето на висококачествени проекти с ефективно въздействие;</w:t>
      </w:r>
    </w:p>
    <w:p w14:paraId="55A6D727" w14:textId="77777777" w:rsidR="00CB3833" w:rsidRPr="00AD2D0B" w:rsidRDefault="00CB3833" w:rsidP="00CB3833">
      <w:pPr>
        <w:pStyle w:val="NormalHanging12a"/>
        <w:rPr>
          <w:szCs w:val="24"/>
        </w:rPr>
      </w:pPr>
      <w:r w:rsidRPr="00AD2D0B">
        <w:t>35.</w:t>
      </w:r>
      <w:r w:rsidRPr="00AD2D0B">
        <w:tab/>
        <w:t>признава липсата на съответстващо финансиране за групите в доброволческия сектор, кандидатстващи за ФСП, и призовава за опростен механизъм за финансиране; подчертава, че е важно да се предостави достатъчно предварително финансиране за над половината от капиталовите разходи или съществената част от проекта за групи, считани за нискорискови, като по този начин се гарантира, че те избягват високи лихвени проценти и такси за съчетаване и свързване на финансирането, и следователно местните доброволчески и общностни организации се оправомощават да изпълняват ефективно проекти, свързани с прехода;</w:t>
      </w:r>
    </w:p>
    <w:p w14:paraId="7C98D46C" w14:textId="77777777" w:rsidR="00CB3833" w:rsidRPr="00AD2D0B" w:rsidRDefault="00CB3833" w:rsidP="00CB3833">
      <w:pPr>
        <w:pStyle w:val="NormalHanging12a"/>
      </w:pPr>
      <w:r w:rsidRPr="00AD2D0B">
        <w:t>36.</w:t>
      </w:r>
      <w:r w:rsidRPr="00AD2D0B">
        <w:tab/>
        <w:t>призовава за засилване на взаимодействието между публичния и частния сектор, така че те да могат да се справят съвместно с процеса на преход, като по този начин се проправи пътят за продуктивно преобразуване на въпросните територии;</w:t>
      </w:r>
    </w:p>
    <w:p w14:paraId="0E1A2A99" w14:textId="77777777" w:rsidR="00CB3833" w:rsidRPr="00AD2D0B" w:rsidRDefault="00CB3833" w:rsidP="00CB3833">
      <w:pPr>
        <w:pStyle w:val="NormalHanging12a"/>
        <w:rPr>
          <w:szCs w:val="24"/>
        </w:rPr>
      </w:pPr>
      <w:r w:rsidRPr="00AD2D0B">
        <w:t>37.</w:t>
      </w:r>
      <w:r w:rsidRPr="00AD2D0B">
        <w:tab/>
        <w:t xml:space="preserve">подчертава отрицателното въздействие на правилата за държавна помощ върху доброволческите групи и групите с нестопанска цел; подчертава, в този контекст, </w:t>
      </w:r>
      <w:r w:rsidRPr="00AD2D0B">
        <w:lastRenderedPageBreak/>
        <w:t>съществената роля на субектите на социалната икономика за предоставянето на конкретни, основани на общността отговори на социалните нужди на гражданите на ЕС и за подкрепата на приобщаващи, ориентирани към хората решения за справедлив преход; счита, че при обосновани условия правилата за държавната помощ биха могли да бъдат облекчени за доброволните групи и групите с нестопанска цел, считани за нискорискови; в този контекст призовава Комисията да работи с държавите членки, така че да има по-голяма последователност и яснота при тълкуването на правилата за държавна помощ, доколкото те се прилагат за общностни групи и групи с нестопанска цел;</w:t>
      </w:r>
    </w:p>
    <w:p w14:paraId="1CE0F0B2" w14:textId="77777777" w:rsidR="00CB3833" w:rsidRPr="00AD2D0B" w:rsidRDefault="00CB3833" w:rsidP="00CB3833">
      <w:pPr>
        <w:pStyle w:val="NormalHanging12a"/>
        <w:rPr>
          <w:szCs w:val="24"/>
        </w:rPr>
      </w:pPr>
      <w:r w:rsidRPr="00AD2D0B">
        <w:t>38.</w:t>
      </w:r>
      <w:r w:rsidRPr="00AD2D0B">
        <w:tab/>
        <w:t>подчертава необходимостта от разработване на подобрен модел на ползи за общността, съобразен с всеки регион в справедлив преход; за тази цел призовава държавите членки и управляващите органи да заделят част от средствата по ФСП за подкрепа на създаването на схеми за екологосъобразна общност, социални иновации и социална икономика, по-специално чрез финансиране на граждански енергийни кооперации, местни основани на участието проекти за производство на енергия от възобновяеми източници и инициативи, които насърчават местната кръгова икономика; отбелязва, че на бившите работници и техните семейства следва да бъде разрешено да инвестират или да участват в тези проекти, като по този начин се укрепва връзката между екологичния преход и социалното приобщаване;</w:t>
      </w:r>
    </w:p>
    <w:p w14:paraId="7C7EB095" w14:textId="77777777" w:rsidR="00CB3833" w:rsidRPr="00AD2D0B" w:rsidRDefault="00CB3833" w:rsidP="00CB3833">
      <w:pPr>
        <w:pStyle w:val="NormalHanging12a"/>
      </w:pPr>
      <w:r w:rsidRPr="00AD2D0B">
        <w:t>39.</w:t>
      </w:r>
      <w:r w:rsidRPr="00AD2D0B">
        <w:tab/>
        <w:t>отново заявява, че жилищните кооперации или ръководените от общността проекти следва да се ползват от опростен достъп до финансиране от ФСП, включително чрез по-ниски прагове за съфинансиране и авансови плащания; призовава за предоставяне на насоки на държавите членки относно улесняването на достъпа до средства за участниците в сектора на жилищното настаняване;</w:t>
      </w:r>
    </w:p>
    <w:p w14:paraId="23492EC1" w14:textId="77777777" w:rsidR="00CB3833" w:rsidRPr="00AD2D0B" w:rsidRDefault="00CB3833" w:rsidP="00CB3833">
      <w:pPr>
        <w:pStyle w:val="NormalHanging12a"/>
        <w:rPr>
          <w:szCs w:val="24"/>
        </w:rPr>
      </w:pPr>
      <w:r w:rsidRPr="00AD2D0B">
        <w:t>40.</w:t>
      </w:r>
      <w:r w:rsidRPr="00AD2D0B">
        <w:tab/>
        <w:t>призовава за намаляване на административната тежест на ФСП за общностите чрез създаването на специализирани „практически“ мениджъри и разработването на обслужване на едно гише и подходящи цифрови платформи за предоставяне на подкрепа и помощ при обработването на заявленията и управлението на проектите, след като те бъдат избрани, като се гарантира, че тези общности също имат равен достъп до финансиране, и по този начин се спомага за преодоляване на регионалните различия;</w:t>
      </w:r>
    </w:p>
    <w:p w14:paraId="499367DF" w14:textId="77777777" w:rsidR="00CB3833" w:rsidRPr="00AD2D0B" w:rsidRDefault="00CB3833" w:rsidP="00CB3833">
      <w:pPr>
        <w:pStyle w:val="NormalHanging12a"/>
        <w:rPr>
          <w:szCs w:val="24"/>
        </w:rPr>
      </w:pPr>
      <w:r w:rsidRPr="00AD2D0B">
        <w:t>41.</w:t>
      </w:r>
      <w:r w:rsidRPr="00AD2D0B">
        <w:tab/>
        <w:t>призовава ФСП да подкрепя, изтъква и опазва културното и промишленото наследство на засегнатите общности чрез насърчаване на устойчивото развитие на туризма; насърчава създаването на специални програми за обучение на ръководства за културното наследство, за да се стимулира местната заетост и културната приемственост и да се подкрепи създаването на центрове за посетители и тълкувателни пространства, които показват местната история и традиции и пътя на трансформация на тези региони, като по този начин се създава местна заетост и се запазва културната идентичност и същевременно се привлича културен и образователен туризъм;</w:t>
      </w:r>
    </w:p>
    <w:p w14:paraId="3704B3F9" w14:textId="77777777" w:rsidR="00CB3833" w:rsidRPr="00AD2D0B" w:rsidRDefault="00CB3833" w:rsidP="00CB3833">
      <w:pPr>
        <w:pStyle w:val="NormalHanging12a"/>
        <w:rPr>
          <w:szCs w:val="24"/>
        </w:rPr>
      </w:pPr>
      <w:r w:rsidRPr="00AD2D0B">
        <w:t>42.</w:t>
      </w:r>
      <w:r w:rsidRPr="00AD2D0B">
        <w:tab/>
        <w:t xml:space="preserve">подчертава стратегическото значение на „правото на хората да останат“ в своите региони или местни райони; призовава Комисията да издаде конкретни насоки за това как да се прилага и изпълнява този принцип в целия ЕС и неговите региони; призовава за по-силна интеграция на това като хоризонтален принцип във всички политики на ЕС, така че те да подкрепят целите за социално, икономическо и </w:t>
      </w:r>
      <w:r w:rsidRPr="00AD2D0B">
        <w:lastRenderedPageBreak/>
        <w:t>териториално сближаване, определени в Договорите;</w:t>
      </w:r>
    </w:p>
    <w:p w14:paraId="4A7928C1" w14:textId="77777777" w:rsidR="00CB3833" w:rsidRPr="00AD2D0B" w:rsidRDefault="00CB3833" w:rsidP="00CB3833">
      <w:pPr>
        <w:pStyle w:val="NormalHanging12a"/>
        <w:rPr>
          <w:b/>
          <w:i/>
          <w:iCs/>
        </w:rPr>
      </w:pPr>
      <w:r w:rsidRPr="00AD2D0B">
        <w:rPr>
          <w:b/>
          <w:i/>
        </w:rPr>
        <w:t>Социална справедливост преди преход за цялата икономика</w:t>
      </w:r>
    </w:p>
    <w:p w14:paraId="251D5107" w14:textId="77777777" w:rsidR="00CB3833" w:rsidRPr="00AD2D0B" w:rsidRDefault="00CB3833" w:rsidP="00CB3833">
      <w:pPr>
        <w:pStyle w:val="NormalHanging12a"/>
        <w:ind w:hanging="425"/>
      </w:pPr>
      <w:r w:rsidRPr="00AD2D0B">
        <w:t>43.</w:t>
      </w:r>
      <w:r w:rsidRPr="00AD2D0B">
        <w:tab/>
        <w:t>подчертава ключовата роля, която политиката на сближаване играе за изпълнението на приоритетите на политиката на ЕС и за стимулирането на икономиката на ЕС, като допринася за справедлив, приобщаващ и устойчив преход и развитие, и насърчава икономическото и социалното сближаване между държавите и регионите, както и иновациите и заетостта; изразява съжаление, че поради ограничената гъвкавост на настоящата многогодишна финансова рамка (МФР) Комисията е прибягнала до преориентиране на политиката на сближаване, която, макар да не е инструмент за реакция при кризи, многократно е била използвана да компенсира недостатъците в бюджетната гъвкавост или механизмите за реакция при кризи в МФР в ущърб на нейните дългосрочни политически цели; призовава Комисията и държавите членки да ускорят прилагането на политиката на сближаване;</w:t>
      </w:r>
    </w:p>
    <w:p w14:paraId="70BA3602" w14:textId="77777777" w:rsidR="00CB3833" w:rsidRPr="00AD2D0B" w:rsidRDefault="00CB3833" w:rsidP="00CB3833">
      <w:pPr>
        <w:pStyle w:val="NormalHanging12a"/>
        <w:rPr>
          <w:szCs w:val="24"/>
        </w:rPr>
      </w:pPr>
      <w:r w:rsidRPr="00AD2D0B">
        <w:t>44.</w:t>
      </w:r>
      <w:r w:rsidRPr="00AD2D0B">
        <w:tab/>
        <w:t>счита, че промените в геополитическия пейзаж, наред с други фактори, причиняват огромни промени във функционирането на икономиката на ЕС; подчертава, че ФСП следва да запази решаваща роля в процеса на декарбонизация; призовава Комисията и държавите членки да проучат сроковете за приключване на дейността на ключови участници в областта на енергетиката в ЕС и да смекчат въздействието на тези закривания, като гарантират за работниците „социална справедливост в прехода“;</w:t>
      </w:r>
    </w:p>
    <w:p w14:paraId="32B6DAF8" w14:textId="789BA976" w:rsidR="00CB3833" w:rsidRPr="00AD2D0B" w:rsidRDefault="00CB3833" w:rsidP="00CB3833">
      <w:pPr>
        <w:pStyle w:val="NormalHanging12a"/>
        <w:rPr>
          <w:szCs w:val="24"/>
        </w:rPr>
      </w:pPr>
      <w:r w:rsidRPr="00AD2D0B">
        <w:t>45.</w:t>
      </w:r>
      <w:r w:rsidRPr="00AD2D0B">
        <w:tab/>
        <w:t>призовава да се обърне специално внимание на необходимостта от насърчаване на електроенергийните връзки, увеличаване на капацитета за хостинг на мрежата и укрепване на системите за съхранение на енергия, като необходими компоненти на ефективен енергиен преход; призовава Комисията да насърчава държавите членки да прилагат изцяло разпоредбите на Директива (ЕС) 2019/9</w:t>
      </w:r>
      <w:r w:rsidR="00537160">
        <w:rPr>
          <w:lang w:val="sk-SK"/>
        </w:rPr>
        <w:t>4</w:t>
      </w:r>
      <w:r w:rsidRPr="00AD2D0B">
        <w:t>4</w:t>
      </w:r>
      <w:r w:rsidRPr="00AD2D0B">
        <w:rPr>
          <w:rStyle w:val="FootnoteReference"/>
        </w:rPr>
        <w:footnoteReference w:id="19"/>
      </w:r>
      <w:r w:rsidRPr="00AD2D0B">
        <w:t>, свързани с гражданските енергийни общности, като предоставят конкретни мерки за защита на уязвимите домакинства от енергийна бедност в регионите по ФСП; в този контекст счита, че следва да се предоставя подкрепа за водена от местните общности екологосъобразна инфраструктура и проекти за енергия от възобновяеми източници, като слънчеви, вятърни и водноелектрически инсталации, както и за устойчив транспорт, които стимулират местните икономики и предлагат голям потенциал за създаване на работни места на местно равнище в строителството, инженерството, поддръжката и свързаните с тях отрасли;</w:t>
      </w:r>
    </w:p>
    <w:p w14:paraId="2BFB39D5" w14:textId="77777777" w:rsidR="00CB3833" w:rsidRPr="00AD2D0B" w:rsidRDefault="00CB3833" w:rsidP="00CB3833">
      <w:pPr>
        <w:pStyle w:val="NormalHanging12a"/>
      </w:pPr>
      <w:r w:rsidRPr="00AD2D0B">
        <w:t>46.</w:t>
      </w:r>
      <w:r w:rsidRPr="00AD2D0B">
        <w:tab/>
        <w:t xml:space="preserve">подчертава значението на държавите членки за насърчаване на секторния социален диалог и колективното договаряне, особено в нововъзникващите екологични индустрии, както и за гарантиране на включването на малките и средните предприятия, в т.ч. предприятията на социалната икономика; </w:t>
      </w:r>
      <w:r w:rsidRPr="00AD2D0B">
        <w:lastRenderedPageBreak/>
        <w:t>подчертава, че Директивата относно минималните работни заплати</w:t>
      </w:r>
      <w:r w:rsidRPr="00AD2D0B">
        <w:rPr>
          <w:rStyle w:val="FootnoteReference"/>
        </w:rPr>
        <w:footnoteReference w:id="20"/>
      </w:r>
      <w:r w:rsidRPr="00AD2D0B">
        <w:t xml:space="preserve"> представлява чудесна възможност за подобряване на колективното договаряне във връзка с определянето на размера на възнагражденията и присъствието на социалните партньори в нововъзникващите сектори;</w:t>
      </w:r>
    </w:p>
    <w:p w14:paraId="5FE65CC5" w14:textId="77777777" w:rsidR="00CB3833" w:rsidRPr="00AD2D0B" w:rsidRDefault="00CB3833" w:rsidP="00CB3833">
      <w:pPr>
        <w:pStyle w:val="NormalHanging12a"/>
      </w:pPr>
      <w:r w:rsidRPr="00AD2D0B">
        <w:t>47.</w:t>
      </w:r>
      <w:r w:rsidRPr="00AD2D0B">
        <w:tab/>
        <w:t>подчертава решаващата роля на инвестициите във висококачествени обществени услуги за изграждането на социална устойчивост и справянето с икономическите кризи, по-специално в регионите, засегнати от сериозни постоянни природни и демографски предизвикателства; подчертава необходимостта да се даде приоритет конкретно на инвестициите в основна инфраструктура, социални услуги и устойчив туризъм, както и в логистични мрежи и свързаност, в т.ч. устойчиви видове транспорт, с цел насърчаване на устойчивостта и иновациите, като същевременно се стимулира приобщаващият растеж, появата на нови работни места и създаването на нови жизнеспособни бизнес проекти в засегнатите територии;</w:t>
      </w:r>
    </w:p>
    <w:p w14:paraId="2381DAD8" w14:textId="77777777" w:rsidR="00CB3833" w:rsidRPr="00AD2D0B" w:rsidRDefault="00CB3833" w:rsidP="00227099">
      <w:pPr>
        <w:pStyle w:val="NormalHanging12a"/>
      </w:pPr>
      <w:r w:rsidRPr="00AD2D0B">
        <w:t>48.</w:t>
      </w:r>
      <w:r w:rsidRPr="00AD2D0B">
        <w:tab/>
        <w:t>призовава Комисията да се съсредоточи по-специално върху островите и най-отдалечените региони, за да ги подкрепи при справянето с техните сериозни социално-икономически предизвикателства, произтичащи от процеса на преход към целите на ЕС за 2030 г. в областта на енергетиката и климата и неутрална по отношение на климата икономика в ЕС до 2050 г., и да работи с държавите членки за заделяне на конкретни суми от техните национални средства в рамките на териториалните им планове за справедлив преход; призовава за конкретни компенсаторни мерки за неутрализиране на отрицателните последици за икономическото, социалното и териториалното сближаване на островите в процеса на преход към по-чиста икономика и общество, които могат да възникнат поради тяхната зависимост от въздухоплаването и морския сектор; поради това призовава островите да получат приоритет при разработването на инфраструктури за декарбонизация на въздушния и морския транспорт;</w:t>
      </w:r>
    </w:p>
    <w:p w14:paraId="47B54BD0" w14:textId="5F97541C" w:rsidR="00CB3833" w:rsidRPr="00AD2D0B" w:rsidRDefault="00CB3833" w:rsidP="00CB3833">
      <w:pPr>
        <w:pStyle w:val="NormalHanging12a"/>
        <w:rPr>
          <w:szCs w:val="24"/>
        </w:rPr>
      </w:pPr>
      <w:r w:rsidRPr="00AD2D0B">
        <w:t>49.</w:t>
      </w:r>
      <w:r w:rsidRPr="00AD2D0B">
        <w:tab/>
      </w:r>
      <w:r w:rsidR="00056A4A" w:rsidRPr="00056A4A">
        <w:t xml:space="preserve">изразява съжаление по повод на факта, че в неотдавнашните си предложения относно бъдещата многогодишна финансова рамка (МФР) Комисията не е предложила самостоятелен Фонд за справедлив преход (ФСП); ето защо изисква ФСП да продължи да съществува като </w:t>
      </w:r>
      <w:r w:rsidRPr="00AD2D0B">
        <w:t>ФСП II за програмния период след 2027 г., за да се осигури пряка подкрепа за домакинствата и общностите по време на прехода и да се даде възможност за капацитет за намеса, съизмерим с мащаба на социално-икономическото въздействие</w:t>
      </w:r>
      <w:r w:rsidR="003C18F3" w:rsidRPr="00537160">
        <w:rPr>
          <w:lang w:val="ru-RU"/>
        </w:rPr>
        <w:t xml:space="preserve">, </w:t>
      </w:r>
      <w:r w:rsidR="003C18F3" w:rsidRPr="00AD2D0B">
        <w:t>въздействие</w:t>
      </w:r>
      <w:r w:rsidR="003C18F3">
        <w:t>то</w:t>
      </w:r>
      <w:r w:rsidRPr="00AD2D0B">
        <w:t xml:space="preserve"> върху заетостта и демографското и екологичното въздействие на прехода към енергийните цели на ЕС за 2030 г.; подчертава, че този фонд следва да функционира при споделено управление и принципи на партньорство в рамките на политиката на сближаване и че той следва да разполага със собствени предвидими бюджетни средства, като се гарантира неговата автономност от извънредните инструменти за реакция при кризи, като например NextGenerationEU;</w:t>
      </w:r>
    </w:p>
    <w:p w14:paraId="112A3F03" w14:textId="77777777" w:rsidR="00CB3833" w:rsidRPr="00AD2D0B" w:rsidRDefault="00CB3833" w:rsidP="00227099">
      <w:pPr>
        <w:pStyle w:val="NormalHanging12a"/>
        <w:rPr>
          <w:szCs w:val="24"/>
        </w:rPr>
      </w:pPr>
      <w:r w:rsidRPr="00AD2D0B">
        <w:t>50.</w:t>
      </w:r>
      <w:r w:rsidRPr="00AD2D0B">
        <w:tab/>
        <w:t xml:space="preserve">настоятелно призовава Комисията да рационализира и приведе в съответствие финансовите инструменти в рамките на МФР за периода след 2027 г., като гарантира съгласуван и координиран подход за подкрепа на стратегиите за </w:t>
      </w:r>
      <w:r w:rsidRPr="00AD2D0B">
        <w:lastRenderedPageBreak/>
        <w:t>справедлив преход чрез ФСП „II“; подчертава, че обхватът на ФСП „II“ би могъл да бъде разширен, в съответствие с предложенията на държавите членки, с мерки, които да бъдат въведени, докато загубените на местно равнище работни места бъдат заменени в същия район, и следва да бъде съсредоточен върху съчетаването на устойчивото развитие с конкурентоспособността, като се гарантира, че регионите в преход могат да процъфтяват икономически, без да се излагат на риск техните екологични и социални цели; подчертава необходимостта от планове за зони за справедлив преход, които приемат проактивен подход за предвиждане също и на евентуалните предстоящи процеси на трансформация и които включват ясен ангажимент за разработване на стратегически инициативи за възстановяване и развитие, със специален акцент върху развитието на предприятията и създаването на работни места в районите, които са най-силно засегнати от затварянето на съоръжения за производство на изкопаеми горива; подчертава, че държавите членки разполагат с известна гъвкавост по пътя си към декарбонизация в съответствие с договорените цели на ЕС, като вземат предвид технологичната и икономическата перспектива и местните и регионалните нужди;</w:t>
      </w:r>
    </w:p>
    <w:p w14:paraId="1CBFFE67" w14:textId="77777777" w:rsidR="00CB3833" w:rsidRPr="00AD2D0B" w:rsidRDefault="00CB3833" w:rsidP="00CB3833">
      <w:pPr>
        <w:pStyle w:val="NormalHanging12a"/>
        <w:rPr>
          <w:szCs w:val="24"/>
        </w:rPr>
      </w:pPr>
      <w:r w:rsidRPr="00AD2D0B">
        <w:t>51.</w:t>
      </w:r>
      <w:r w:rsidRPr="00AD2D0B">
        <w:tab/>
        <w:t>подчертава необходимостта от въвеждане на по-точни критерии за разпределение и определяне на териториалния обхват на фондовете, за да се постави специален акцент върху местните и регионалните власти в рамките на административно равнище NUTS 3</w:t>
      </w:r>
      <w:r w:rsidRPr="00AD2D0B">
        <w:rPr>
          <w:rStyle w:val="FootnoteReference"/>
        </w:rPr>
        <w:footnoteReference w:id="21"/>
      </w:r>
      <w:r w:rsidRPr="00AD2D0B">
        <w:t>; подчертава, че е важно средствата да достигат до регионите, които са особено засегнати от прехода към неутрална по отношение на климата икономика поради секторния характер на тяхната икономика или затварянето на инсталации с висок въглероден интензитет, и че е важно инвестициите да не бъдат съсредоточени само в големите градски центрове на региона по NUTS 3; подчертава неотложната необходимост от интегриране също и на териториалните и демографските показатели при разпределянето на средствата по ФСП, като например застаряването и продължаващия спад на населението, емиграцията на младите хора, обезлюдяването и въздействието на преходната заетост;</w:t>
      </w:r>
    </w:p>
    <w:p w14:paraId="13F81B2D" w14:textId="2DB32405" w:rsidR="00CB3833" w:rsidRDefault="00CB3833" w:rsidP="00227099">
      <w:pPr>
        <w:pStyle w:val="NormalHanging12a"/>
      </w:pPr>
      <w:r w:rsidRPr="00AD2D0B">
        <w:t>52</w:t>
      </w:r>
      <w:r w:rsidR="003C18F3" w:rsidRPr="00537160">
        <w:rPr>
          <w:lang w:val="ru-RU"/>
        </w:rPr>
        <w:t>.</w:t>
      </w:r>
      <w:r w:rsidRPr="00AD2D0B">
        <w:tab/>
        <w:t>счита, че рамката за добро управление е от ключово значение за осъществяването на справедливия преход; подчертава, че местните и регионалните власти играят ключова роля за гарантиране на ефективното разработване, изпълнение и мониторинг на програмите на ЕС, като се има предвид тяхната близост до гражданите и задълбоченото разбиране на териториалните нужди; подчертава, че е важно да се отстоява принципът на партньорство и Европейският кодекс на поведение за партньорство, както и да се акцентира върху ориентирания към местните условия подход, за да се гарантира пълноценното участие на местните и регионалните органи, социалните партньори и организациите на гражданското общество в управлението, подбора и мониторинга на финансираните проекти в съответствие с принципа на многостепенното управление, установен в Регламент (ЕС) 2021/1060;</w:t>
      </w:r>
    </w:p>
    <w:p w14:paraId="0D985063" w14:textId="275094DF" w:rsidR="00227099" w:rsidRDefault="00227099" w:rsidP="00227099">
      <w:pPr>
        <w:pStyle w:val="NormalHanging12a"/>
        <w:widowControl/>
        <w:ind w:left="0" w:firstLine="0"/>
        <w:jc w:val="center"/>
      </w:pPr>
      <w:r>
        <w:t>°</w:t>
      </w:r>
    </w:p>
    <w:p w14:paraId="1EED3845" w14:textId="0D946671" w:rsidR="00227099" w:rsidRDefault="00227099" w:rsidP="00227099">
      <w:pPr>
        <w:pStyle w:val="NormalHanging12a"/>
        <w:widowControl/>
        <w:ind w:left="0" w:firstLine="0"/>
        <w:jc w:val="center"/>
      </w:pPr>
      <w:r>
        <w:t>°     °</w:t>
      </w:r>
    </w:p>
    <w:p w14:paraId="25370B8C" w14:textId="6F210ADB" w:rsidR="00E365E1" w:rsidRPr="00AD2D0B" w:rsidRDefault="00CB3833" w:rsidP="00227099">
      <w:pPr>
        <w:pStyle w:val="NormalHanging12a"/>
      </w:pPr>
      <w:r w:rsidRPr="00AD2D0B">
        <w:t>53.</w:t>
      </w:r>
      <w:r w:rsidRPr="00AD2D0B">
        <w:tab/>
        <w:t xml:space="preserve">възлага на своя председател да предаде настоящата резолюция съответно на Съвета, на Комисията, на Европейския икономически и социален комитет, на </w:t>
      </w:r>
      <w:r w:rsidRPr="00AD2D0B">
        <w:lastRenderedPageBreak/>
        <w:t>Европейския комитет на регионите, както и на националните и регионалните парламенти на държавите членки.</w:t>
      </w:r>
    </w:p>
    <w:sectPr w:rsidR="00E365E1" w:rsidRPr="00AD2D0B" w:rsidSect="00AD2D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2AC37" w14:textId="77777777" w:rsidR="00D90E07" w:rsidRPr="00AD2D0B" w:rsidRDefault="00D90E07">
      <w:r w:rsidRPr="00AD2D0B">
        <w:separator/>
      </w:r>
    </w:p>
  </w:endnote>
  <w:endnote w:type="continuationSeparator" w:id="0">
    <w:p w14:paraId="3457BCB7" w14:textId="77777777" w:rsidR="00D90E07" w:rsidRPr="00AD2D0B" w:rsidRDefault="00D90E07">
      <w:r w:rsidRPr="00AD2D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9472" w14:textId="77777777" w:rsidR="00064002" w:rsidRPr="00AD2D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3F36" w14:textId="77777777" w:rsidR="00064002" w:rsidRPr="00AD2D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9BC9" w14:textId="77777777" w:rsidR="00064002" w:rsidRPr="00AD2D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A08BB" w14:textId="77777777" w:rsidR="00D90E07" w:rsidRPr="00AD2D0B" w:rsidRDefault="00D90E07">
      <w:r w:rsidRPr="00AD2D0B">
        <w:separator/>
      </w:r>
    </w:p>
  </w:footnote>
  <w:footnote w:type="continuationSeparator" w:id="0">
    <w:p w14:paraId="2D53C86F" w14:textId="77777777" w:rsidR="00D90E07" w:rsidRPr="00AD2D0B" w:rsidRDefault="00D90E07">
      <w:r w:rsidRPr="00AD2D0B">
        <w:continuationSeparator/>
      </w:r>
    </w:p>
  </w:footnote>
  <w:footnote w:id="1">
    <w:p w14:paraId="45DB381C" w14:textId="5C7912B5"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ОВ L 57, 18.2.2021 г., стр. 17, ELI: </w:t>
      </w:r>
      <w:hyperlink r:id="rId1" w:history="1">
        <w:r w:rsidRPr="00AD2D0B">
          <w:rPr>
            <w:rStyle w:val="Hyperlink"/>
            <w:sz w:val="24"/>
            <w:lang w:val="bg-BG"/>
          </w:rPr>
          <w:t>http://data.europa.eu/eli/reg/2021/241/oj</w:t>
        </w:r>
      </w:hyperlink>
      <w:r w:rsidRPr="00AD2D0B">
        <w:rPr>
          <w:sz w:val="24"/>
          <w:lang w:val="bg-BG"/>
        </w:rPr>
        <w:t xml:space="preserve">. </w:t>
      </w:r>
    </w:p>
  </w:footnote>
  <w:footnote w:id="2">
    <w:p w14:paraId="0604588D" w14:textId="54C9DAF0"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ОВ L 153, 3.5.2021 г., стр. 48, ELI: </w:t>
      </w:r>
      <w:hyperlink r:id="rId2" w:history="1">
        <w:r w:rsidRPr="00AD2D0B">
          <w:rPr>
            <w:rStyle w:val="Hyperlink"/>
            <w:sz w:val="24"/>
            <w:lang w:val="bg-BG"/>
          </w:rPr>
          <w:t>http://data.europa.eu/eli/reg/2021/691/oj</w:t>
        </w:r>
      </w:hyperlink>
      <w:r w:rsidRPr="00AD2D0B">
        <w:rPr>
          <w:sz w:val="24"/>
          <w:lang w:val="bg-BG"/>
        </w:rPr>
        <w:t>.</w:t>
      </w:r>
    </w:p>
  </w:footnote>
  <w:footnote w:id="3">
    <w:p w14:paraId="6FC5CC8C" w14:textId="7C9C4E6A"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rStyle w:val="Emphasis"/>
          <w:color w:val="333333"/>
          <w:sz w:val="24"/>
          <w:shd w:val="clear" w:color="auto" w:fill="FFFFFF"/>
          <w:lang w:val="bg-BG"/>
        </w:rPr>
        <w:t xml:space="preserve"> </w:t>
      </w:r>
      <w:r w:rsidR="00AD2D0B" w:rsidRPr="00AD2D0B">
        <w:rPr>
          <w:rStyle w:val="Emphasis"/>
          <w:color w:val="333333"/>
          <w:sz w:val="24"/>
          <w:shd w:val="clear" w:color="auto" w:fill="FFFFFF"/>
          <w:lang w:val="bg-BG"/>
        </w:rPr>
        <w:tab/>
      </w:r>
      <w:r w:rsidRPr="00227099">
        <w:rPr>
          <w:rStyle w:val="Emphasis"/>
          <w:i w:val="0"/>
          <w:iCs w:val="0"/>
          <w:color w:val="333333"/>
          <w:sz w:val="24"/>
          <w:shd w:val="clear" w:color="auto" w:fill="FFFFFF"/>
          <w:lang w:val="bg-BG"/>
        </w:rPr>
        <w:t>ОВ L 231, 30.6.2021 г., стр. 1, ELI:</w:t>
      </w:r>
      <w:r w:rsidRPr="00AD2D0B">
        <w:rPr>
          <w:rStyle w:val="Emphasis"/>
          <w:color w:val="333333"/>
          <w:sz w:val="24"/>
          <w:shd w:val="clear" w:color="auto" w:fill="FFFFFF"/>
          <w:lang w:val="bg-BG"/>
        </w:rPr>
        <w:t xml:space="preserve"> </w:t>
      </w:r>
      <w:hyperlink r:id="rId3" w:history="1">
        <w:r w:rsidRPr="00AD2D0B">
          <w:rPr>
            <w:rStyle w:val="Hyperlink"/>
            <w:sz w:val="24"/>
            <w:shd w:val="clear" w:color="auto" w:fill="FFFFFF"/>
            <w:lang w:val="bg-BG"/>
          </w:rPr>
          <w:t>http://data.europa.eu/eli/reg/2021/1056/oj</w:t>
        </w:r>
      </w:hyperlink>
      <w:r w:rsidRPr="00AD2D0B">
        <w:rPr>
          <w:sz w:val="24"/>
          <w:lang w:val="bg-BG"/>
        </w:rPr>
        <w:t>.</w:t>
      </w:r>
      <w:r w:rsidRPr="00AD2D0B">
        <w:rPr>
          <w:rStyle w:val="Emphasis"/>
          <w:color w:val="333333"/>
          <w:sz w:val="24"/>
          <w:shd w:val="clear" w:color="auto" w:fill="FFFFFF"/>
          <w:lang w:val="bg-BG"/>
        </w:rPr>
        <w:t xml:space="preserve"> </w:t>
      </w:r>
    </w:p>
  </w:footnote>
  <w:footnote w:id="4">
    <w:p w14:paraId="124500F6" w14:textId="2B22BFA5"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rStyle w:val="Emphasis"/>
          <w:color w:val="333333"/>
          <w:sz w:val="24"/>
          <w:shd w:val="clear" w:color="auto" w:fill="FFFFFF"/>
          <w:lang w:val="bg-BG"/>
        </w:rPr>
        <w:t xml:space="preserve"> </w:t>
      </w:r>
      <w:r w:rsidR="00AD2D0B" w:rsidRPr="00AD2D0B">
        <w:rPr>
          <w:rStyle w:val="Emphasis"/>
          <w:color w:val="333333"/>
          <w:sz w:val="24"/>
          <w:shd w:val="clear" w:color="auto" w:fill="FFFFFF"/>
          <w:lang w:val="bg-BG"/>
        </w:rPr>
        <w:tab/>
      </w:r>
      <w:r w:rsidRPr="00227099">
        <w:rPr>
          <w:rStyle w:val="Emphasis"/>
          <w:i w:val="0"/>
          <w:iCs w:val="0"/>
          <w:color w:val="333333"/>
          <w:sz w:val="24"/>
          <w:shd w:val="clear" w:color="auto" w:fill="FFFFFF"/>
          <w:lang w:val="bg-BG"/>
        </w:rPr>
        <w:t>ОВ L 231, 30.6.2021 г., стр. 21, ELI:</w:t>
      </w:r>
      <w:r w:rsidRPr="00AD2D0B">
        <w:rPr>
          <w:color w:val="23527C"/>
          <w:sz w:val="24"/>
          <w:shd w:val="clear" w:color="auto" w:fill="FFFFFF"/>
          <w:lang w:val="bg-BG"/>
        </w:rPr>
        <w:t xml:space="preserve"> </w:t>
      </w:r>
      <w:hyperlink r:id="rId4" w:history="1">
        <w:r w:rsidRPr="00AD2D0B">
          <w:rPr>
            <w:rStyle w:val="Hyperlink"/>
            <w:sz w:val="24"/>
            <w:shd w:val="clear" w:color="auto" w:fill="FFFFFF"/>
            <w:lang w:val="bg-BG"/>
          </w:rPr>
          <w:t>http://data.europa.eu/eli/reg/2021/1057/oj</w:t>
        </w:r>
      </w:hyperlink>
      <w:r w:rsidRPr="00AD2D0B">
        <w:rPr>
          <w:sz w:val="24"/>
          <w:lang w:val="bg-BG"/>
        </w:rPr>
        <w:t>.</w:t>
      </w:r>
    </w:p>
  </w:footnote>
  <w:footnote w:id="5">
    <w:p w14:paraId="7C4298A2" w14:textId="0DC3B850"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rStyle w:val="Emphasis"/>
          <w:color w:val="333333"/>
          <w:sz w:val="24"/>
          <w:shd w:val="clear" w:color="auto" w:fill="FFFFFF"/>
          <w:lang w:val="bg-BG"/>
        </w:rPr>
        <w:t xml:space="preserve"> </w:t>
      </w:r>
      <w:r w:rsidR="00AD2D0B" w:rsidRPr="00AD2D0B">
        <w:rPr>
          <w:rStyle w:val="Emphasis"/>
          <w:color w:val="333333"/>
          <w:sz w:val="24"/>
          <w:shd w:val="clear" w:color="auto" w:fill="FFFFFF"/>
          <w:lang w:val="bg-BG"/>
        </w:rPr>
        <w:tab/>
      </w:r>
      <w:r w:rsidRPr="00227099">
        <w:rPr>
          <w:rStyle w:val="Emphasis"/>
          <w:i w:val="0"/>
          <w:iCs w:val="0"/>
          <w:color w:val="333333"/>
          <w:sz w:val="24"/>
          <w:shd w:val="clear" w:color="auto" w:fill="FFFFFF"/>
          <w:lang w:val="bg-BG"/>
        </w:rPr>
        <w:t>OВ L 231, 30.6.2021 г., стр. 60, ELI:</w:t>
      </w:r>
      <w:r w:rsidRPr="00AD2D0B">
        <w:rPr>
          <w:rStyle w:val="Emphasis"/>
          <w:color w:val="333333"/>
          <w:sz w:val="24"/>
          <w:shd w:val="clear" w:color="auto" w:fill="FFFFFF"/>
          <w:lang w:val="bg-BG"/>
        </w:rPr>
        <w:t xml:space="preserve"> </w:t>
      </w:r>
      <w:hyperlink r:id="rId5" w:history="1">
        <w:r w:rsidRPr="00AD2D0B">
          <w:rPr>
            <w:rStyle w:val="Hyperlink"/>
            <w:sz w:val="24"/>
            <w:shd w:val="clear" w:color="auto" w:fill="FFFFFF"/>
            <w:lang w:val="bg-BG"/>
          </w:rPr>
          <w:t>http://data.europa.eu/eli/reg/2021/1058/oj</w:t>
        </w:r>
      </w:hyperlink>
      <w:r w:rsidRPr="00AD2D0B">
        <w:rPr>
          <w:rStyle w:val="Emphasis"/>
          <w:color w:val="333333"/>
          <w:sz w:val="24"/>
          <w:shd w:val="clear" w:color="auto" w:fill="FFFFFF"/>
          <w:lang w:val="bg-BG"/>
        </w:rPr>
        <w:t>.</w:t>
      </w:r>
    </w:p>
  </w:footnote>
  <w:footnote w:id="6">
    <w:p w14:paraId="21E672B1" w14:textId="31D6F227"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OВ L 231, 30.6.2021 г., стр. 159, </w:t>
      </w:r>
      <w:r w:rsidRPr="00AD2D0B">
        <w:rPr>
          <w:color w:val="333333"/>
          <w:sz w:val="24"/>
          <w:shd w:val="clear" w:color="auto" w:fill="FFFFFF"/>
          <w:lang w:val="bg-BG"/>
        </w:rPr>
        <w:t>ELI: </w:t>
      </w:r>
      <w:hyperlink r:id="rId6" w:history="1">
        <w:r w:rsidRPr="00AD2D0B">
          <w:rPr>
            <w:rStyle w:val="Hyperlink"/>
            <w:sz w:val="24"/>
            <w:shd w:val="clear" w:color="auto" w:fill="FFFFFF"/>
            <w:lang w:val="bg-BG"/>
          </w:rPr>
          <w:t>http://data.europa.eu/eli/reg/2021/1060/oj</w:t>
        </w:r>
      </w:hyperlink>
      <w:r w:rsidRPr="00AD2D0B">
        <w:rPr>
          <w:sz w:val="24"/>
          <w:lang w:val="bg-BG"/>
        </w:rPr>
        <w:t xml:space="preserve">. </w:t>
      </w:r>
    </w:p>
  </w:footnote>
  <w:footnote w:id="7">
    <w:p w14:paraId="20CAC340" w14:textId="154AA614"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rStyle w:val="Emphasis"/>
          <w:color w:val="333333"/>
          <w:sz w:val="24"/>
          <w:shd w:val="clear" w:color="auto" w:fill="FFFFFF"/>
          <w:lang w:val="bg-BG"/>
        </w:rPr>
        <w:t xml:space="preserve"> </w:t>
      </w:r>
      <w:r w:rsidR="00AD2D0B" w:rsidRPr="00AD2D0B">
        <w:rPr>
          <w:rStyle w:val="Emphasis"/>
          <w:color w:val="333333"/>
          <w:sz w:val="24"/>
          <w:shd w:val="clear" w:color="auto" w:fill="FFFFFF"/>
          <w:lang w:val="bg-BG"/>
        </w:rPr>
        <w:tab/>
      </w:r>
      <w:r w:rsidRPr="00227099">
        <w:rPr>
          <w:rStyle w:val="Emphasis"/>
          <w:i w:val="0"/>
          <w:iCs w:val="0"/>
          <w:color w:val="333333"/>
          <w:sz w:val="24"/>
          <w:shd w:val="clear" w:color="auto" w:fill="FFFFFF"/>
          <w:lang w:val="bg-BG"/>
        </w:rPr>
        <w:t>ОВ L 243, 9.7.2021 г., стр. 1, ELI:</w:t>
      </w:r>
      <w:r w:rsidRPr="00AD2D0B">
        <w:rPr>
          <w:rStyle w:val="Emphasis"/>
          <w:color w:val="333333"/>
          <w:sz w:val="24"/>
          <w:shd w:val="clear" w:color="auto" w:fill="FFFFFF"/>
          <w:lang w:val="bg-BG"/>
        </w:rPr>
        <w:t xml:space="preserve"> </w:t>
      </w:r>
      <w:hyperlink r:id="rId7" w:history="1">
        <w:r w:rsidRPr="00AD2D0B">
          <w:rPr>
            <w:rStyle w:val="Hyperlink"/>
            <w:sz w:val="24"/>
            <w:shd w:val="clear" w:color="auto" w:fill="FFFFFF"/>
            <w:lang w:val="bg-BG"/>
          </w:rPr>
          <w:t>http://data.europa.eu/eli/reg/2021/1119/oj.</w:t>
        </w:r>
      </w:hyperlink>
      <w:r w:rsidRPr="00AD2D0B">
        <w:rPr>
          <w:rStyle w:val="Emphasis"/>
          <w:color w:val="333333"/>
          <w:sz w:val="24"/>
          <w:shd w:val="clear" w:color="auto" w:fill="FFFFFF"/>
          <w:lang w:val="bg-BG"/>
        </w:rPr>
        <w:t xml:space="preserve"> </w:t>
      </w:r>
    </w:p>
  </w:footnote>
  <w:footnote w:id="8">
    <w:p w14:paraId="1DB124A6" w14:textId="7250CC3F"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ОВ L, 2024/1735, 28.6.2024 г., ELI: </w:t>
      </w:r>
      <w:hyperlink r:id="rId8" w:history="1">
        <w:r w:rsidRPr="00AD2D0B">
          <w:rPr>
            <w:rStyle w:val="Hyperlink"/>
            <w:sz w:val="24"/>
            <w:lang w:val="bg-BG"/>
          </w:rPr>
          <w:t>http://data.europa.eu/eli/reg/2024/1735/oj</w:t>
        </w:r>
      </w:hyperlink>
      <w:r w:rsidRPr="00AD2D0B">
        <w:rPr>
          <w:sz w:val="24"/>
          <w:lang w:val="bg-BG"/>
        </w:rPr>
        <w:t xml:space="preserve">. </w:t>
      </w:r>
    </w:p>
  </w:footnote>
  <w:footnote w:id="9">
    <w:p w14:paraId="2FD7C933" w14:textId="5EE7ACB1"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OВ C 494, 8.12.2021 г., стр. 26.</w:t>
      </w:r>
    </w:p>
  </w:footnote>
  <w:footnote w:id="10">
    <w:p w14:paraId="044E7BA7" w14:textId="368A1453"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ОВ C 15, 12.1.2022 г., стр. 125. </w:t>
      </w:r>
    </w:p>
  </w:footnote>
  <w:footnote w:id="11">
    <w:p w14:paraId="51EA6C24" w14:textId="601900F7"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ОВ C 493, 27.12.2022 г., стр. 48.</w:t>
      </w:r>
    </w:p>
  </w:footnote>
  <w:footnote w:id="12">
    <w:p w14:paraId="29437CF1" w14:textId="4EF655F2" w:rsidR="00CB3833" w:rsidRPr="00AD2D0B" w:rsidRDefault="00CB3833" w:rsidP="00AD2D0B">
      <w:pPr>
        <w:pStyle w:val="FootnoteText"/>
        <w:ind w:left="567" w:hanging="567"/>
        <w:rPr>
          <w:i/>
          <w:sz w:val="24"/>
          <w:lang w:val="bg-BG"/>
        </w:rPr>
      </w:pPr>
      <w:r w:rsidRPr="00AD2D0B">
        <w:rPr>
          <w:rStyle w:val="FootnoteReference"/>
          <w:sz w:val="24"/>
          <w:lang w:val="bg-BG"/>
        </w:rPr>
        <w:footnoteRef/>
      </w:r>
      <w:r w:rsidR="00AD2D0B" w:rsidRPr="00AD2D0B">
        <w:rPr>
          <w:rStyle w:val="Emphasis"/>
          <w:color w:val="333333"/>
          <w:sz w:val="24"/>
          <w:shd w:val="clear" w:color="auto" w:fill="FFFFFF"/>
          <w:lang w:val="bg-BG"/>
        </w:rPr>
        <w:t xml:space="preserve"> </w:t>
      </w:r>
      <w:r w:rsidR="00AD2D0B" w:rsidRPr="00AD2D0B">
        <w:rPr>
          <w:rStyle w:val="Emphasis"/>
          <w:color w:val="333333"/>
          <w:sz w:val="24"/>
          <w:shd w:val="clear" w:color="auto" w:fill="FFFFFF"/>
          <w:lang w:val="bg-BG"/>
        </w:rPr>
        <w:tab/>
      </w:r>
      <w:r w:rsidRPr="00227099">
        <w:rPr>
          <w:rStyle w:val="Emphasis"/>
          <w:i w:val="0"/>
          <w:iCs w:val="0"/>
          <w:color w:val="333333"/>
          <w:sz w:val="24"/>
          <w:shd w:val="clear" w:color="auto" w:fill="FFFFFF"/>
          <w:lang w:val="bg-BG"/>
        </w:rPr>
        <w:t>OВ C 125, 5.4.2023 г., стр. 100.</w:t>
      </w:r>
    </w:p>
  </w:footnote>
  <w:footnote w:id="13">
    <w:p w14:paraId="1D1CF78E" w14:textId="110B1AAA"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ОВ C, C/2024/4224, 24.7.2024 г., ELI: </w:t>
      </w:r>
      <w:hyperlink r:id="rId9" w:history="1">
        <w:r w:rsidRPr="00AD2D0B">
          <w:rPr>
            <w:rStyle w:val="Hyperlink"/>
            <w:sz w:val="24"/>
            <w:lang w:val="bg-BG"/>
          </w:rPr>
          <w:t>http://data.europa.eu/eli/C/2024/4224/oj</w:t>
        </w:r>
      </w:hyperlink>
      <w:r w:rsidRPr="00AD2D0B">
        <w:rPr>
          <w:sz w:val="24"/>
          <w:lang w:val="bg-BG"/>
        </w:rPr>
        <w:t>.</w:t>
      </w:r>
    </w:p>
  </w:footnote>
  <w:footnote w:id="14">
    <w:p w14:paraId="7B51B96E" w14:textId="1B8E9DDA"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227099">
        <w:rPr>
          <w:rStyle w:val="Emphasis"/>
          <w:i w:val="0"/>
          <w:color w:val="333333"/>
          <w:sz w:val="24"/>
          <w:shd w:val="clear" w:color="auto" w:fill="FFFFFF"/>
          <w:lang w:val="bg-BG"/>
        </w:rPr>
        <w:t xml:space="preserve"> </w:t>
      </w:r>
      <w:r w:rsidR="00AD2D0B" w:rsidRPr="00227099">
        <w:rPr>
          <w:rStyle w:val="Emphasis"/>
          <w:i w:val="0"/>
          <w:color w:val="333333"/>
          <w:sz w:val="24"/>
          <w:shd w:val="clear" w:color="auto" w:fill="FFFFFF"/>
          <w:lang w:val="bg-BG"/>
        </w:rPr>
        <w:tab/>
      </w:r>
      <w:r w:rsidRPr="00227099">
        <w:rPr>
          <w:rStyle w:val="Emphasis"/>
          <w:i w:val="0"/>
          <w:color w:val="333333"/>
          <w:sz w:val="24"/>
          <w:shd w:val="clear" w:color="auto" w:fill="FFFFFF"/>
          <w:lang w:val="bg-BG"/>
        </w:rPr>
        <w:t xml:space="preserve">ОВ C, C/2024/4225, 24.7.2024 г., ELI: </w:t>
      </w:r>
      <w:hyperlink r:id="rId10" w:history="1">
        <w:r w:rsidRPr="00AD2D0B">
          <w:rPr>
            <w:rStyle w:val="Hyperlink"/>
            <w:sz w:val="24"/>
            <w:shd w:val="clear" w:color="auto" w:fill="FFFFFF"/>
            <w:lang w:val="bg-BG"/>
          </w:rPr>
          <w:t>http://data.europa.eu/eli/C/2024/4225/oj</w:t>
        </w:r>
      </w:hyperlink>
      <w:r w:rsidRPr="00227099">
        <w:rPr>
          <w:rStyle w:val="Emphasis"/>
          <w:i w:val="0"/>
          <w:color w:val="333333"/>
          <w:sz w:val="24"/>
          <w:shd w:val="clear" w:color="auto" w:fill="FFFFFF"/>
          <w:lang w:val="bg-BG"/>
        </w:rPr>
        <w:t xml:space="preserve">. </w:t>
      </w:r>
    </w:p>
  </w:footnote>
  <w:footnote w:id="15">
    <w:p w14:paraId="0943AFAB" w14:textId="490765AB"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227099">
        <w:rPr>
          <w:rStyle w:val="Emphasis"/>
          <w:i w:val="0"/>
          <w:color w:val="333333"/>
          <w:sz w:val="24"/>
          <w:shd w:val="clear" w:color="auto" w:fill="FFFFFF"/>
          <w:lang w:val="bg-BG"/>
        </w:rPr>
        <w:t xml:space="preserve"> </w:t>
      </w:r>
      <w:r w:rsidR="00AD2D0B" w:rsidRPr="00227099">
        <w:rPr>
          <w:rStyle w:val="Emphasis"/>
          <w:i w:val="0"/>
          <w:color w:val="333333"/>
          <w:sz w:val="24"/>
          <w:shd w:val="clear" w:color="auto" w:fill="FFFFFF"/>
          <w:lang w:val="bg-BG"/>
        </w:rPr>
        <w:tab/>
      </w:r>
      <w:r w:rsidRPr="00227099">
        <w:rPr>
          <w:rStyle w:val="Emphasis"/>
          <w:i w:val="0"/>
          <w:color w:val="333333"/>
          <w:sz w:val="24"/>
          <w:shd w:val="clear" w:color="auto" w:fill="FFFFFF"/>
          <w:lang w:val="bg-BG"/>
        </w:rPr>
        <w:t xml:space="preserve">ОВ C, C/2024/4166, 2.8.2024 г., ELI: </w:t>
      </w:r>
      <w:hyperlink r:id="rId11" w:history="1">
        <w:r w:rsidRPr="00AD2D0B">
          <w:rPr>
            <w:rStyle w:val="Hyperlink"/>
            <w:sz w:val="24"/>
            <w:shd w:val="clear" w:color="auto" w:fill="FFFFFF"/>
            <w:lang w:val="bg-BG"/>
          </w:rPr>
          <w:t>http://data.europa.eu/eli/C/2024/4166/oj</w:t>
        </w:r>
      </w:hyperlink>
      <w:r w:rsidRPr="00227099">
        <w:rPr>
          <w:rStyle w:val="Emphasis"/>
          <w:i w:val="0"/>
          <w:color w:val="333333"/>
          <w:sz w:val="24"/>
          <w:shd w:val="clear" w:color="auto" w:fill="FFFFFF"/>
          <w:lang w:val="bg-BG"/>
        </w:rPr>
        <w:t xml:space="preserve">. </w:t>
      </w:r>
    </w:p>
  </w:footnote>
  <w:footnote w:id="16">
    <w:p w14:paraId="04B6EC98" w14:textId="585B1030"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227099">
        <w:rPr>
          <w:rStyle w:val="Emphasis"/>
          <w:i w:val="0"/>
          <w:color w:val="333333"/>
          <w:sz w:val="24"/>
          <w:shd w:val="clear" w:color="auto" w:fill="FFFFFF"/>
          <w:lang w:val="bg-BG"/>
        </w:rPr>
        <w:t xml:space="preserve"> </w:t>
      </w:r>
      <w:r w:rsidR="00AD2D0B" w:rsidRPr="00227099">
        <w:rPr>
          <w:rStyle w:val="Emphasis"/>
          <w:i w:val="0"/>
          <w:color w:val="333333"/>
          <w:sz w:val="24"/>
          <w:shd w:val="clear" w:color="auto" w:fill="FFFFFF"/>
          <w:lang w:val="bg-BG"/>
        </w:rPr>
        <w:tab/>
      </w:r>
      <w:r w:rsidRPr="00227099">
        <w:rPr>
          <w:rStyle w:val="Emphasis"/>
          <w:i w:val="0"/>
          <w:color w:val="333333"/>
          <w:sz w:val="24"/>
          <w:shd w:val="clear" w:color="auto" w:fill="FFFFFF"/>
          <w:lang w:val="bg-BG"/>
        </w:rPr>
        <w:t xml:space="preserve">ОВ C, C/2024/6562, 12.11.2024 г., ELI: </w:t>
      </w:r>
      <w:hyperlink r:id="rId12" w:history="1">
        <w:r w:rsidRPr="00AD2D0B">
          <w:rPr>
            <w:rStyle w:val="Hyperlink"/>
            <w:sz w:val="24"/>
            <w:shd w:val="clear" w:color="auto" w:fill="FFFFFF"/>
            <w:lang w:val="bg-BG"/>
          </w:rPr>
          <w:t>http://data.europa.eu/eli/C/2024/6562/oj</w:t>
        </w:r>
      </w:hyperlink>
      <w:r w:rsidRPr="00227099">
        <w:rPr>
          <w:rStyle w:val="Emphasis"/>
          <w:i w:val="0"/>
          <w:color w:val="333333"/>
          <w:sz w:val="24"/>
          <w:shd w:val="clear" w:color="auto" w:fill="FFFFFF"/>
          <w:lang w:val="bg-BG"/>
        </w:rPr>
        <w:t xml:space="preserve">. </w:t>
      </w:r>
    </w:p>
  </w:footnote>
  <w:footnote w:id="17">
    <w:p w14:paraId="789F42E8" w14:textId="795BD5E8"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227099">
        <w:rPr>
          <w:rStyle w:val="Emphasis"/>
          <w:i w:val="0"/>
          <w:color w:val="333333"/>
          <w:sz w:val="24"/>
          <w:shd w:val="clear" w:color="auto" w:fill="FFFFFF"/>
          <w:lang w:val="bg-BG"/>
        </w:rPr>
        <w:t xml:space="preserve"> </w:t>
      </w:r>
      <w:r w:rsidR="00AD2D0B" w:rsidRPr="00227099">
        <w:rPr>
          <w:rStyle w:val="Emphasis"/>
          <w:i w:val="0"/>
          <w:color w:val="333333"/>
          <w:sz w:val="24"/>
          <w:shd w:val="clear" w:color="auto" w:fill="FFFFFF"/>
          <w:lang w:val="bg-BG"/>
        </w:rPr>
        <w:tab/>
      </w:r>
      <w:r w:rsidRPr="00227099">
        <w:rPr>
          <w:rStyle w:val="Emphasis"/>
          <w:i w:val="0"/>
          <w:color w:val="333333"/>
          <w:sz w:val="24"/>
          <w:shd w:val="clear" w:color="auto" w:fill="FFFFFF"/>
          <w:lang w:val="bg-BG"/>
        </w:rPr>
        <w:t xml:space="preserve">ОВ C, C/2024/7058, 4.12.2024 г., ELI: </w:t>
      </w:r>
      <w:hyperlink r:id="rId13" w:history="1">
        <w:r w:rsidRPr="00AD2D0B">
          <w:rPr>
            <w:rStyle w:val="Hyperlink"/>
            <w:sz w:val="24"/>
            <w:shd w:val="clear" w:color="auto" w:fill="FFFFFF"/>
            <w:lang w:val="bg-BG"/>
          </w:rPr>
          <w:t>http://data.europa.eu/eli/C/2024/7058/oj</w:t>
        </w:r>
      </w:hyperlink>
      <w:r w:rsidRPr="00227099">
        <w:rPr>
          <w:rStyle w:val="Emphasis"/>
          <w:i w:val="0"/>
          <w:color w:val="333333"/>
          <w:sz w:val="24"/>
          <w:shd w:val="clear" w:color="auto" w:fill="FFFFFF"/>
          <w:lang w:val="bg-BG"/>
        </w:rPr>
        <w:t xml:space="preserve">. </w:t>
      </w:r>
    </w:p>
  </w:footnote>
  <w:footnote w:id="18">
    <w:p w14:paraId="10D6A742" w14:textId="0EFEC510"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ОВ C, C/2025/285, 24.1.2025 г., ELI: </w:t>
      </w:r>
      <w:hyperlink r:id="rId14" w:history="1">
        <w:r w:rsidRPr="00AD2D0B">
          <w:rPr>
            <w:rStyle w:val="Hyperlink"/>
            <w:sz w:val="24"/>
            <w:lang w:val="bg-BG"/>
          </w:rPr>
          <w:t>http://data.europa.eu/eli/C/2025/285/oj</w:t>
        </w:r>
      </w:hyperlink>
      <w:r w:rsidRPr="00AD2D0B">
        <w:rPr>
          <w:sz w:val="24"/>
          <w:lang w:val="bg-BG"/>
        </w:rPr>
        <w:t xml:space="preserve">. </w:t>
      </w:r>
    </w:p>
  </w:footnote>
  <w:footnote w:id="19">
    <w:p w14:paraId="15DB54E3" w14:textId="2517E6F7"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Директива (ЕС) 2019/944 на Европейския парламент и на Съвета от 5 юни 2019 г. относно вътрешния пазар на електроенергия и за изменение на Директива 2012/27/ЕС (преработен текст) </w:t>
      </w:r>
      <w:r w:rsidR="00600D63" w:rsidRPr="00537160">
        <w:rPr>
          <w:sz w:val="24"/>
          <w:lang w:val="ru-RU"/>
        </w:rPr>
        <w:t>(</w:t>
      </w:r>
      <w:r w:rsidRPr="00AD2D0B">
        <w:rPr>
          <w:sz w:val="24"/>
          <w:lang w:val="bg-BG"/>
        </w:rPr>
        <w:t xml:space="preserve">ОВ L 158, 14.6.2019 г., стр. 125, ELI: </w:t>
      </w:r>
      <w:hyperlink r:id="rId15" w:history="1">
        <w:r w:rsidRPr="00AD2D0B">
          <w:rPr>
            <w:rStyle w:val="Hyperlink"/>
            <w:sz w:val="24"/>
            <w:lang w:val="bg-BG"/>
          </w:rPr>
          <w:t>http://data.europa.eu/eli/dir/2019/944/oj</w:t>
        </w:r>
      </w:hyperlink>
      <w:r w:rsidRPr="00AD2D0B">
        <w:rPr>
          <w:sz w:val="24"/>
          <w:lang w:val="bg-BG"/>
        </w:rPr>
        <w:t xml:space="preserve">). </w:t>
      </w:r>
    </w:p>
  </w:footnote>
  <w:footnote w:id="20">
    <w:p w14:paraId="1A544E00" w14:textId="500116EA"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 xml:space="preserve">Директива (ЕС) 2022/2041 на Европейския парламент и на Съвета от 19 октомври 2022 г. относно адекватните минимални работни заплати в Европейския съюз (ОВ L 275, 25.10.2022 г., стр. 33, ELI: </w:t>
      </w:r>
      <w:hyperlink r:id="rId16" w:history="1">
        <w:r w:rsidRPr="00AD2D0B">
          <w:rPr>
            <w:rStyle w:val="Hyperlink"/>
            <w:sz w:val="24"/>
            <w:lang w:val="bg-BG"/>
          </w:rPr>
          <w:t>http://data.europa.eu/eli/dir/2022/2041/oj)</w:t>
        </w:r>
      </w:hyperlink>
      <w:r w:rsidRPr="00AD2D0B">
        <w:rPr>
          <w:sz w:val="24"/>
          <w:lang w:val="bg-BG"/>
        </w:rPr>
        <w:t xml:space="preserve">. </w:t>
      </w:r>
    </w:p>
  </w:footnote>
  <w:footnote w:id="21">
    <w:p w14:paraId="2F411F0E" w14:textId="239FB985" w:rsidR="00CB3833" w:rsidRPr="00AD2D0B" w:rsidRDefault="00CB3833" w:rsidP="00AD2D0B">
      <w:pPr>
        <w:pStyle w:val="FootnoteText"/>
        <w:ind w:left="567" w:hanging="567"/>
        <w:rPr>
          <w:sz w:val="24"/>
          <w:lang w:val="bg-BG"/>
        </w:rPr>
      </w:pPr>
      <w:r w:rsidRPr="00AD2D0B">
        <w:rPr>
          <w:rStyle w:val="FootnoteReference"/>
          <w:sz w:val="24"/>
          <w:lang w:val="bg-BG"/>
        </w:rPr>
        <w:footnoteRef/>
      </w:r>
      <w:r w:rsidR="00AD2D0B" w:rsidRPr="00AD2D0B">
        <w:rPr>
          <w:sz w:val="24"/>
          <w:lang w:val="bg-BG"/>
        </w:rPr>
        <w:t xml:space="preserve"> </w:t>
      </w:r>
      <w:r w:rsidR="00AD2D0B" w:rsidRPr="00AD2D0B">
        <w:rPr>
          <w:sz w:val="24"/>
          <w:lang w:val="bg-BG"/>
        </w:rPr>
        <w:tab/>
      </w:r>
      <w:r w:rsidRPr="00AD2D0B">
        <w:rPr>
          <w:sz w:val="24"/>
          <w:lang w:val="bg-BG"/>
        </w:rPr>
        <w:t>Номенклатура на териториалните единици за статистически цели — ниво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88F5" w14:textId="77777777" w:rsidR="00064002" w:rsidRPr="00AD2D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B1BA" w14:textId="77777777" w:rsidR="00064002" w:rsidRPr="00AD2D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E5E0" w14:textId="77777777" w:rsidR="00064002" w:rsidRPr="00AD2D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9541476">
    <w:abstractNumId w:val="9"/>
  </w:num>
  <w:num w:numId="2" w16cid:durableId="1879125106">
    <w:abstractNumId w:val="9"/>
  </w:num>
  <w:num w:numId="3" w16cid:durableId="230045274">
    <w:abstractNumId w:val="7"/>
  </w:num>
  <w:num w:numId="4" w16cid:durableId="953486394">
    <w:abstractNumId w:val="7"/>
  </w:num>
  <w:num w:numId="5" w16cid:durableId="1290167467">
    <w:abstractNumId w:val="6"/>
  </w:num>
  <w:num w:numId="6" w16cid:durableId="1082406904">
    <w:abstractNumId w:val="6"/>
  </w:num>
  <w:num w:numId="7" w16cid:durableId="298917801">
    <w:abstractNumId w:val="5"/>
  </w:num>
  <w:num w:numId="8" w16cid:durableId="267935531">
    <w:abstractNumId w:val="5"/>
  </w:num>
  <w:num w:numId="9" w16cid:durableId="682899521">
    <w:abstractNumId w:val="4"/>
  </w:num>
  <w:num w:numId="10" w16cid:durableId="1103452705">
    <w:abstractNumId w:val="4"/>
  </w:num>
  <w:num w:numId="11" w16cid:durableId="2029747806">
    <w:abstractNumId w:val="8"/>
  </w:num>
  <w:num w:numId="12" w16cid:durableId="1749038663">
    <w:abstractNumId w:val="8"/>
  </w:num>
  <w:num w:numId="13" w16cid:durableId="1391689003">
    <w:abstractNumId w:val="3"/>
  </w:num>
  <w:num w:numId="14" w16cid:durableId="543058866">
    <w:abstractNumId w:val="3"/>
  </w:num>
  <w:num w:numId="15" w16cid:durableId="1593396367">
    <w:abstractNumId w:val="2"/>
  </w:num>
  <w:num w:numId="16" w16cid:durableId="307637654">
    <w:abstractNumId w:val="2"/>
  </w:num>
  <w:num w:numId="17" w16cid:durableId="241183787">
    <w:abstractNumId w:val="1"/>
  </w:num>
  <w:num w:numId="18" w16cid:durableId="1415319870">
    <w:abstractNumId w:val="1"/>
  </w:num>
  <w:num w:numId="19" w16cid:durableId="686953108">
    <w:abstractNumId w:val="0"/>
  </w:num>
  <w:num w:numId="20" w16cid:durableId="1889878554">
    <w:abstractNumId w:val="0"/>
  </w:num>
  <w:num w:numId="21" w16cid:durableId="1803184725">
    <w:abstractNumId w:val="9"/>
  </w:num>
  <w:num w:numId="22" w16cid:durableId="1538467106">
    <w:abstractNumId w:val="7"/>
  </w:num>
  <w:num w:numId="23" w16cid:durableId="664019053">
    <w:abstractNumId w:val="6"/>
  </w:num>
  <w:num w:numId="24" w16cid:durableId="233660335">
    <w:abstractNumId w:val="5"/>
  </w:num>
  <w:num w:numId="25" w16cid:durableId="704259623">
    <w:abstractNumId w:val="4"/>
  </w:num>
  <w:num w:numId="26" w16cid:durableId="1233197640">
    <w:abstractNumId w:val="8"/>
  </w:num>
  <w:num w:numId="27" w16cid:durableId="1881280739">
    <w:abstractNumId w:val="3"/>
  </w:num>
  <w:num w:numId="28" w16cid:durableId="51583868">
    <w:abstractNumId w:val="2"/>
  </w:num>
  <w:num w:numId="29" w16cid:durableId="1596087266">
    <w:abstractNumId w:val="1"/>
  </w:num>
  <w:num w:numId="30" w16cid:durableId="1244022295">
    <w:abstractNumId w:val="0"/>
  </w:num>
  <w:num w:numId="31" w16cid:durableId="988171392">
    <w:abstractNumId w:val="9"/>
  </w:num>
  <w:num w:numId="32" w16cid:durableId="1304113712">
    <w:abstractNumId w:val="7"/>
  </w:num>
  <w:num w:numId="33" w16cid:durableId="1363942769">
    <w:abstractNumId w:val="6"/>
  </w:num>
  <w:num w:numId="34" w16cid:durableId="872620933">
    <w:abstractNumId w:val="5"/>
  </w:num>
  <w:num w:numId="35" w16cid:durableId="1055080675">
    <w:abstractNumId w:val="4"/>
  </w:num>
  <w:num w:numId="36" w16cid:durableId="256250158">
    <w:abstractNumId w:val="8"/>
  </w:num>
  <w:num w:numId="37" w16cid:durableId="490369412">
    <w:abstractNumId w:val="3"/>
  </w:num>
  <w:num w:numId="38" w16cid:durableId="1705517641">
    <w:abstractNumId w:val="2"/>
  </w:num>
  <w:num w:numId="39" w16cid:durableId="819418232">
    <w:abstractNumId w:val="1"/>
  </w:num>
  <w:num w:numId="40" w16cid:durableId="1898469728">
    <w:abstractNumId w:val="0"/>
  </w:num>
  <w:num w:numId="41" w16cid:durableId="358747762">
    <w:abstractNumId w:val="10"/>
  </w:num>
  <w:num w:numId="42" w16cid:durableId="1707172564">
    <w:abstractNumId w:val="10"/>
  </w:num>
  <w:num w:numId="43" w16cid:durableId="81028154">
    <w:abstractNumId w:val="10"/>
  </w:num>
  <w:num w:numId="44" w16cid:durableId="332151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BG"/>
    <w:docVar w:name="dvnumam" w:val="0"/>
    <w:docVar w:name="dvpe" w:val="769.954"/>
    <w:docVar w:name="dvrapporteur" w:val="Докладчик: "/>
    <w:docVar w:name="dvtitre" w:val="Резолюция на Европейския парламент от ... 2025 г. относно ролята на политиката на сближаване за подкрепа на справедливия преход (2024/2121(INI))"/>
  </w:docVars>
  <w:rsids>
    <w:rsidRoot w:val="00D90E07"/>
    <w:rsid w:val="00002272"/>
    <w:rsid w:val="00056A4A"/>
    <w:rsid w:val="00064002"/>
    <w:rsid w:val="000677B9"/>
    <w:rsid w:val="000831BA"/>
    <w:rsid w:val="000A42CC"/>
    <w:rsid w:val="000E7DD9"/>
    <w:rsid w:val="0010095E"/>
    <w:rsid w:val="00125B37"/>
    <w:rsid w:val="00187494"/>
    <w:rsid w:val="001F32AE"/>
    <w:rsid w:val="00227099"/>
    <w:rsid w:val="00230C32"/>
    <w:rsid w:val="002767FF"/>
    <w:rsid w:val="002B18FE"/>
    <w:rsid w:val="002B5493"/>
    <w:rsid w:val="00343214"/>
    <w:rsid w:val="00361C00"/>
    <w:rsid w:val="00395FA1"/>
    <w:rsid w:val="003C18F3"/>
    <w:rsid w:val="003E15D4"/>
    <w:rsid w:val="00411CCE"/>
    <w:rsid w:val="0041666E"/>
    <w:rsid w:val="00421060"/>
    <w:rsid w:val="00471C19"/>
    <w:rsid w:val="004867E3"/>
    <w:rsid w:val="00494A28"/>
    <w:rsid w:val="004C0004"/>
    <w:rsid w:val="004C5D52"/>
    <w:rsid w:val="0050519A"/>
    <w:rsid w:val="005072A1"/>
    <w:rsid w:val="00514517"/>
    <w:rsid w:val="00537160"/>
    <w:rsid w:val="00545827"/>
    <w:rsid w:val="00560270"/>
    <w:rsid w:val="005C2568"/>
    <w:rsid w:val="005F1B17"/>
    <w:rsid w:val="00600D63"/>
    <w:rsid w:val="006037C0"/>
    <w:rsid w:val="006631B6"/>
    <w:rsid w:val="00680577"/>
    <w:rsid w:val="006F74FA"/>
    <w:rsid w:val="00731ADD"/>
    <w:rsid w:val="00734777"/>
    <w:rsid w:val="00747932"/>
    <w:rsid w:val="00751A4A"/>
    <w:rsid w:val="00756632"/>
    <w:rsid w:val="00762C74"/>
    <w:rsid w:val="00786EC0"/>
    <w:rsid w:val="00786EE6"/>
    <w:rsid w:val="007D1690"/>
    <w:rsid w:val="007E22AD"/>
    <w:rsid w:val="00817416"/>
    <w:rsid w:val="00842779"/>
    <w:rsid w:val="00865F67"/>
    <w:rsid w:val="00881A7B"/>
    <w:rsid w:val="008840E5"/>
    <w:rsid w:val="00887B3E"/>
    <w:rsid w:val="008C2AC6"/>
    <w:rsid w:val="00930C23"/>
    <w:rsid w:val="0093193B"/>
    <w:rsid w:val="009509D8"/>
    <w:rsid w:val="00950B64"/>
    <w:rsid w:val="009542C4"/>
    <w:rsid w:val="00981893"/>
    <w:rsid w:val="00A1687D"/>
    <w:rsid w:val="00A43E52"/>
    <w:rsid w:val="00A4678D"/>
    <w:rsid w:val="00A778C7"/>
    <w:rsid w:val="00AB441E"/>
    <w:rsid w:val="00AB6293"/>
    <w:rsid w:val="00AD2D0B"/>
    <w:rsid w:val="00AE0928"/>
    <w:rsid w:val="00AF3B82"/>
    <w:rsid w:val="00B12E95"/>
    <w:rsid w:val="00B22876"/>
    <w:rsid w:val="00B558F0"/>
    <w:rsid w:val="00BD48FE"/>
    <w:rsid w:val="00BD7BD8"/>
    <w:rsid w:val="00BE6ADC"/>
    <w:rsid w:val="00C05BFE"/>
    <w:rsid w:val="00C23CD4"/>
    <w:rsid w:val="00C61C0C"/>
    <w:rsid w:val="00C941CB"/>
    <w:rsid w:val="00CB3833"/>
    <w:rsid w:val="00CC2357"/>
    <w:rsid w:val="00CD2205"/>
    <w:rsid w:val="00CE59FC"/>
    <w:rsid w:val="00CF071A"/>
    <w:rsid w:val="00D058B8"/>
    <w:rsid w:val="00D56C11"/>
    <w:rsid w:val="00D834A0"/>
    <w:rsid w:val="00D872DF"/>
    <w:rsid w:val="00D90E07"/>
    <w:rsid w:val="00D91E21"/>
    <w:rsid w:val="00DA7FCD"/>
    <w:rsid w:val="00E0463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AC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FB7F8"/>
  <w15:chartTrackingRefBased/>
  <w15:docId w15:val="{D20CD62D-FD54-49B1-91D6-8FB44FCF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3833"/>
    <w:pPr>
      <w:spacing w:after="240"/>
      <w:ind w:left="567" w:hanging="567"/>
    </w:pPr>
  </w:style>
  <w:style w:type="paragraph" w:customStyle="1" w:styleId="EPComma">
    <w:name w:val="EPComma"/>
    <w:basedOn w:val="Normal"/>
    <w:rsid w:val="00CB3833"/>
    <w:pPr>
      <w:spacing w:before="480" w:after="240"/>
    </w:pPr>
  </w:style>
  <w:style w:type="character" w:styleId="Hyperlink">
    <w:name w:val="Hyperlink"/>
    <w:basedOn w:val="DefaultParagraphFont"/>
    <w:rsid w:val="00CB3833"/>
    <w:rPr>
      <w:color w:val="0563C1" w:themeColor="hyperlink"/>
      <w:u w:val="single"/>
    </w:rPr>
  </w:style>
  <w:style w:type="paragraph" w:styleId="NoSpacing">
    <w:name w:val="No Spacing"/>
    <w:uiPriority w:val="1"/>
    <w:qFormat/>
    <w:rsid w:val="00CB3833"/>
    <w:rPr>
      <w:rFonts w:asciiTheme="minorHAnsi" w:eastAsiaTheme="minorEastAsia" w:hAnsiTheme="minorHAnsi" w:cstheme="minorBidi"/>
      <w:sz w:val="24"/>
      <w:szCs w:val="24"/>
      <w:lang w:val="bg-BG" w:eastAsia="ja-JP"/>
    </w:rPr>
  </w:style>
  <w:style w:type="character" w:styleId="Emphasis">
    <w:name w:val="Emphasis"/>
    <w:basedOn w:val="DefaultParagraphFont"/>
    <w:uiPriority w:val="20"/>
    <w:qFormat/>
    <w:rsid w:val="00CB3833"/>
    <w:rPr>
      <w:i/>
      <w:iCs/>
    </w:rPr>
  </w:style>
  <w:style w:type="character" w:customStyle="1" w:styleId="NormalHanging12aChar">
    <w:name w:val="NormalHanging12a Char"/>
    <w:basedOn w:val="DefaultParagraphFont"/>
    <w:link w:val="NormalHanging12a"/>
    <w:rsid w:val="00CB3833"/>
    <w:rPr>
      <w:sz w:val="24"/>
      <w:lang w:val="bg-BG"/>
    </w:rPr>
  </w:style>
  <w:style w:type="paragraph" w:styleId="Revision">
    <w:name w:val="Revision"/>
    <w:hidden/>
    <w:uiPriority w:val="99"/>
    <w:semiHidden/>
    <w:rsid w:val="0022709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19</Pages>
  <Words>7525</Words>
  <Characters>45425</Characters>
  <Application>Microsoft Office Word</Application>
  <DocSecurity>0</DocSecurity>
  <Lines>1817</Lines>
  <Paragraphs>504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SOLTYSOVA Zuzana</cp:lastModifiedBy>
  <cp:revision>3</cp:revision>
  <cp:lastPrinted>2004-11-19T15:42:00Z</cp:lastPrinted>
  <dcterms:created xsi:type="dcterms:W3CDTF">2025-09-10T13:37:00Z</dcterms:created>
  <dcterms:modified xsi:type="dcterms:W3CDTF">2025-11-11T13:45:00Z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A10-0137/2025</vt:lpwstr>
  </property>
  <property fmtid="{D5CDD505-2E9C-101B-9397-08002B2CF9AE}" pid="4" name="&lt;Type&gt;">
    <vt:lpwstr>RR</vt:lpwstr>
  </property>
</Properties>
</file>