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321C" w14:paraId="79EB847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FC3256" w14:textId="77777777" w:rsidR="00751A4A" w:rsidRPr="009F321C" w:rsidRDefault="004A3D3D" w:rsidP="0010095E">
            <w:pPr>
              <w:pStyle w:val="EPName"/>
            </w:pPr>
            <w:r w:rsidRPr="009F321C">
              <w:t>Evropský parlament</w:t>
            </w:r>
          </w:p>
          <w:p w14:paraId="0523C990" w14:textId="77777777" w:rsidR="00751A4A" w:rsidRPr="009F321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321C">
              <w:t>2024</w:t>
            </w:r>
            <w:r w:rsidR="00817416" w:rsidRPr="009F321C">
              <w:t>-202</w:t>
            </w:r>
            <w:r w:rsidRPr="009F321C">
              <w:t>9</w:t>
            </w:r>
          </w:p>
        </w:tc>
        <w:tc>
          <w:tcPr>
            <w:tcW w:w="2268" w:type="dxa"/>
            <w:shd w:val="clear" w:color="auto" w:fill="auto"/>
          </w:tcPr>
          <w:p w14:paraId="48F85541" w14:textId="77777777" w:rsidR="00751A4A" w:rsidRPr="009F321C" w:rsidRDefault="00187494" w:rsidP="0010095E">
            <w:pPr>
              <w:pStyle w:val="EPLogo"/>
            </w:pPr>
            <w:r w:rsidRPr="009F321C">
              <w:rPr>
                <w:noProof/>
                <w:lang w:eastAsia="cs-CZ"/>
              </w:rPr>
              <w:drawing>
                <wp:inline distT="0" distB="0" distL="0" distR="0" wp14:anchorId="4CAC12CB" wp14:editId="0059E3B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44B71E" w14:textId="77777777" w:rsidR="00D058B8" w:rsidRPr="009F321C" w:rsidRDefault="00D058B8" w:rsidP="004C5D52">
      <w:pPr>
        <w:pStyle w:val="LineTop"/>
      </w:pPr>
    </w:p>
    <w:p w14:paraId="7631F29B" w14:textId="77777777" w:rsidR="00680577" w:rsidRPr="009F321C" w:rsidRDefault="004A3D3D" w:rsidP="00680577">
      <w:pPr>
        <w:pStyle w:val="EPBodyTA1"/>
      </w:pPr>
      <w:r w:rsidRPr="009F321C">
        <w:t>PŘIJATÉ TEXTY</w:t>
      </w:r>
    </w:p>
    <w:p w14:paraId="7535160C" w14:textId="77777777" w:rsidR="00D058B8" w:rsidRPr="009F321C" w:rsidRDefault="00D058B8" w:rsidP="00D058B8">
      <w:pPr>
        <w:pStyle w:val="LineBottom"/>
      </w:pPr>
    </w:p>
    <w:p w14:paraId="109BC060" w14:textId="478E79D7" w:rsidR="004A3D3D" w:rsidRPr="009F321C" w:rsidRDefault="004A3D3D" w:rsidP="004A3D3D">
      <w:pPr>
        <w:pStyle w:val="ATHeading1"/>
      </w:pPr>
      <w:bookmarkStart w:id="0" w:name="TANumber"/>
      <w:r w:rsidRPr="009F321C">
        <w:t>P10_TA(2025)0</w:t>
      </w:r>
      <w:bookmarkEnd w:id="0"/>
      <w:r w:rsidR="00D41066">
        <w:t>186</w:t>
      </w:r>
    </w:p>
    <w:p w14:paraId="422FD9A6" w14:textId="77777777" w:rsidR="004A3D3D" w:rsidRPr="009F321C" w:rsidRDefault="004A3D3D" w:rsidP="004A3D3D">
      <w:pPr>
        <w:pStyle w:val="ATHeading2"/>
      </w:pPr>
      <w:bookmarkStart w:id="1" w:name="title"/>
      <w:r w:rsidRPr="009F321C">
        <w:t>Úloha politiky soudržnosti při podpoře spravedlivé transformace</w:t>
      </w:r>
      <w:bookmarkEnd w:id="1"/>
    </w:p>
    <w:p w14:paraId="40BD86AD" w14:textId="77777777" w:rsidR="004A3D3D" w:rsidRPr="009F321C" w:rsidRDefault="004A3D3D" w:rsidP="004A3D3D">
      <w:pPr>
        <w:rPr>
          <w:i/>
          <w:vanish/>
        </w:rPr>
      </w:pPr>
      <w:r w:rsidRPr="009F321C">
        <w:rPr>
          <w:i/>
        </w:rPr>
        <w:fldChar w:fldCharType="begin"/>
      </w:r>
      <w:r w:rsidRPr="009F321C">
        <w:rPr>
          <w:i/>
        </w:rPr>
        <w:instrText xml:space="preserve"> TC"(</w:instrText>
      </w:r>
      <w:bookmarkStart w:id="2" w:name="DocNumber"/>
      <w:r w:rsidRPr="009F321C">
        <w:rPr>
          <w:i/>
        </w:rPr>
        <w:instrText>A10-0137/2025</w:instrText>
      </w:r>
      <w:bookmarkEnd w:id="2"/>
      <w:r w:rsidRPr="009F321C">
        <w:rPr>
          <w:i/>
        </w:rPr>
        <w:instrText xml:space="preserve"> - Zpravodaj: Ciaran Mullooly)"\l3 \n&gt; \* MERGEFORMAT </w:instrText>
      </w:r>
      <w:r w:rsidRPr="009F321C">
        <w:rPr>
          <w:i/>
        </w:rPr>
        <w:fldChar w:fldCharType="end"/>
      </w:r>
    </w:p>
    <w:p w14:paraId="41E47EBA" w14:textId="77777777" w:rsidR="004A3D3D" w:rsidRPr="009F321C" w:rsidRDefault="004A3D3D" w:rsidP="004A3D3D">
      <w:pPr>
        <w:rPr>
          <w:vanish/>
        </w:rPr>
      </w:pPr>
      <w:bookmarkStart w:id="3" w:name="Commission"/>
      <w:r w:rsidRPr="009F321C">
        <w:rPr>
          <w:vanish/>
        </w:rPr>
        <w:t>Výbor pro regionální rozvoj</w:t>
      </w:r>
      <w:bookmarkEnd w:id="3"/>
    </w:p>
    <w:p w14:paraId="75DE8447" w14:textId="77777777" w:rsidR="004A3D3D" w:rsidRPr="009F321C" w:rsidRDefault="004A3D3D" w:rsidP="004A3D3D">
      <w:pPr>
        <w:rPr>
          <w:vanish/>
        </w:rPr>
      </w:pPr>
      <w:bookmarkStart w:id="4" w:name="PE"/>
      <w:r w:rsidRPr="009F321C">
        <w:rPr>
          <w:vanish/>
        </w:rPr>
        <w:t>PE769.954</w:t>
      </w:r>
      <w:bookmarkEnd w:id="4"/>
    </w:p>
    <w:p w14:paraId="74858868" w14:textId="638FDE40" w:rsidR="004A3D3D" w:rsidRPr="009F321C" w:rsidRDefault="004A3D3D" w:rsidP="004A3D3D">
      <w:pPr>
        <w:pStyle w:val="ATHeading3"/>
      </w:pPr>
      <w:bookmarkStart w:id="5" w:name="Sujet"/>
      <w:r w:rsidRPr="009F321C">
        <w:t>Usnesení Evropského parlamentu ze dne</w:t>
      </w:r>
      <w:r w:rsidR="00E6126E">
        <w:t xml:space="preserve"> </w:t>
      </w:r>
      <w:r w:rsidR="00D41066">
        <w:t>10</w:t>
      </w:r>
      <w:r w:rsidR="00E6126E">
        <w:t>. září</w:t>
      </w:r>
      <w:r w:rsidRPr="009F321C">
        <w:t xml:space="preserve"> 2025 o úloze politiky soudržnosti při podpoře spravedlivé transformace</w:t>
      </w:r>
      <w:bookmarkEnd w:id="5"/>
      <w:r w:rsidRPr="009F321C">
        <w:t xml:space="preserve"> </w:t>
      </w:r>
      <w:bookmarkStart w:id="6" w:name="References"/>
      <w:r w:rsidRPr="009F321C">
        <w:t>(2024/2121(INI))</w:t>
      </w:r>
      <w:bookmarkEnd w:id="6"/>
    </w:p>
    <w:p w14:paraId="6EFAC9E4" w14:textId="77777777" w:rsidR="00156187" w:rsidRPr="009F321C" w:rsidRDefault="00156187" w:rsidP="00156187">
      <w:pPr>
        <w:pStyle w:val="EPComma"/>
      </w:pPr>
      <w:r w:rsidRPr="009F321C">
        <w:rPr>
          <w:i/>
        </w:rPr>
        <w:t>Evropský parlament</w:t>
      </w:r>
      <w:r w:rsidRPr="009F321C">
        <w:t>,</w:t>
      </w:r>
    </w:p>
    <w:p w14:paraId="2620150F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>s ohledem na články 2 a 3 Smlouvy o Evropské unii,</w:t>
      </w:r>
    </w:p>
    <w:p w14:paraId="37D4A336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>s ohledem na články 4, 162, 174 až 178 a 349 Smlouvy o fungování Evropské unie (SFEU),</w:t>
      </w:r>
    </w:p>
    <w:p w14:paraId="73862262" w14:textId="77777777" w:rsidR="00156187" w:rsidRPr="009F321C" w:rsidRDefault="00156187" w:rsidP="00156187">
      <w:pPr>
        <w:pStyle w:val="NoSpacing"/>
        <w:tabs>
          <w:tab w:val="left" w:pos="567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9F321C">
        <w:rPr>
          <w:rFonts w:ascii="Times New Roman" w:hAnsi="Times New Roman"/>
        </w:rPr>
        <w:t>–</w:t>
      </w:r>
      <w:r w:rsidRPr="009F321C">
        <w:rPr>
          <w:rFonts w:ascii="Times New Roman" w:hAnsi="Times New Roman"/>
        </w:rPr>
        <w:tab/>
        <w:t>s ohledem na nařízení Evropského parlamentu a Rady (EU) 2021/241 ze dne 12. února 2021, kterým se zřizuje Nástroj pro oživení a odolnost</w:t>
      </w:r>
      <w:r w:rsidRPr="009F321C">
        <w:rPr>
          <w:rStyle w:val="FootnoteReference"/>
          <w:rFonts w:ascii="Times New Roman" w:eastAsia="Times New Roman" w:hAnsi="Times New Roman" w:cs="Times New Roman"/>
        </w:rPr>
        <w:footnoteReference w:id="1"/>
      </w:r>
      <w:r w:rsidRPr="009F321C">
        <w:rPr>
          <w:rFonts w:ascii="Times New Roman" w:hAnsi="Times New Roman"/>
        </w:rPr>
        <w:t>,</w:t>
      </w:r>
    </w:p>
    <w:p w14:paraId="7BE20CA6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>s ohledem na nařízení Evropského parlamentu a Rady (EU) 2021/691 ze dne 28. dubna 2021 o Evropském fondu pro přizpůsobení se globalizaci na pomoc propuštěným pracovníkům (EFG) a o zrušení nařízení (EU) č. 1309/2013</w:t>
      </w:r>
      <w:r w:rsidRPr="009F321C">
        <w:rPr>
          <w:vertAlign w:val="superscript"/>
        </w:rPr>
        <w:footnoteReference w:id="2"/>
      </w:r>
      <w:r w:rsidRPr="009F321C">
        <w:t>,</w:t>
      </w:r>
    </w:p>
    <w:p w14:paraId="2A0C30AC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>s ohledem na nařízení Evropského parlamentu a Rady (EU) 2021/1056 ze dne 24. června 2021, kterým se zřizuje Fond pro spravedlivou transformaci</w:t>
      </w:r>
      <w:r w:rsidRPr="009F321C">
        <w:rPr>
          <w:rStyle w:val="FootnoteReference"/>
        </w:rPr>
        <w:footnoteReference w:id="3"/>
      </w:r>
      <w:r w:rsidRPr="009F321C">
        <w:t>,</w:t>
      </w:r>
    </w:p>
    <w:p w14:paraId="30B3ED68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>s ohledem na nařízení Evropského parlamentu a Rady (EU) 2021/1057 ze dne 24. června 2021, kterým se zřizuje Evropský sociální fond plus (ESF+) a zrušuje nařízení (EU) č. 1296/2013</w:t>
      </w:r>
      <w:r w:rsidRPr="009F321C">
        <w:rPr>
          <w:rStyle w:val="FootnoteReference"/>
        </w:rPr>
        <w:footnoteReference w:id="4"/>
      </w:r>
      <w:r w:rsidRPr="009F321C">
        <w:t>,</w:t>
      </w:r>
    </w:p>
    <w:p w14:paraId="01A78E18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>s ohledem na nařízení Evropského parlamentu a Rady (EU) 2021/1058 ze dne 24. června 2021 o Evropském fondu pro regionální rozvoj a o Fondu soudržnosti</w:t>
      </w:r>
      <w:r w:rsidRPr="009F321C">
        <w:rPr>
          <w:rStyle w:val="FootnoteReference"/>
        </w:rPr>
        <w:footnoteReference w:id="5"/>
      </w:r>
      <w:r w:rsidRPr="009F321C">
        <w:t>,</w:t>
      </w:r>
    </w:p>
    <w:p w14:paraId="1402E3FF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 xml:space="preserve">s ohledem na nařízení Evropského parlamentu a Rady (EU) 2021/1060 ze dne 24. června 2021 o společných ustanoveních pro Evropský fond pro regionální rozvoj, Evropský sociální fond plus, Fond soudržnosti, Fond pro spravedlivou transformaci </w:t>
      </w:r>
      <w:r w:rsidRPr="009F321C">
        <w:lastRenderedPageBreak/>
        <w:t>a Evropský námořní, rybářský a akvakulturní fond a o finančních pravidlech pro tyto fondy a pro Azylový, migrační a integrační fond, Fond pro vnitřní bezpečnost a Nástroj pro finanční podporu správy hranic a vízové politiky (dále jen „nařízení o společných ustanoveních“)</w:t>
      </w:r>
      <w:r w:rsidRPr="009F321C">
        <w:rPr>
          <w:rStyle w:val="FootnoteReference"/>
        </w:rPr>
        <w:footnoteReference w:id="6"/>
      </w:r>
      <w:r w:rsidRPr="009F321C">
        <w:t>,</w:t>
      </w:r>
    </w:p>
    <w:p w14:paraId="4DF166BC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>s ohledem na nařízení Evropského parlamentu a Rady (EU) 2021/1119 ze dne 30. června 2021, kterým se stanoví rámec pro dosažení klimatické neutrality a mění nařízení (ES) č. 401/2009 a nařízení (EU) 2018/1999 („evropský právní rámec pro klima“)</w:t>
      </w:r>
      <w:r w:rsidRPr="009F321C">
        <w:rPr>
          <w:rStyle w:val="FootnoteReference"/>
        </w:rPr>
        <w:footnoteReference w:id="7"/>
      </w:r>
      <w:r w:rsidRPr="009F321C">
        <w:t>, které obsahuje právní cíl, aby EU do roku 2050 dosáhla klimatické neutrality, přičemž se stanoví průběžný cíl snížit do roku 2030 čisté emise skleníkových plynů nejméně o 55 % oproti úrovni z roku 1990,</w:t>
      </w:r>
    </w:p>
    <w:p w14:paraId="40FF0902" w14:textId="77777777" w:rsidR="00156187" w:rsidRPr="009F321C" w:rsidRDefault="00156187" w:rsidP="00156187">
      <w:pPr>
        <w:pStyle w:val="NoSpacing"/>
        <w:tabs>
          <w:tab w:val="left" w:pos="567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9F321C">
        <w:rPr>
          <w:rFonts w:ascii="Times New Roman" w:hAnsi="Times New Roman"/>
        </w:rPr>
        <w:t>–</w:t>
      </w:r>
      <w:r w:rsidRPr="009F321C">
        <w:rPr>
          <w:rFonts w:ascii="Times New Roman" w:hAnsi="Times New Roman"/>
        </w:rPr>
        <w:tab/>
        <w:t>s ohledem na nařízení Evropského parlamentu a Rady (EU) 2024/1735 ze dne 13. června 2024, kterým se zřizuje rámec opatření pro posílení evropského ekosystému výroby technologií pro nulové čisté emise a mění nařízení (EU) 2018/1724</w:t>
      </w:r>
      <w:r w:rsidRPr="009F321C">
        <w:rPr>
          <w:rStyle w:val="FootnoteReference"/>
          <w:rFonts w:ascii="Times New Roman" w:eastAsia="Times New Roman" w:hAnsi="Times New Roman" w:cs="Times New Roman"/>
        </w:rPr>
        <w:footnoteReference w:id="8"/>
      </w:r>
      <w:r w:rsidRPr="009F321C">
        <w:rPr>
          <w:rFonts w:ascii="Times New Roman" w:hAnsi="Times New Roman"/>
        </w:rPr>
        <w:t>,</w:t>
      </w:r>
    </w:p>
    <w:p w14:paraId="130977A2" w14:textId="77777777" w:rsidR="00156187" w:rsidRPr="009F321C" w:rsidRDefault="00156187" w:rsidP="00156187">
      <w:pPr>
        <w:pStyle w:val="NoSpacing"/>
        <w:tabs>
          <w:tab w:val="left" w:pos="567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9F321C">
        <w:rPr>
          <w:rFonts w:ascii="Times New Roman" w:hAnsi="Times New Roman"/>
        </w:rPr>
        <w:t>–</w:t>
      </w:r>
      <w:r w:rsidRPr="009F321C">
        <w:rPr>
          <w:rFonts w:ascii="Times New Roman" w:hAnsi="Times New Roman"/>
        </w:rPr>
        <w:tab/>
        <w:t>s ohledem na své usnesení ze dne 25. března 2021 o politice soudržnosti a regionálních strategiích v oblasti životního prostředí v boji proti změně klimatu</w:t>
      </w:r>
      <w:r w:rsidRPr="009F321C">
        <w:rPr>
          <w:rStyle w:val="FootnoteReference"/>
          <w:rFonts w:ascii="Times New Roman" w:eastAsia="Times New Roman" w:hAnsi="Times New Roman" w:cs="Times New Roman"/>
        </w:rPr>
        <w:footnoteReference w:id="9"/>
      </w:r>
      <w:r w:rsidRPr="009F321C">
        <w:rPr>
          <w:rFonts w:ascii="Times New Roman" w:hAnsi="Times New Roman"/>
        </w:rPr>
        <w:t>,</w:t>
      </w:r>
    </w:p>
    <w:p w14:paraId="6D3F3686" w14:textId="77777777" w:rsidR="00156187" w:rsidRPr="009F321C" w:rsidRDefault="00156187" w:rsidP="00156187">
      <w:pPr>
        <w:pStyle w:val="NoSpacing"/>
        <w:tabs>
          <w:tab w:val="left" w:pos="567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9F321C">
        <w:rPr>
          <w:rFonts w:ascii="Times New Roman" w:hAnsi="Times New Roman"/>
        </w:rPr>
        <w:t>–</w:t>
      </w:r>
      <w:r w:rsidRPr="009F321C">
        <w:rPr>
          <w:rFonts w:ascii="Times New Roman" w:hAnsi="Times New Roman"/>
        </w:rPr>
        <w:tab/>
        <w:t>s ohledem na své usnesení ze dne 20. května 2021 o zvrácení demografických trendů v regionech EU s využitím nástrojů politiky soudržnosti</w:t>
      </w:r>
      <w:r w:rsidRPr="009F321C">
        <w:rPr>
          <w:rStyle w:val="FootnoteReference"/>
          <w:rFonts w:ascii="Times New Roman" w:eastAsia="Times New Roman" w:hAnsi="Times New Roman" w:cs="Times New Roman"/>
        </w:rPr>
        <w:footnoteReference w:id="10"/>
      </w:r>
      <w:r w:rsidRPr="009F321C">
        <w:rPr>
          <w:rFonts w:ascii="Times New Roman" w:hAnsi="Times New Roman"/>
        </w:rPr>
        <w:t>,</w:t>
      </w:r>
    </w:p>
    <w:p w14:paraId="2D1BA71F" w14:textId="77777777" w:rsidR="00156187" w:rsidRPr="009F321C" w:rsidRDefault="00156187" w:rsidP="00156187">
      <w:pPr>
        <w:pStyle w:val="NoSpacing"/>
        <w:tabs>
          <w:tab w:val="left" w:pos="567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9F321C">
        <w:rPr>
          <w:rFonts w:ascii="Times New Roman" w:hAnsi="Times New Roman"/>
        </w:rPr>
        <w:t>–</w:t>
      </w:r>
      <w:r w:rsidRPr="009F321C">
        <w:rPr>
          <w:rFonts w:ascii="Times New Roman" w:hAnsi="Times New Roman"/>
        </w:rPr>
        <w:tab/>
        <w:t>s ohledem na své usnesení ze dne 7. června 2022 o ostrovech EU a politice soudržnosti: současná situace a budoucí výzvy</w:t>
      </w:r>
      <w:r w:rsidRPr="009F321C">
        <w:rPr>
          <w:rStyle w:val="FootnoteReference"/>
          <w:rFonts w:ascii="Times New Roman" w:eastAsia="Times New Roman" w:hAnsi="Times New Roman" w:cs="Times New Roman"/>
        </w:rPr>
        <w:footnoteReference w:id="11"/>
      </w:r>
      <w:r w:rsidRPr="009F321C">
        <w:rPr>
          <w:rFonts w:ascii="Times New Roman" w:hAnsi="Times New Roman"/>
        </w:rPr>
        <w:t>,</w:t>
      </w:r>
    </w:p>
    <w:p w14:paraId="18E70E3B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>s ohledem na své usnesení ze dne 15. září 2022 o hospodářské, sociální a územní soudržnosti v EU: osmá zpráva o soudržnosti</w:t>
      </w:r>
      <w:r w:rsidRPr="009F321C">
        <w:rPr>
          <w:rStyle w:val="FootnoteReference"/>
        </w:rPr>
        <w:footnoteReference w:id="12"/>
      </w:r>
      <w:r w:rsidRPr="009F321C">
        <w:t>,</w:t>
      </w:r>
    </w:p>
    <w:p w14:paraId="7319A939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>s ohledem na své usnesení ze dne 23. listopadu 2023 o tvorbě pracovních míst: spravedlivá transformace a společensky odpovědné investování</w:t>
      </w:r>
      <w:r w:rsidRPr="009F321C">
        <w:rPr>
          <w:vertAlign w:val="superscript"/>
        </w:rPr>
        <w:footnoteReference w:id="13"/>
      </w:r>
      <w:r w:rsidRPr="009F321C">
        <w:t>,</w:t>
      </w:r>
    </w:p>
    <w:p w14:paraId="3A7DEDF6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>s ohledem na své usnesení ze dne 23. listopadu 2023 o využívání talentů v evropských regionech</w:t>
      </w:r>
      <w:r w:rsidRPr="009F321C">
        <w:rPr>
          <w:rStyle w:val="FootnoteReference"/>
        </w:rPr>
        <w:footnoteReference w:id="14"/>
      </w:r>
      <w:r w:rsidRPr="009F321C">
        <w:t>,</w:t>
      </w:r>
    </w:p>
    <w:p w14:paraId="0C1ED2C2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>s ohledem na své usnesení ze dne 12. prosince 2023 o přetvoření budoucího rámce strukturálních fondů EU na podporu regionů zvláště postižených výzvami spojenými s transformací automobilového průmyslu a s ekologickou a digitální transformací</w:t>
      </w:r>
      <w:r w:rsidRPr="009F321C">
        <w:rPr>
          <w:rStyle w:val="FootnoteReference"/>
        </w:rPr>
        <w:footnoteReference w:id="15"/>
      </w:r>
      <w:r w:rsidRPr="009F321C">
        <w:t>,</w:t>
      </w:r>
    </w:p>
    <w:p w14:paraId="15880E88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>s ohledem na své usnesení ze dne 14. března 2024 o politice soudržnosti 2014–2020 – provádění a výsledky v členských státech</w:t>
      </w:r>
      <w:r w:rsidRPr="009F321C">
        <w:rPr>
          <w:rStyle w:val="FootnoteReference"/>
        </w:rPr>
        <w:footnoteReference w:id="16"/>
      </w:r>
      <w:r w:rsidRPr="009F321C">
        <w:t>,</w:t>
      </w:r>
    </w:p>
    <w:p w14:paraId="1FA237C6" w14:textId="77777777" w:rsidR="00156187" w:rsidRPr="009F321C" w:rsidRDefault="00156187" w:rsidP="00156187">
      <w:pPr>
        <w:pStyle w:val="NoSpacing"/>
        <w:tabs>
          <w:tab w:val="left" w:pos="567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9F321C">
        <w:rPr>
          <w:rFonts w:ascii="Times New Roman" w:hAnsi="Times New Roman"/>
        </w:rPr>
        <w:lastRenderedPageBreak/>
        <w:t>–</w:t>
      </w:r>
      <w:r w:rsidRPr="009F321C">
        <w:rPr>
          <w:rFonts w:ascii="Times New Roman" w:hAnsi="Times New Roman"/>
        </w:rPr>
        <w:tab/>
        <w:t>s ohledem na Pařížskou dohodu přijatou dne 12. prosince 2015 na 21. konferenci smluvních stran (COP21) Rámcové úmluvy OSN o změně klimatu v Paříži,</w:t>
      </w:r>
    </w:p>
    <w:p w14:paraId="2D425B88" w14:textId="77777777" w:rsidR="00156187" w:rsidRPr="009F321C" w:rsidRDefault="00156187" w:rsidP="00156187">
      <w:pPr>
        <w:pStyle w:val="NoSpacing"/>
        <w:tabs>
          <w:tab w:val="left" w:pos="567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9F321C">
        <w:rPr>
          <w:rFonts w:ascii="Times New Roman" w:hAnsi="Times New Roman"/>
        </w:rPr>
        <w:t>–</w:t>
      </w:r>
      <w:r w:rsidRPr="009F321C">
        <w:rPr>
          <w:rFonts w:ascii="Times New Roman" w:hAnsi="Times New Roman"/>
        </w:rPr>
        <w:tab/>
        <w:t>s ohledem na Územní agendu 2030 – budoucnost pro všechna místa, která byla schválena dne 1. prosince 2020 na neformálním setkání ministrů odpovědných za územní plánování, územní rozvoj nebo územní soudržnost,</w:t>
      </w:r>
    </w:p>
    <w:p w14:paraId="65BE3783" w14:textId="77777777" w:rsidR="00156187" w:rsidRPr="009F321C" w:rsidRDefault="00156187" w:rsidP="00156187">
      <w:pPr>
        <w:pStyle w:val="NoSpacing"/>
        <w:tabs>
          <w:tab w:val="left" w:pos="0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9F321C">
        <w:t>–</w:t>
      </w:r>
      <w:r w:rsidRPr="009F321C">
        <w:tab/>
      </w:r>
      <w:r w:rsidRPr="009F321C">
        <w:rPr>
          <w:rFonts w:ascii="Times New Roman" w:hAnsi="Times New Roman"/>
        </w:rPr>
        <w:t>s ohledem na sdělení Komise ze dne 4. března 2021 nazvané Akční plán pro evropský pilíř sociálních práv (COM(2021)0102),</w:t>
      </w:r>
    </w:p>
    <w:p w14:paraId="4D6484E4" w14:textId="77777777" w:rsidR="00156187" w:rsidRPr="009F321C" w:rsidRDefault="00156187" w:rsidP="00156187">
      <w:pPr>
        <w:pStyle w:val="NoSpacing"/>
        <w:tabs>
          <w:tab w:val="left" w:pos="567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9F321C">
        <w:rPr>
          <w:rFonts w:ascii="Symbol" w:hAnsi="Symbol"/>
        </w:rPr>
        <w:t></w:t>
      </w:r>
      <w:r w:rsidRPr="009F321C">
        <w:rPr>
          <w:rFonts w:ascii="Symbol" w:hAnsi="Symbol"/>
        </w:rPr>
        <w:tab/>
      </w:r>
      <w:r w:rsidRPr="009F321C">
        <w:rPr>
          <w:rFonts w:ascii="Times New Roman" w:hAnsi="Times New Roman"/>
        </w:rPr>
        <w:t>s ohledem na sdělení Komise ze dne 14. července 2021 nazvané „Fit for 55“: plnění klimatického cíle EU pro rok 2030 na cestě ke klimatické neutralitě (COM(2021)0550),</w:t>
      </w:r>
    </w:p>
    <w:p w14:paraId="244AF2AD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>s ohledem na zprávu Komise z února 2024 nazvanou „Forging a sustainable future together – Cohesion for a competitive and inclusive Europe: report of the High-Level Group on the Future of Cohesion Policy“ ,</w:t>
      </w:r>
    </w:p>
    <w:p w14:paraId="6A4C9423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>s ohledem na sdělení Komise ze dne 27. března 2024 o deváté zprávě o soudržnosti (COM(2024)0149),</w:t>
      </w:r>
    </w:p>
    <w:p w14:paraId="16DBF2E3" w14:textId="77777777" w:rsidR="00156187" w:rsidRPr="009F321C" w:rsidRDefault="00156187" w:rsidP="00156187">
      <w:pPr>
        <w:pStyle w:val="NoSpacing"/>
        <w:tabs>
          <w:tab w:val="left" w:pos="709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9F321C">
        <w:t>–</w:t>
      </w:r>
      <w:r w:rsidRPr="009F321C">
        <w:tab/>
      </w:r>
      <w:r w:rsidRPr="009F321C">
        <w:rPr>
          <w:rFonts w:ascii="Times New Roman" w:hAnsi="Times New Roman"/>
        </w:rPr>
        <w:t>s ohledem na sdělení Komise ze dne 26. února 2025 o Dohodě o čistém průmyslu: společný plán konkurenceschopnosti a dekarbonizace (COM(2025)0085),</w:t>
      </w:r>
    </w:p>
    <w:p w14:paraId="0F019EB9" w14:textId="77777777" w:rsidR="00156187" w:rsidRPr="009F321C" w:rsidRDefault="00156187" w:rsidP="00156187">
      <w:pPr>
        <w:pStyle w:val="NoSpacing"/>
        <w:tabs>
          <w:tab w:val="left" w:pos="142"/>
        </w:tabs>
        <w:spacing w:after="240"/>
        <w:ind w:left="567" w:hanging="425"/>
        <w:rPr>
          <w:rFonts w:ascii="Times New Roman" w:eastAsia="Times New Roman" w:hAnsi="Times New Roman" w:cs="Times New Roman"/>
        </w:rPr>
      </w:pPr>
      <w:r w:rsidRPr="009F321C">
        <w:rPr>
          <w:rFonts w:ascii="Times New Roman" w:hAnsi="Times New Roman"/>
        </w:rPr>
        <w:t>–</w:t>
      </w:r>
      <w:r w:rsidRPr="009F321C">
        <w:rPr>
          <w:rFonts w:ascii="Times New Roman" w:hAnsi="Times New Roman"/>
        </w:rPr>
        <w:tab/>
        <w:t xml:space="preserve"> s ohledem na sdělení Komise ze dne 5. března 2025 s názvem „Unie dovedností“ (COM(2025)0090),</w:t>
      </w:r>
    </w:p>
    <w:p w14:paraId="4C32D1C9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>s ohledem na stanovisko Evropského výboru regionů ze dne 8. října 2024 nazvané „Spravedlivá transformace pro všechny regiony EU“</w:t>
      </w:r>
      <w:r w:rsidRPr="009F321C">
        <w:rPr>
          <w:rStyle w:val="FootnoteReference"/>
        </w:rPr>
        <w:footnoteReference w:id="17"/>
      </w:r>
      <w:r w:rsidRPr="009F321C">
        <w:t>,</w:t>
      </w:r>
    </w:p>
    <w:p w14:paraId="54A6D6CC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>s ohledem na stanovisko Evropského výboru regionů ze dne 21. listopadu 2024 nazvané „Obnovená politika soudržnosti v období po roce 2027, která nikoho neopomíjí“</w:t>
      </w:r>
      <w:r w:rsidRPr="009F321C">
        <w:rPr>
          <w:rStyle w:val="FootnoteReference"/>
        </w:rPr>
        <w:footnoteReference w:id="18"/>
      </w:r>
      <w:r w:rsidRPr="009F321C">
        <w:t>,</w:t>
      </w:r>
    </w:p>
    <w:p w14:paraId="1F8B3497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>s ohledem na zprávu Enrica Letty ze dne 17. dubna 2024 nazvanou „Much more than a market – Speed, Security, Solidarity: Empowering the Single Market to deliver a sustainable future and prosperity for all EU Citizens“,</w:t>
      </w:r>
    </w:p>
    <w:p w14:paraId="3A6D4E96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>s ohledem na zprávu Maria Draghiho ze dne 9. září 2024 nazvanou „The future of European competitiveness“,</w:t>
      </w:r>
    </w:p>
    <w:p w14:paraId="0E6CA025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>s ohledem na článek 55 jednacího řádu,</w:t>
      </w:r>
    </w:p>
    <w:p w14:paraId="78486223" w14:textId="77777777" w:rsidR="00156187" w:rsidRPr="009F321C" w:rsidRDefault="00156187" w:rsidP="00156187">
      <w:pPr>
        <w:pStyle w:val="NormalHanging12a"/>
      </w:pPr>
      <w:r w:rsidRPr="009F321C">
        <w:t>–</w:t>
      </w:r>
      <w:r w:rsidRPr="009F321C">
        <w:tab/>
        <w:t>s ohledem na stanovisko Výboru pro zaměstnanost a sociální věci,</w:t>
      </w:r>
    </w:p>
    <w:p w14:paraId="0BE9C97C" w14:textId="77777777" w:rsidR="00156187" w:rsidRPr="009F321C" w:rsidRDefault="00156187" w:rsidP="00156187">
      <w:pPr>
        <w:pStyle w:val="NoSpacing"/>
        <w:widowControl w:val="0"/>
        <w:tabs>
          <w:tab w:val="left" w:pos="567"/>
        </w:tabs>
        <w:spacing w:after="240"/>
        <w:ind w:left="567" w:hanging="567"/>
        <w:rPr>
          <w:rFonts w:ascii="Times New Roman" w:eastAsia="Times New Roman" w:hAnsi="Times New Roman" w:cs="Times New Roman"/>
        </w:rPr>
      </w:pPr>
      <w:r w:rsidRPr="009F321C">
        <w:t>–</w:t>
      </w:r>
      <w:r w:rsidRPr="009F321C">
        <w:tab/>
      </w:r>
      <w:r w:rsidRPr="009F321C">
        <w:rPr>
          <w:rFonts w:ascii="Times New Roman" w:hAnsi="Times New Roman"/>
        </w:rPr>
        <w:t>s ohledem na zprávu Výboru pro regionální rozvoj (A10-0137/2025),</w:t>
      </w:r>
    </w:p>
    <w:p w14:paraId="074406C9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A.</w:t>
      </w:r>
      <w:r w:rsidRPr="009F321C">
        <w:tab/>
        <w:t xml:space="preserve">vzhledem k tomu, že ambiciózní cíl uskutečnit nejpozději do roku 2050 transformaci na uhlíkově neutrální ekonomiku může přinést značné hospodářské, environmentální a sociální přínosy, včetně vytvoření nových průmyslových odvětví, pracovních příležitostí a zlepšení kvality života; vzhledem k tomu, že tato transformace může rovněž prohloubit stávající rozdíly mezi regiony, nepřiměřeně zasáhnout zranitelné </w:t>
      </w:r>
      <w:r w:rsidRPr="009F321C">
        <w:lastRenderedPageBreak/>
        <w:t>obyvatele, jejichž schopnost využít transformace omezují socioekonomické faktory, a může vytvářet nové zranitelnosti, zejména v regionech, které jsou silně závislé na odvětvích náročných na emise uhlíku, například v uhelných regionech;</w:t>
      </w:r>
    </w:p>
    <w:p w14:paraId="57C4F04F" w14:textId="77777777" w:rsidR="00156187" w:rsidRPr="009F321C" w:rsidRDefault="00156187" w:rsidP="00156187">
      <w:pPr>
        <w:pStyle w:val="NormalHanging12a"/>
        <w:rPr>
          <w:b/>
          <w:i/>
        </w:rPr>
      </w:pPr>
      <w:r w:rsidRPr="009F321C">
        <w:t>B.</w:t>
      </w:r>
      <w:r w:rsidRPr="009F321C">
        <w:tab/>
        <w:t>vzhledem k tomu, že regiony EU se výrazně liší svými socioekonickými vlastnostmi, mají různou úroveň rozvoje, infrastruktury, demografických trendů a podmínek na trhu práce a je zřejmé, že neexistuje žádné univerzální řešení, které by odpovídalo jejich rozmanitým potřebám; vzhledem k tomu, že méně rozvinuté regiony často trpí transformací více než rozvinutější regiony;</w:t>
      </w:r>
    </w:p>
    <w:p w14:paraId="3943F5BE" w14:textId="77777777" w:rsidR="00156187" w:rsidRPr="009F321C" w:rsidRDefault="00156187" w:rsidP="00156187">
      <w:pPr>
        <w:pStyle w:val="NormalHanging12a"/>
        <w:rPr>
          <w:b/>
          <w:i/>
          <w:szCs w:val="24"/>
        </w:rPr>
      </w:pPr>
      <w:r w:rsidRPr="009F321C">
        <w:t>C</w:t>
      </w:r>
      <w:r w:rsidRPr="009F321C">
        <w:rPr>
          <w:i/>
        </w:rPr>
        <w:t>.</w:t>
      </w:r>
      <w:r w:rsidRPr="009F321C">
        <w:rPr>
          <w:b/>
          <w:i/>
        </w:rPr>
        <w:tab/>
      </w:r>
      <w:r w:rsidRPr="009F321C">
        <w:t>vzhledem k tomu, že v celé Evropě přetrvávají rozdíly v rychlosti digitální transformace a v konektivitě, a to zejména ve venkovských a vzdálených oblastech; konstatuje, že mnoha postiženým regionům chybí základní infrastruktura a základní služby, což omezuje jejich schopnost přilákat produktivní investice, které by umožnily udržitelné hospodářské oživení; vzhledem k tomu, že je třeba více investic, aby se urychlil přechod k udržitelné a inteligentní mobilitě a modernizovaly a diverzifikovaly systémy infrastruktury s cílem zlepšit dostupnost, podněcovat k inovacím a podporovat přechod k ekologičtějšímu hospodářství; vzhledem k tomu, že politika soudržnosti by měla hrát strategickou úlohu při překonávání těchto nedostatků, měla by podporovat územní soudržnost a zajistit, aby žádný region nebyl při transformaci opominut;</w:t>
      </w:r>
    </w:p>
    <w:p w14:paraId="7F375B34" w14:textId="77777777" w:rsidR="00156187" w:rsidRPr="009F321C" w:rsidRDefault="00156187" w:rsidP="00156187">
      <w:pPr>
        <w:pStyle w:val="NormalHanging12a"/>
      </w:pPr>
      <w:r w:rsidRPr="009F321C">
        <w:t>D.</w:t>
      </w:r>
      <w:r w:rsidRPr="009F321C">
        <w:rPr>
          <w:b/>
          <w:i/>
        </w:rPr>
        <w:tab/>
      </w:r>
      <w:r w:rsidRPr="009F321C">
        <w:t>vzhledem k tomu, že nejchudší a nejzranitelnější regiony se nacházejí ve východní části EU; vzhledem k tomu, že další negativní dopad na tyto regiony má válka na Ukrajině;</w:t>
      </w:r>
    </w:p>
    <w:p w14:paraId="09B2CA49" w14:textId="77777777" w:rsidR="00156187" w:rsidRPr="009F321C" w:rsidRDefault="00156187" w:rsidP="00156187">
      <w:pPr>
        <w:pStyle w:val="NormalHanging12a"/>
        <w:rPr>
          <w:b/>
          <w:i/>
        </w:rPr>
      </w:pPr>
      <w:r w:rsidRPr="009F321C">
        <w:t>E</w:t>
      </w:r>
      <w:r w:rsidRPr="009F321C">
        <w:rPr>
          <w:i/>
        </w:rPr>
        <w:t>.</w:t>
      </w:r>
      <w:r w:rsidRPr="009F321C">
        <w:rPr>
          <w:b/>
          <w:i/>
        </w:rPr>
        <w:tab/>
      </w:r>
      <w:r w:rsidRPr="009F321C">
        <w:t>vzhledem k tomu, že fyzické oddělení a izolace ostrovů od pevniny představuje trvalé strukturální znevýhodnění, které ovlivňuje řadu aspektů hospodářského a sociálního života, včetně přístupu na trh práce, ke vzdělání, zdravotní péči, mobilitě a veřejným službám; vzhledem k tomu, že malá rozloha ostrovů významně omezuje příležitosti pro rozšiřování dovedností a rekvalifikaci, a snižuje tak schopnost pracovníků přizpůsobit se strukturálním změnám nebo změnám v odvětvích vyvolaným mimo jiné ekologickou a digitální transformací; vzhledem k tomu, že v mnoha případech tento nedostatek alternativ nutí pracovníky opustit domovské regiony, aby získali přístup k pracovním příležitostem jinde, což fakticky narušuje jejich „právo setrvat“ a přispívá k úbytku obyvatelstva na území ostrovů a k odlivu mozků;</w:t>
      </w:r>
    </w:p>
    <w:p w14:paraId="2B0717AE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F.</w:t>
      </w:r>
      <w:r w:rsidRPr="009F321C">
        <w:tab/>
        <w:t>vzhledem k tomu, že Fond pro spravedlivou transformaci (FST) je – a měl by být i nadále – důležitým nástrojem, který zajišťuje, aby obyvatelé území dotčených přechodem ke klimatické neutralitě nebyli opomenuti, a který by měl přispívat k cíli, jímž je umožnit regionům a jejich obyvatelům řešit sociální, pracovní, ekonomické a environmentální dopady transformace; vzhledem k tomu, že míry čerpání prostředků jsou v této fázi programového období příliš nízké;</w:t>
      </w:r>
    </w:p>
    <w:p w14:paraId="4A243ACA" w14:textId="77777777" w:rsidR="00156187" w:rsidRPr="009F321C" w:rsidRDefault="00156187" w:rsidP="00156187">
      <w:pPr>
        <w:pStyle w:val="NormalHanging12a"/>
      </w:pPr>
      <w:r w:rsidRPr="009F321C">
        <w:t>G.</w:t>
      </w:r>
      <w:r w:rsidRPr="009F321C">
        <w:tab/>
        <w:t>vzhledem k tomu, že přechod na nízkouhlíkové hospodářství, celosvětová klimatická krize a znečištění životního prostředí, jež mají dopad na potraviny, vzdělávání a zdraví, rovněž znamenají krizi práv dětí v mnoha různých regionech EU a že by měla být přijata účinná a smysluplná opatření s cílem zajistit, aby děti a budoucí generace mohly vyrůstat důstojně a byly připraveny na budoucí trh kvalifikovaných sil;</w:t>
      </w:r>
    </w:p>
    <w:p w14:paraId="6AF02348" w14:textId="77777777" w:rsidR="00156187" w:rsidRPr="009F321C" w:rsidRDefault="00156187" w:rsidP="00156187">
      <w:pPr>
        <w:pStyle w:val="NormalHanging12a"/>
      </w:pPr>
      <w:r w:rsidRPr="009F321C">
        <w:t>H.</w:t>
      </w:r>
      <w:r w:rsidRPr="009F321C">
        <w:tab/>
        <w:t xml:space="preserve">vzhledem k tomu, že doporučení členským státům ohledně celkové strategie s dostatečnými zdroji na boj proti chudobě, zejména proti chudobě rodin a dětí v EU, jakož i politiky a opatření pro provádění této strategie přispívají k prohloubení vnitřního trhu a pokroku v dosahování hospodářské, sociální a územní soudržnosti a podporují cíl </w:t>
      </w:r>
      <w:r w:rsidRPr="009F321C">
        <w:lastRenderedPageBreak/>
        <w:t>Komise vytvořit Evropu rozmanitých regionů, která bude konkurenceschopná a inkluzivní;</w:t>
      </w:r>
    </w:p>
    <w:p w14:paraId="19868170" w14:textId="77777777" w:rsidR="00156187" w:rsidRPr="009F321C" w:rsidRDefault="00156187" w:rsidP="00156187">
      <w:pPr>
        <w:pStyle w:val="NormalHanging12a"/>
      </w:pPr>
      <w:r w:rsidRPr="009F321C">
        <w:t>I.</w:t>
      </w:r>
      <w:r w:rsidRPr="009F321C">
        <w:tab/>
        <w:t>vzhledem k tomu, že Evropa se v současné době potýká s nedostatkem pracovních sil a dovedností, což omezuje její konkurenceschopnost, jak je uvedeno v Draghiho i Lettově zprávě; vzhledem k tomu, že strategická decentralizace průmyslového a technologického rozvoje a investic do regionů dotčených transformací může pomoci tento nedostatek řešit, ale vyžaduje dostatečné investice do doprovodných veřejných služeb a infrastruktury, jako je bydlení, vzdělávání a doprava;</w:t>
      </w:r>
    </w:p>
    <w:p w14:paraId="582057F7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J.</w:t>
      </w:r>
      <w:r w:rsidRPr="009F321C">
        <w:tab/>
        <w:t>vzhledem k tomu, že řada průmyslových odvětví, která jsou dekarbonizací nejvíce zasažena, čelila nepříznivým pracovním podmínkám a závislosti na sezónních pracovnících; vzhledem k tomu, že ekologická a digitální transformace musí jít ruku v ruce se sociální spravedlností; vzhledem k tomu, že spravedlivá transformace by měla pomoci řešit diskriminaci na pracovišti a zajišťovat důstojné a kvalitní pracovní podmínky, zvyšovat pracovní normy a zajišťovat účinné záchranné sítě a ochranné mechanismy pro pracovníky, jejichž pracovní místa budou transformací dotčena;</w:t>
      </w:r>
    </w:p>
    <w:p w14:paraId="6BDB73FF" w14:textId="77777777" w:rsidR="00156187" w:rsidRPr="009F321C" w:rsidRDefault="00156187" w:rsidP="00156187">
      <w:pPr>
        <w:pStyle w:val="NormalHanging12a"/>
      </w:pPr>
      <w:r w:rsidRPr="009F321C">
        <w:t>K.</w:t>
      </w:r>
      <w:r w:rsidRPr="009F321C">
        <w:tab/>
        <w:t>vzhledem k tomu, že cestovní ruch je klíčovým odvětvím hospodářství EU, které přímo i nepřímo přispívá více než 10 % k HDP EU a hraje zásadní roli při zvyšování konkurenceschopnosti, sociálního blahobytu a vytváření udržitelných pracovních míst, zejména v regionech, které jsou na cestovním ruchu silně závislé; vzhledem k tomu, že cestovní ruch má potenciál významně přispívat k územní soudržnosti, zejména v odlehlých, venkovských, pobřežních, nejvzdálenějších a ostrovních regionech, a může podpořit hospodářskou diverzifikaci a spravedlivou transformaci v oblastech, které čelí strukturálním problémům, úbytku obyvatelstva nebo závislosti na uhlíkově náročných odvětvích; vzhledem k tomu, že odvětví cestovního ruchu v EU, které z velké části tvoří 2,3 milionu malých a středních podniků, zaměstnává přibližně 12,3 milionu osob a představuje významnou hospodářskou činnost se silnými multiplikačními účinky v různých odvětvích; vzhledem k tomu, že politika soudržnosti by měla podporovat strategie udržitelného cestovního ruchu jako součást spravedlivé transformace, posilovat odolnost, inovace, ekologickou a digitální transformaci v odvětví cestovního ruchu a zároveň napomáhat sociálně inkluzivnímu růstu a chránit kulturní a přírodní dědictví;</w:t>
      </w:r>
    </w:p>
    <w:p w14:paraId="5CFDF299" w14:textId="77777777" w:rsidR="00156187" w:rsidRPr="009F321C" w:rsidRDefault="00156187" w:rsidP="00156187">
      <w:pPr>
        <w:pStyle w:val="NormalHanging12a"/>
      </w:pPr>
      <w:r w:rsidRPr="009F321C">
        <w:t>L.</w:t>
      </w:r>
      <w:r w:rsidRPr="009F321C">
        <w:tab/>
        <w:t>vzhledem k tomu, že EU je na rozdíl od svých hlavních konkurentů světovým lídrem v oblasti snižování emisí, přičemž čelí mnoha výzvám v důsledku složitého globálního geopolitického a hospodářského kontextu;</w:t>
      </w:r>
    </w:p>
    <w:p w14:paraId="1550C641" w14:textId="77777777" w:rsidR="00156187" w:rsidRPr="009F321C" w:rsidRDefault="00156187" w:rsidP="00156187">
      <w:pPr>
        <w:pStyle w:val="NormalHanging12a"/>
      </w:pPr>
      <w:r w:rsidRPr="009F321C">
        <w:t>M.</w:t>
      </w:r>
      <w:r w:rsidRPr="009F321C">
        <w:tab/>
        <w:t>vzhledem k tomu, že transformace energetiky musí jít ruku v ruce s hospodářskou konkurenceschopností a že je nezbytné chránit energetickou bezpečnost transformujících se regionů;</w:t>
      </w:r>
    </w:p>
    <w:p w14:paraId="56D269F4" w14:textId="77777777" w:rsidR="00156187" w:rsidRPr="009F321C" w:rsidRDefault="00156187" w:rsidP="00156187">
      <w:pPr>
        <w:pStyle w:val="NormalHanging12a"/>
      </w:pPr>
      <w:r w:rsidRPr="009F321C">
        <w:t>N.</w:t>
      </w:r>
      <w:r w:rsidRPr="009F321C">
        <w:tab/>
        <w:t>vzhledem k tomu, že jaderná energie je zahrnuta do zelené taxonomie, a vzhledem k tomu, že tak přispívá k přechodu k dekarbonizovanému hospodářství; vzhledem k tomu, že zvýšené investice do jaderné energie by přispěly k dosažení strategické autonomie EU a cílů v oblasti snižování emisí uhlíku; vzhledem k tomu, že tento zdroj energie by byl účinnou náhradou z hlediska energetické účinnosti, vytváření pracovních míst a hospodářského růstu v transformujících se regionech;</w:t>
      </w:r>
    </w:p>
    <w:p w14:paraId="61379446" w14:textId="77777777" w:rsidR="00156187" w:rsidRPr="009F321C" w:rsidRDefault="00156187" w:rsidP="00156187">
      <w:pPr>
        <w:pStyle w:val="NormalHanging12a"/>
      </w:pPr>
      <w:r w:rsidRPr="009F321C">
        <w:t>O.</w:t>
      </w:r>
      <w:r w:rsidRPr="009F321C">
        <w:tab/>
        <w:t>vzhledem k tomu, že evropský kontinent se otepluje rychleji než zbytek světa a že rizika, která představuje změna klimatu, jsou stále složitější a náročnější na řešení;</w:t>
      </w:r>
    </w:p>
    <w:p w14:paraId="2C402B15" w14:textId="77777777" w:rsidR="00156187" w:rsidRPr="009F321C" w:rsidRDefault="00156187" w:rsidP="00156187">
      <w:pPr>
        <w:pStyle w:val="NormalHanging12a"/>
        <w:rPr>
          <w:b/>
          <w:i/>
        </w:rPr>
      </w:pPr>
      <w:r w:rsidRPr="009F321C">
        <w:lastRenderedPageBreak/>
        <w:t>P.</w:t>
      </w:r>
      <w:r w:rsidRPr="009F321C">
        <w:rPr>
          <w:b/>
          <w:i/>
        </w:rPr>
        <w:tab/>
      </w:r>
      <w:r w:rsidRPr="009F321C">
        <w:t>vzhledem k tomu, že zranitelná situace ostrovů a ostrovních a nejvzdálenějších regionů vyžaduje zvláštní pozornost a podporu vzhledem k vážným socioekonomickým výzvám, kterým čelí při přechodu k energetickým cílům EU do roku 2030 a k cíli dosáhnout klimaticky neutrálního hospodářství do roku 2050; vzhledem k tomu, že souběžné znevýhodnění ostrovů vyplývající z ostrovní povahy v kombinaci s vážnými dopady klimatické krize dále znevýhodňuje jejich obyvatele a prohlubuje stávající sociální a hospodářské rozdíly; vzhledem k tomu, že rostoucí výskyt extrémních povětrnostních událostí a přírodních katastrof, jako jsou sucha, povodně a lesní požáry, dále prohlubuje rozdíly v rozvoji a brání pokroku v udržitelném rozvoji ostrovních regionů EU;</w:t>
      </w:r>
    </w:p>
    <w:p w14:paraId="34C17C74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Q.</w:t>
      </w:r>
      <w:r w:rsidRPr="009F321C">
        <w:tab/>
        <w:t>vzhledem k tomu, že nebude-li regionům, které byly dříve závislé na výrobě energie, včetně výroby energie z rašeliny, těžby a rafinace, věnována náležitá pozornost a poskytnuta finanční podpora, hrozí jim a stejně tak i jiným vysoce industrializovaným regionům hospodářský úpadek a snížení jejich konkurenceschopnosti; vzhledem k tomu, že tyto oblasti se často potýkají s demografickými výzvami, například se soustavným vylidňováním, zejména ve venkovských oblastech, v ostrovních a nejvzdálenějších regionech, se stárnutím obyvatel a odlivem mozků, spolu s omezeným přístupem k investicím, nevhodnou infrastrukturou, nedostatečnou konektivitou a prohlubujícími se rozdíly v produktivitě a pracovních příležitostech ve srovnání s dynamičtějšími regiony; vzhledem k tomu, že tyto regiony potřebují komplexní podporu a zvláštní strategie přeměny, aby se z těchto problémů staly nové příležitosti;</w:t>
      </w:r>
    </w:p>
    <w:p w14:paraId="7DD02DFA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R.</w:t>
      </w:r>
      <w:r w:rsidRPr="009F321C">
        <w:tab/>
        <w:t>vzhledem k tomu, že účinnost strategií spravedlivé transformace závisí na soudržném a strategickém využívání finančních nástrojů EU; vzhledem k tomu, že je proto zásadní, aby plány spravedlivé územní transformace i nadále uplatňovaly územní přístup vycházející z místních podmínek a aby se vypracovávání strategií „zdola nahoru“ pro území, na která se program vztahuje, účastnily regionální a místní orgány;</w:t>
      </w:r>
    </w:p>
    <w:p w14:paraId="3680C6BB" w14:textId="77777777" w:rsidR="00156187" w:rsidRPr="009F321C" w:rsidRDefault="00156187" w:rsidP="00156187">
      <w:pPr>
        <w:pStyle w:val="NormalHanging12a"/>
        <w:rPr>
          <w:b/>
          <w:i/>
          <w:szCs w:val="24"/>
        </w:rPr>
      </w:pPr>
      <w:r w:rsidRPr="009F321C">
        <w:t>S.</w:t>
      </w:r>
      <w:r w:rsidRPr="009F321C">
        <w:rPr>
          <w:b/>
          <w:i/>
        </w:rPr>
        <w:tab/>
      </w:r>
      <w:r w:rsidRPr="009F321C">
        <w:t>vzhledem k tomu, že by měla být posílena technická pomoc pro veřejné orgány v rámci fondu FST, Programu InvestEU a úvěrového nástroje pro veřejný sektor, což jsou tři pilíře mechanismu pro spravedlivou transformaci;</w:t>
      </w:r>
    </w:p>
    <w:p w14:paraId="0554D7F7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T.</w:t>
      </w:r>
      <w:r w:rsidRPr="009F321C">
        <w:tab/>
        <w:t>vzhledem k tomu, že je nutné zjednodušit a zefektivnit podávání žádostí o prostředky z FST a zajistit větší flexibilitu tohoto procesu, a tím zajistit širší dostupnost a umožnit rychlejší a účinnější použití zdrojů; vzhledem k tomu, že zjednodušení postupů je nezbytné pro maximalizaci dopadu FST, zejména pro menší regiony a místní orgány s omezenou administrativní kapacitou, a pro zajištění toho, aby se podpora dostala včas ke komunitám a pracovníkům, na něž má ekologická transformace největší dopad;</w:t>
      </w:r>
    </w:p>
    <w:p w14:paraId="22EDE504" w14:textId="77777777" w:rsidR="00156187" w:rsidRPr="009F321C" w:rsidRDefault="00156187" w:rsidP="00156187">
      <w:pPr>
        <w:pStyle w:val="NormalHanging12a"/>
        <w:rPr>
          <w:b/>
          <w:i/>
          <w:iCs/>
        </w:rPr>
      </w:pPr>
      <w:r w:rsidRPr="009F321C">
        <w:rPr>
          <w:b/>
          <w:i/>
        </w:rPr>
        <w:t>Důraz na oblasti, kde dochází ke ztrátě pracovních míst</w:t>
      </w:r>
    </w:p>
    <w:p w14:paraId="1B778C78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1.</w:t>
      </w:r>
      <w:r w:rsidRPr="009F321C">
        <w:tab/>
        <w:t xml:space="preserve">vyzývá Komisi, aby na návrh členského státu v partnerství s regionálními a místními orgány usnadnila zřizování zvláštních ekonomických zón FST pro oblasti postižené uzavřením závodů do doby, než bude většina ztracených pracovních míst na místní úrovni nahrazena, přičemž přednostní přístup k financování by zpočátku měly mít přímo postižené lokality v blízkosti oblasti, kde došlo ke ztrátě pracovních míst, a další oblasti, pokud je řádně odůvodněno, že přímý nebo nepřímý dopad těchto ztrát odůvodňuje přístup k FST; zdůrazňuje, že důležité vzít v úvahu rovněž sociální kritéria, jako je míra nezaměstnanosti v místě, socioekonomická nejistota a zvýšené riziko sociálního vyloučení, a zajistit, aby hospodářské oživení bylo komunitně vedené </w:t>
      </w:r>
      <w:r w:rsidRPr="009F321C">
        <w:lastRenderedPageBreak/>
        <w:t>a udržitelné;</w:t>
      </w:r>
    </w:p>
    <w:p w14:paraId="54548C0B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2.</w:t>
      </w:r>
      <w:r w:rsidRPr="009F321C">
        <w:tab/>
        <w:t>vyzývá k tomu, aby v těchto oblastech bylo zavedeno rychlejší rozhodování o plánování spolu se zvláštními opatřeními, finančními nástroji a pobídkami, včetně dočasných a cílených daňových pobídek pro podniky a investic, pokud tato opatření nenaruší stabilitu jednotného trhu; znovu zdůrazňuje, že tato opatření mohou vytvářet pracovní místa, poskytovat příležitosti pro obyvatele těchto regionů a podpořit hospodářské subjekty, přičemž je třeba upřednostňovat malé a střední podniky, mikropodniky a subjekty provozující tradiční místní a rodinné podniky, podporovat regionální rozvoj a konkurenceschopnost;</w:t>
      </w:r>
    </w:p>
    <w:p w14:paraId="4A8D6188" w14:textId="77777777" w:rsidR="00156187" w:rsidRPr="009F321C" w:rsidRDefault="00156187" w:rsidP="00156187">
      <w:pPr>
        <w:pStyle w:val="NormalHanging12a"/>
      </w:pPr>
      <w:r w:rsidRPr="009F321C">
        <w:t>3.</w:t>
      </w:r>
      <w:r w:rsidRPr="009F321C">
        <w:tab/>
        <w:t>poukazuje na to, že zvláštní ekonomické zóny, jaké byly zřízeny například u letiště Shannon v irském hrabství Clare v roce 1959 a v Katovicích v polském Slezsku v roce 1996, mohou podporovat investice a růst v regionech; trvá však na tom, že tyto mechanismy se musí řídit přísnými pravidly, aby se zajistilo, že hospodářské přínosy se skutečně dostanou k místnímu obyvatelstvu, že nebude docházet k sociálnímu nebo daňovému dumpingu, praní peněz a daňovým únikům a že se na tyto mechanismy budou vztahovat přísná kritéria sociální, hospodářské a environmentální udržitelnosti, přičemž je třeba upřednostňovat místní podniky, zejména malé a střední podniky a mikropodniky;</w:t>
      </w:r>
    </w:p>
    <w:p w14:paraId="2CE36896" w14:textId="77777777" w:rsidR="00156187" w:rsidRPr="009F321C" w:rsidRDefault="00156187" w:rsidP="00156187">
      <w:pPr>
        <w:pStyle w:val="NormalHanging12a"/>
      </w:pPr>
      <w:r w:rsidRPr="009F321C">
        <w:t>4.</w:t>
      </w:r>
      <w:r w:rsidRPr="009F321C">
        <w:tab/>
        <w:t>vyzývá k tomu, aby byly ostrovní regiony zahrnuty mezi oblasti způsobilé pro uplatňování snížených daňových sazeb v rámci ostrovních ekonomických zón FST s cílem řešit neúměrně vysoké životní náklady na těchto územích, které se dále zvyšují v důsledku ekologické a energetické transformace; poukazuje na to, že tato daňová opatření jsou nezbytná pro zlepšení ekonomické životaschopnosti ostrovních komunit, podporu místních podniků a přilákání udržitelných investic; zdůrazňuje, že cílené daňové pobídky mohou sloužit jako účinný nástroj proti soustavnému trendu vylidňování ostrovů, podporovat vytváření pracovních míst a posilovat odolné a soběstačné místní ekonomiky a zároveň zajistit spravedlivý a inkluzivní přechod ke klimatické neutralitě;</w:t>
      </w:r>
    </w:p>
    <w:p w14:paraId="2B301597" w14:textId="77777777" w:rsidR="00156187" w:rsidRPr="009F321C" w:rsidRDefault="00156187" w:rsidP="00156187">
      <w:pPr>
        <w:pStyle w:val="NormalHanging12a"/>
        <w:rPr>
          <w:b/>
          <w:i/>
          <w:iCs/>
        </w:rPr>
      </w:pPr>
      <w:r w:rsidRPr="009F321C">
        <w:rPr>
          <w:b/>
          <w:i/>
        </w:rPr>
        <w:t>Vzdělávání, odborná příprava pracovníků a učňovská příprava</w:t>
      </w:r>
    </w:p>
    <w:p w14:paraId="6EB90630" w14:textId="77777777" w:rsidR="00156187" w:rsidRPr="009F321C" w:rsidRDefault="00156187" w:rsidP="00156187">
      <w:pPr>
        <w:pStyle w:val="NormalHanging12a"/>
      </w:pPr>
      <w:r w:rsidRPr="009F321C">
        <w:t>5.</w:t>
      </w:r>
      <w:r w:rsidRPr="009F321C">
        <w:tab/>
        <w:t>poukazuje na to, že fondy EU (evropské strukturální a investiční fondy, a zejména Evropský sociální fond plus (ESF+) a Nástroj pro oživení a odolnost) a FST jsou využívány jako doplněk k investicím různých regionů do předškolního vzdělávání;</w:t>
      </w:r>
    </w:p>
    <w:p w14:paraId="4B2F5274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6.</w:t>
      </w:r>
      <w:r w:rsidRPr="009F321C">
        <w:tab/>
        <w:t>opakuje, že mnoho regionů, na které se vztahuje FST, má významnou a dlouhou tradici odborné a učňovské přípravy, které jsou nezbytné pro rekvalifikaci pracovníků a pro reakci na nové požadavky trhu práce; zdůrazňuje, že je třeba upřednostňovat jejich pokračování; vyzývá k poskytnutí prostředků v rámci FST na podporu přístupu k odborné přípravě a učňovskému vzdělávání, zejména pro ženy, mladé lidi a marginalizované komunity;</w:t>
      </w:r>
    </w:p>
    <w:p w14:paraId="717AFF15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7.</w:t>
      </w:r>
      <w:r w:rsidRPr="009F321C">
        <w:tab/>
        <w:t xml:space="preserve">v této souvislosti poukazuje na to, že v postižených oblastech je nutné upřednostňovat investice do všech úrovní vzdělávání a odborné přípravy, mimo jiné začleněním ekologických a digitálních dovedností, gramotnosti a základních matematických dovedností, jakož i dovedností STEM do vzdělávacích programů, a to v souladu s nedávnými sděleními Komise o Unii dovedností, akčním plánu pro základní dovednosti a strategickém rámci pro vzdělávání STEM; trvá na významu financování pro posílení základních digitálních a technických dovedností s cílem zvýšit </w:t>
      </w:r>
      <w:r w:rsidRPr="009F321C">
        <w:lastRenderedPageBreak/>
        <w:t>zaměstnatelnost a konkurenceschopnost; zdůrazňuje potřebu odpovídajícího financování výuky dětí a studentů pocházejících z postižených oblastí, včetně finanční podpory sekundárního a vysokoškolského vzdělávání;</w:t>
      </w:r>
    </w:p>
    <w:p w14:paraId="1698CBC2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8.</w:t>
      </w:r>
      <w:r w:rsidRPr="009F321C">
        <w:tab/>
        <w:t>poukazuje na to, že nedostatek specializovaných učitelů prohlubuje nedostatek dovedností ve strategických odvětvích a oslabuje hospodářskou konkurenceschopnost méně rozvinutých regionů; žádá, aby byly vypracovány cílené programy pro zvýšení atraktivity učitelského povolání, zejména v oblasti STEM, a to prostřednictvím ekonomických a jiných pobídek, zejména v regionech, na něž měla dopad transformace; zdůrazňuje, že je důležité vyčlenit zvláštní zdroje na inovativní odbornou přípravu učitelů a školitelů, jakož i na rozvoj digitálních pedagogických dovedností, které jsou nezbytné pro přípravu pracovníků na průmyslovou transformaci; vyzývá k přijetí opatření ke zlepšení platových a pracovních podmínek učitelů s cílem přilákat a udržet kvalifikované pedagogy, zejména v oblastech procházejících transformací, a uznává jejich klíčovou úlohu při přípravě pracovníků na budoucí potřeby průmyslu; žádá Komisi, aby posoudila dopad investic do odborné přípravy školitelů a učitelů s cílem zajistit lepší využívání finančních prostředků a optimalizovat výsledky, pokud jde o dovednosti získané studenty a pracovníky v méně rozvinutých regionech;</w:t>
      </w:r>
    </w:p>
    <w:p w14:paraId="7ECD8027" w14:textId="77777777" w:rsidR="00156187" w:rsidRPr="009F321C" w:rsidRDefault="00156187" w:rsidP="00156187">
      <w:pPr>
        <w:pStyle w:val="NormalHanging12a"/>
      </w:pPr>
      <w:r w:rsidRPr="009F321C">
        <w:t>9.</w:t>
      </w:r>
      <w:r w:rsidRPr="009F321C">
        <w:tab/>
        <w:t>uznává investice do učňovské přípravy, které již byly uskutečněny, požaduje však, aby významná část prostředků na vzdělávání v postižených regionech byla použita na učňovskou a odbornou přípravu, které budou v souladu s potřebami místní komunity, kde došlo ke ztrátě pracovních míst, prostřednictvím kvalitních učňovských programů, přičemž je třeba zajistit, aby tyto programy nabízely odpovídající odměnu, důstojné pracovní podmínky a kvalitní přípravu;</w:t>
      </w:r>
    </w:p>
    <w:p w14:paraId="2CBA5E97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10.</w:t>
      </w:r>
      <w:r w:rsidRPr="009F321C">
        <w:tab/>
        <w:t>zdůrazňuje, že politika soudržnosti je správnou reakcí na hospodářské rozdíly a hraje významnou úlohu zvláště nyní, kdy se potýkáme s hrozbou deindustrializace; vyzývá k větší koordinaci mezi FST, ESF+ a Evropským fondem pro regionální rozvoj, aby se maximalizoval jejich dopad na přesun a rekvalifikaci pracovníků postižených restrukturalizací průmyslu; dále požaduje, aby se při správě finančních prostředků ESF+ více dbalo na regionální zaměření a aby byl uplatňován víceúrovňový přístup za účasti celostátních, regionálních a místních orgánů, a vyzývá k rozšíření a zlepšení synergií mezi ESF+ a FTS, zejména v oblasti vzdělávání a odborné přípravy; uvědomuje si rovněž, že při podpoře spravedlivé transformace hraje důležitou úlohu Evropská investiční banka a že je důležité pokračovat v prohlubování spolupráce mezi veřejnými a soukromými investicemi;</w:t>
      </w:r>
    </w:p>
    <w:p w14:paraId="04CB9B9A" w14:textId="77777777" w:rsidR="00156187" w:rsidRPr="009F321C" w:rsidRDefault="00156187" w:rsidP="00156187">
      <w:pPr>
        <w:pStyle w:val="NormalHanging12a"/>
      </w:pPr>
      <w:r w:rsidRPr="009F321C">
        <w:t>11.</w:t>
      </w:r>
      <w:r w:rsidRPr="009F321C">
        <w:tab/>
        <w:t>zdůrazňuje, že je důležité zajistit soulad mezi politikou soudržnosti, včetně FST, a regionálními inovačními strategiemi a prioritami inteligentní specializace s cílem posílit konkurenceschopnost regionů a podpořit diverzifikaci hospodářství a odolnost transformujících se oblastí; naléhavě žádá Komisi a členské státy, aby při stanovování kritérií pro výběr projektů způsobilých k financování z FST věnovaly zvláštní pozornost oblastem, které jsou postiženy úbytkem obyvatelstva, a aby těmto oblastem dávaly přednost před regiony, které transformací postiženy nejsou, a to cestou udělování vyššího skóre podnikatelským iniciativám prováděným přímo v obcích postižených útlumem odvětví s vysokou uhlíkovou náročností, čímž by bylo zajištěno, že se tato pobídka promítne do hmatatelných výsledků; vyzývá Komisi a členské státy, aby zajistily, že prostředky dostupné v rámci RRF budou přispívat k podpoře procesu transformace na daných územích;</w:t>
      </w:r>
    </w:p>
    <w:p w14:paraId="121D2722" w14:textId="77777777" w:rsidR="00156187" w:rsidRPr="009F321C" w:rsidRDefault="00156187" w:rsidP="00156187">
      <w:pPr>
        <w:pStyle w:val="NormalHanging12a"/>
      </w:pPr>
      <w:r w:rsidRPr="009F321C">
        <w:t>12.</w:t>
      </w:r>
      <w:r w:rsidRPr="009F321C">
        <w:tab/>
        <w:t xml:space="preserve">uznává klíčovou úlohu automobilového průmyslu v EU, mimo jiné pokud jde </w:t>
      </w:r>
      <w:r w:rsidRPr="009F321C">
        <w:lastRenderedPageBreak/>
        <w:t>o vytváření zaměstnanosti v různých regionech; domnívá se, že vzhledem k výzvám globální konkurence v souvislosti s přechodem na elektromobilitu a dopadem neodůvodněných obchodních bariér je nezbytné zahrnout do působnosti spravedlivé transformace i automobilový průmysl; zdůrazňuje, že jsou zapotřebí cílené politiky, které upřednostňují rekvalifikaci pracovníků, a iniciativy zaměřené na diverzifikaci hospodářského modelu regionů s významným automobilovým průmyslem;</w:t>
      </w:r>
    </w:p>
    <w:p w14:paraId="03730212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13.</w:t>
      </w:r>
      <w:r w:rsidRPr="009F321C">
        <w:tab/>
        <w:t>je toho názoru, že nezbytnou odpovědí na ekonomickou transformaci regionů je odborné vzdělávání; zdůrazňuje, že je třeba prostřednictvím FST vytvářet ambiciózní programy odborného vzdělávání a rekvalifikace zacílené na uchazeče o zaměstnání a pracovníky přímo postižené hospodářskou transformací, aby se zabránilo vzniku dlouhodobé strukturální nezaměstnanosti; trvá na tom, že v plánech spravedlivé územní transformace je třeba vyčlenit na tato opatření zvláštní finanční prostředky;</w:t>
      </w:r>
    </w:p>
    <w:p w14:paraId="6E232149" w14:textId="77777777" w:rsidR="00156187" w:rsidRPr="009F321C" w:rsidRDefault="00156187" w:rsidP="00156187">
      <w:pPr>
        <w:pStyle w:val="NormalHanging12a"/>
      </w:pPr>
      <w:r w:rsidRPr="009F321C">
        <w:t>14.</w:t>
      </w:r>
      <w:r w:rsidRPr="009F321C">
        <w:tab/>
        <w:t>vyzývá Komisi, aby ve spolupráci s členskými státy, místními a regionálními orgány, odbory a místními podniky zajistila, že pracovníkům, kteří přišli o práci, bude věnována zvláštní pozornost, pokud jde o účast v programech zaměstnávání a odborné přípravy podporovaných z ESF+ nebo jiných programů financovaných Unií v dané lokalitě;</w:t>
      </w:r>
    </w:p>
    <w:p w14:paraId="54C0E8ED" w14:textId="77777777" w:rsidR="00156187" w:rsidRPr="009F321C" w:rsidRDefault="00156187" w:rsidP="00156187">
      <w:pPr>
        <w:pStyle w:val="NormalHanging12a"/>
      </w:pPr>
      <w:r w:rsidRPr="009F321C">
        <w:t>15.</w:t>
      </w:r>
      <w:r w:rsidRPr="009F321C">
        <w:tab/>
        <w:t>zdůrazňuje, že je třeba ve spolupráci s místními podniky, vzdělávacími institucemi, středisky odborné přípravy a celoživotního učení, sociálními partnery a místními a regionálními orgány a veřejnou správou rozvíjet programy učňovské přípravy a odborné přípravy pro oblasti zasažené transformací s cílem poskytnout studentům a nezaměstnaným pracovníkům příležitosti a užitečné zkušenosti v rámci jejich komunit a zaručit jejich „právo setrvat“;</w:t>
      </w:r>
    </w:p>
    <w:p w14:paraId="07B4AC3C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16.</w:t>
      </w:r>
      <w:r w:rsidRPr="009F321C">
        <w:tab/>
        <w:t>zdůrazňuje, že účinné programy rekvalifikace a prohlubování dovedností vyžadují odpovídající plánování a přípravu v dostatečném předstihu před tím, než je ukončen provoz či proběhnou významné průmyslové změny; poukazuje na to, že odborná příprava pracovníků a uchazečů o zaměstnání, získávání nové kvalifikace, prohlubování dovedností, rekvalifikace a celoživotní vzdělávání musí probíhat tak, aby nikdo, bez ohledu na odvětví, ve kterém pracuje, typ smlouvy, pohlaví nebo zeměpisnou polohu, nebyl na cestě k ekologické a digitální transformaci EU opomenut; vyzývá proto k přijetí opatření, která by usnadnila proaktivní předvídání a plánování potřeb v oblasti dovedností a zajistila tato práva všem postiženým pracovníkům; vyzývá členské státy a regionální orgány, aby zřizovaly „místní rady pro dovednosti“ nebo podobné vícestranné organizace, jejichž úkolem bude diagnostikovat místní nedostatky v dovednostech, předvídat potřeby v oblasti dovedností související s ekologickou a digitální transformací a poskytovat poradenství ohledně cílených investic v rámci FST a ESF+;</w:t>
      </w:r>
    </w:p>
    <w:p w14:paraId="39402EFF" w14:textId="77777777" w:rsidR="00156187" w:rsidRPr="009F321C" w:rsidRDefault="00156187" w:rsidP="00156187">
      <w:pPr>
        <w:pStyle w:val="NormalHanging12a"/>
      </w:pPr>
      <w:r w:rsidRPr="009F321C">
        <w:t>17.</w:t>
      </w:r>
      <w:r w:rsidRPr="009F321C">
        <w:tab/>
        <w:t>navrhuje vytvořit regionální mechanismus pro monitorování a hodnocení dopadu učňovských programů, do něhož by byly zapojeny všechny zúčastněné strany – místní orgány, zaměstnavatelé, vzdělávací instituce a mladí lidé; je přesvědčen, že by to umožnilo rychle přizpůsobovat strategie odborné přípravy požadavkům trhu práce a přímo získávat zpětnou vazbu od účastníků, čímž by se zajistila dlouhodobá udržitelnost a účinnost učňovského vzdělávání;</w:t>
      </w:r>
    </w:p>
    <w:p w14:paraId="6E57C520" w14:textId="77777777" w:rsidR="00156187" w:rsidRPr="009F321C" w:rsidRDefault="00156187" w:rsidP="00156187">
      <w:pPr>
        <w:pStyle w:val="NormalHanging12a"/>
      </w:pPr>
      <w:r w:rsidRPr="009F321C">
        <w:t>18.</w:t>
      </w:r>
      <w:r w:rsidRPr="009F321C">
        <w:tab/>
        <w:t xml:space="preserve">poukazuje na to, že regiony postižené ekologickou transformací se potýkají s nedostatkem kvalifikované pracovní síly a že mnoho částí Evropy čelí krizi bydlení a přelidněnosti městských oblastí; navrhuje, aby byl v těchto regionech vytvořen program cenově dostupného bydlení, a konstatuje, že tento program by měl přilákat </w:t>
      </w:r>
      <w:r w:rsidRPr="009F321C">
        <w:lastRenderedPageBreak/>
        <w:t>mladé lidi, a přispět tak k hospodářské a sociální revitalizaci těchto oblastí;</w:t>
      </w:r>
    </w:p>
    <w:p w14:paraId="38324A52" w14:textId="77777777" w:rsidR="00156187" w:rsidRPr="009F321C" w:rsidRDefault="00156187" w:rsidP="00156187">
      <w:pPr>
        <w:pStyle w:val="NormalHanging12a"/>
      </w:pPr>
      <w:r w:rsidRPr="009F321C">
        <w:t>19.</w:t>
      </w:r>
      <w:r w:rsidRPr="009F321C">
        <w:tab/>
        <w:t>vybízí členské státy, aby do projektů podporovaných z FST a ESF+ – zejména v regionech s vysokou nezaměstnaností mladých lidí nebo v regionech, jež se potýkají s úbytkem obyvatel – začleňovaly záruky v oblasti bydlení, programy společného bydlení a příspěvky na nájemné pro učně a studenty;</w:t>
      </w:r>
    </w:p>
    <w:p w14:paraId="7C5A02A1" w14:textId="77777777" w:rsidR="00156187" w:rsidRPr="009F321C" w:rsidRDefault="00156187" w:rsidP="00156187">
      <w:pPr>
        <w:pStyle w:val="NormalHanging12a"/>
      </w:pPr>
      <w:r w:rsidRPr="009F321C">
        <w:t>20.</w:t>
      </w:r>
      <w:r w:rsidRPr="009F321C">
        <w:tab/>
        <w:t>vyzývá k tomu, aby část prostředků z Fondu soudržnosti byla přidělena na renovaci domů a bytů pro domácnosti s nejnižšími příjmy a energeticky nejméně účinných budov, které by jinak byly při ekologické transformaci opomenuty;</w:t>
      </w:r>
    </w:p>
    <w:p w14:paraId="2423C856" w14:textId="77777777" w:rsidR="00156187" w:rsidRPr="009F321C" w:rsidRDefault="00156187" w:rsidP="00156187">
      <w:pPr>
        <w:pStyle w:val="NormalHanging12a"/>
        <w:rPr>
          <w:b/>
          <w:i/>
          <w:iCs/>
          <w:szCs w:val="24"/>
        </w:rPr>
      </w:pPr>
      <w:r w:rsidRPr="009F321C">
        <w:rPr>
          <w:b/>
          <w:i/>
        </w:rPr>
        <w:t>Plán kvalitních pracovních míst</w:t>
      </w:r>
    </w:p>
    <w:p w14:paraId="0BC949D0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21.</w:t>
      </w:r>
      <w:r w:rsidRPr="009F321C">
        <w:tab/>
        <w:t>domnívá se, že spravedlivá transformace dostatečně nezohledňuje specifické rysy různých profilů pracovníků a postižených komunit; s politováním také konstatuje, že nebyly vytvořeny alternativy v oblasti sezónní práce jako zdroj dodatečného příjmu pro pracovníky i jako příležitost pro výdělek studentů;</w:t>
      </w:r>
    </w:p>
    <w:p w14:paraId="44215760" w14:textId="77777777" w:rsidR="00156187" w:rsidRPr="009F321C" w:rsidRDefault="00156187" w:rsidP="00156187">
      <w:pPr>
        <w:pStyle w:val="NormalHanging12a"/>
      </w:pPr>
      <w:r w:rsidRPr="009F321C">
        <w:t>22.</w:t>
      </w:r>
      <w:r w:rsidRPr="009F321C">
        <w:tab/>
        <w:t>upozorňuje na nezaměstnanost v mnoha regionech, venkovských oblastech a členských státech, zejména pokud se dotýká mladých lidí; zdůrazňuje proto, že je třeba zajistit přístup k cenově dostupnému bydlení, dopravě a vzdělávání a zapojit mladé generace, zejména z nízkopříjmových domácností;</w:t>
      </w:r>
    </w:p>
    <w:p w14:paraId="4E21DB29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23.</w:t>
      </w:r>
      <w:r w:rsidRPr="009F321C">
        <w:tab/>
        <w:t>zdůrazňuje, že je třeba doplnit financování výborů pro vysokoškolské vzdělávání a odbornou přípravu s cílem zajistit rekvalifikaci pracovníků, kteří uvažují o změně svého profesního profilu nebo přišli o práci, zejména v případě žen a osob starších padesáti let; navrhuje, aby FST nabízel možnosti změny kvalifikace a získávání nových dovedností a vzdělání také nejbližším rodinným příslušníkům postižených pracovníků v blízkosti jejich lokalit;</w:t>
      </w:r>
    </w:p>
    <w:p w14:paraId="03E19335" w14:textId="77777777" w:rsidR="00156187" w:rsidRPr="009F321C" w:rsidRDefault="00156187" w:rsidP="00156187">
      <w:pPr>
        <w:pStyle w:val="NormalHanging12a"/>
      </w:pPr>
      <w:r w:rsidRPr="009F321C">
        <w:t>24.</w:t>
      </w:r>
      <w:r w:rsidRPr="009F321C">
        <w:tab/>
        <w:t>upozorňuje na to, že některá odvětví, která byla uzavřena nebo se uzavírají, nabízejí nadprůměrné pracovní podmínky, včetně vyšších mezd, rizikových příspěvků a zdravotního pojištění pro pracovníky a jejich rodiny; poukazuje proto na to, že je zapotřebí poskytnout dočasné financování v rámci FST, které by vyrovnalo rozdíl mezi podporou v nezaměstnanosti a novou mzdou, umožnilo plynulejší přechod a zajistilo splnění všech dříve přijatých smluvních závazků;</w:t>
      </w:r>
    </w:p>
    <w:p w14:paraId="7FD90D86" w14:textId="77777777" w:rsidR="00156187" w:rsidRPr="009F321C" w:rsidRDefault="00156187" w:rsidP="00156187">
      <w:pPr>
        <w:pStyle w:val="NormalHanging12a"/>
      </w:pPr>
      <w:r w:rsidRPr="009F321C">
        <w:t>25.</w:t>
      </w:r>
      <w:r w:rsidRPr="009F321C">
        <w:tab/>
        <w:t>vítá závazek Komise navrhnout do konce roku 2025 plán kvalitních pracovních míst vypracovaný ve spolupráci se sociálními partnery s cílem zajistit spravedlivou transformaci pro všechny; připomíná, že plán by měl podporovat spravedlivé mzdy, vysoké standardy zdraví a bezpečnosti, dobré pracovní podmínky, odbornou přípravu a spravedlivou změnu zaměstnání pro pracovníky, včetně osob samostatně výdělečně činných, zejména zvýšením dosahu kolektivního vyjednávání; zdůrazňuje, že klíčovou prioritou plánu by mělo být řízení transformace a že by měl zahrnovat doprovodné návrhy, které pracovníkům poskytnou konkrétní podporu;</w:t>
      </w:r>
    </w:p>
    <w:p w14:paraId="44E8D380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26.</w:t>
      </w:r>
      <w:r w:rsidRPr="009F321C">
        <w:tab/>
        <w:t xml:space="preserve">zdůrazňuje, že „sociální dohody“, které byly uzavřeny v hospodářských odvětvích procházejících procesem spravedlivé transformace a byly oznámeny Komisi, musí být schvalovány bez prodlení; upozorňuje na to, že tyto sociální dohody by měly být založeny na důkladné diagnóze a hospodářských prognózách, měly by podporovat kolektivní vyjednávání a dodržování práv pracovníků a zohledňovat specifika postižených regionů; vyslovuje se pro vytvoření mechanismů sociální ochrany pro </w:t>
      </w:r>
      <w:r w:rsidRPr="009F321C">
        <w:lastRenderedPageBreak/>
        <w:t>pracovníky, kteří jsou přímo postiženi průmyslovou a energetickou transformací, včetně přechodného příjmu a cíleného rozšíření dávek v nezaměstnanosti; vyzývá k přijetí směrnice o spravedlivé transformaci ve světě práce, která by vytvořila legislativní rámec pro vznik kvalitních pracovních míst v regionech postižených transformací; vybízí k vytváření skupin pracovníků v odvětvích postižených transformací, díky nimž by bývalí zaměstnanci měli přímý prospěch z regionální hospodářské obnovy;</w:t>
      </w:r>
    </w:p>
    <w:p w14:paraId="3306BF3A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27.</w:t>
      </w:r>
      <w:r w:rsidRPr="009F321C">
        <w:tab/>
        <w:t>vyzývá Komisi, aby usnadnila vytvoření sociálních programů vzdělávání pro starší nezaměstnané pracovníky, zejména ženy a dlouhodobě nezaměstnané, kteří nejsou schopni absolvovat změnu kvalifikace a získat nové zaměstnání, a zajistila jim podporu až do důchodového věku, což by jim zaručilo důstojnou životní úroveň; zdůrazňuje, že je třeba posílit úlohu žen a podporovat začlenění osob se zdravotním postižením;</w:t>
      </w:r>
    </w:p>
    <w:p w14:paraId="24E2D2DD" w14:textId="77777777" w:rsidR="00156187" w:rsidRPr="009F321C" w:rsidRDefault="00156187" w:rsidP="00EF0F93">
      <w:pPr>
        <w:pStyle w:val="NormalHanging12a"/>
        <w:spacing w:before="120" w:after="120"/>
        <w:rPr>
          <w:szCs w:val="24"/>
        </w:rPr>
      </w:pPr>
      <w:r w:rsidRPr="009F321C">
        <w:t>28.</w:t>
      </w:r>
      <w:r w:rsidRPr="009F321C">
        <w:tab/>
        <w:t>poukazuje na to, že členské státy musí upřednostňovat přístup ke státem vlastněné půdě a měly by, kdekoli to možné, rekonstruovat a renovovat budovy a další aktiva, jako jsou stará průmyslová zařízení a těžební lokality, a měnit jejich určení tak, aby je bylo možné využívat pro nové projekty financované v rámci FST, včetně obnovitelných zdrojů energie, energeticky účinných renovací nebo ekologické reindustrializace; zdůrazňuje, že členské státy a Komise by měly u tohoto procesu zajistit dohled a monitorování;</w:t>
      </w:r>
    </w:p>
    <w:p w14:paraId="2CC02401" w14:textId="77777777" w:rsidR="00156187" w:rsidRPr="009F321C" w:rsidRDefault="00156187" w:rsidP="00EF0F93">
      <w:pPr>
        <w:spacing w:before="120" w:after="120"/>
        <w:rPr>
          <w:b/>
          <w:i/>
          <w:iCs/>
        </w:rPr>
      </w:pPr>
      <w:r w:rsidRPr="009F321C">
        <w:rPr>
          <w:b/>
          <w:i/>
        </w:rPr>
        <w:t xml:space="preserve">Provádění a správa </w:t>
      </w:r>
    </w:p>
    <w:p w14:paraId="34E7CFF4" w14:textId="77777777" w:rsidR="00156187" w:rsidRPr="009F321C" w:rsidRDefault="00156187" w:rsidP="00EF0F93">
      <w:pPr>
        <w:pStyle w:val="NormalHanging12a"/>
        <w:spacing w:before="120" w:after="120"/>
        <w:rPr>
          <w:szCs w:val="24"/>
        </w:rPr>
      </w:pPr>
      <w:r w:rsidRPr="009F321C">
        <w:t>29.</w:t>
      </w:r>
      <w:r w:rsidRPr="009F321C">
        <w:tab/>
        <w:t>zdůrazňuje, že transformace regionů způsobilých pro FST ještě není dokončena a že tyto regiony budou i v budoucnu potřebovat specifickou podporu pro řešení různých problémů spojených s energetickou transformací; považuje za nezbytné přijmout opatření zajišťující maximální využití těchto prostředků, mimo jiné zjednodušením administrativních postupů, vytvořením podpůrných a poradenských mechanismů, které místním orgánům pomohou získat přístup k nezbytným investicím a úspěšně je využívat, a zvýšením předběžného financování pro místní orgány;</w:t>
      </w:r>
    </w:p>
    <w:p w14:paraId="3C2194B7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30.</w:t>
      </w:r>
      <w:r w:rsidRPr="009F321C">
        <w:tab/>
        <w:t>připomíná, že některé regiony EU se v důsledku demografických změn a migrace potýkají s neustálým odlivem mladých a kvalifikovaných pracovníků, což se týká zejména venkovských a vnitrozemských oblastí, ostrovů a nejvzdálenějších regionů; připomíná v této souvislosti význam silných vazeb mezi venkovem a městy a cílené podpory žen ve venkovských oblastech; připomíná, že vysoká migrace a vylidňování venkova ohrožuje konkurenceschopnost, hospodářský růst, potravinové zabezpečení, produktivitu i udržitelnost postižených regionů;</w:t>
      </w:r>
    </w:p>
    <w:p w14:paraId="6F52F87C" w14:textId="77777777" w:rsidR="00156187" w:rsidRPr="009F321C" w:rsidRDefault="00156187" w:rsidP="00156187">
      <w:pPr>
        <w:pStyle w:val="NormalHanging12a"/>
      </w:pPr>
      <w:r w:rsidRPr="009F321C">
        <w:t>31.</w:t>
      </w:r>
      <w:r w:rsidRPr="009F321C">
        <w:tab/>
        <w:t>se znepokojením konstatuje, že v posledních letech došlo k výraznému poklesu úrovně vnitrostátního financování členských států ve prospěch jejich chudších regionů; připomíná, že je důležité dodržovat pravidlo EU o adicionalitě; vyzývá Komisi, aby zajistila, že vnitrostátní orgány budou při přípravě a provádění projektů strukturálních a investičních fondů náležitě zohledňovat vnitřní soudržnost;</w:t>
      </w:r>
    </w:p>
    <w:p w14:paraId="5D139C3D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32.</w:t>
      </w:r>
      <w:r w:rsidRPr="009F321C">
        <w:tab/>
        <w:t xml:space="preserve">souhlasí s tím, že provádění procesu čerpání FST je záležitostí členských států, ale vyzývá k posílení úlohy místních a regionálních orgánů a subjektů zapojených do rozhodovacího procesu, aby bylo zajištěno, že strategie financování budou v souladu se specifickými potřebami komunit postižených transformací a budou v souladu s investicemi v rámci jiných strategických fondů, které mají vazbu na spravedlivou transformaci; zdůrazňuje, že je velmi důležité, aby se zjednodušil přístup k žádostem a rozšířila oblast působnosti fondu tak, aby z FST mohly těžit i jiné stejně postižené regiony a odvětví; zdůrazňuje, že je třeba, aby Komise ve spolupráci s členskými státy </w:t>
      </w:r>
      <w:r w:rsidRPr="009F321C">
        <w:lastRenderedPageBreak/>
        <w:t>předložila jasné pokyny k otázkám provádění s cílem urychlit přidělování finančních prostředků a účinné provádění iniciativ FST;</w:t>
      </w:r>
    </w:p>
    <w:p w14:paraId="545DBF47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33.</w:t>
      </w:r>
      <w:r w:rsidRPr="009F321C">
        <w:tab/>
        <w:t>domnívá se, že Komise by měla stanovit jasné parametry, které by každý členský stát měl naplňovat v oblastech, jako jsou investice do vzdělávání a odborné přípravy, prohlubování dovedností a změna kvalifikace pro alternativní zaměstnání, a které by investorům z řad třetích stran umožnily zachovávat kulturu a tradice bývalých uhelných regionů a regionů těžby rašeliny a přispívat k obnově znečištěných oblastí v okolí dolů; vybízí k výměně know-how a osvědčených postupů mezi regiony procházejícími transformací; dále vyzývá k součinnosti s iniciativami, jako je Nový evropský Bauhaus, pokud jde o projekty, které stará průmyslová zařízení přetvářejí v sociální a kulturní prostory;</w:t>
      </w:r>
    </w:p>
    <w:p w14:paraId="2B7FEEF2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34.</w:t>
      </w:r>
      <w:r w:rsidRPr="009F321C">
        <w:tab/>
        <w:t>uznává, že panuje nedostatek finančních prostředků pro projekty velkého rozsahu prováděné zdola nahoru; doporučuje, aby v případech, kdy bude zjištěna taková potřeba, byly chybějící prostředky získány díky pokračování FST; zdůrazňuje, že je důležité poskytovat regionům, místním orgánům a komunitním skupinám specializovanou technickou podporu z FST již od nejranějších fází, aby se posílila jejich kapacita pro plánování zdola nahoru a aby se potenciálním příjemcům pomohlo připravit kvalitní projekty s dopadem;</w:t>
      </w:r>
    </w:p>
    <w:p w14:paraId="65FE7FD2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35.</w:t>
      </w:r>
      <w:r w:rsidRPr="009F321C">
        <w:tab/>
        <w:t>uznává, že panuje nedostatek finančních prostředků pro skupiny v odvětví dobrovolnické činnosti, které žádají o prostředky z FST, a vyzývá k zjednodušení mechanismu financování; zdůrazňuje, že je důležité poskytnout dostatečné předběžné financování ve výši více než poloviny kapitálových nákladů nebo podstatné části projektu pro skupiny, které jsou považovány za skupiny s nízkým rizikem, čímž se zajistí, že tyto skupiny nebudou muset platit vysoké úrokové sazby a poplatky při získávání spolufinancování a překlenovacích úvěrů, a místním dobrovolnickým a komunitním organizacím se umožní účinně realizovat projekty související s transformací;</w:t>
      </w:r>
    </w:p>
    <w:p w14:paraId="6F7A872F" w14:textId="77777777" w:rsidR="00156187" w:rsidRPr="009F321C" w:rsidRDefault="00156187" w:rsidP="00156187">
      <w:pPr>
        <w:pStyle w:val="NormalHanging12a"/>
      </w:pPr>
      <w:r w:rsidRPr="009F321C">
        <w:t>36.</w:t>
      </w:r>
      <w:r w:rsidRPr="009F321C">
        <w:tab/>
        <w:t>vyzývá k větší součinnosti mezi veřejným a soukromým sektorem, aby dokázaly společně zvládat proces transformace a vytvořit podmínky pro produktivní konverzi daných území;</w:t>
      </w:r>
    </w:p>
    <w:p w14:paraId="4AA1057E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37.</w:t>
      </w:r>
      <w:r w:rsidRPr="009F321C">
        <w:tab/>
        <w:t>upozorňuje na to, že pravidla státní podpory mají negativní dopad na dobrovolnické a neziskové skupiny; v této souvislosti poukazuje na zásadní úlohu subjektů sociální ekonomiky při poskytování konkrétních, komunitních odpovědí na sociální potřeby občanů EU a při podpoře inkluzivních řešení pro spravedlivou transformaci, která se zaměřují na občany; domnívá se, že pravidla státní podpory by mohla být za vhodných podmínek méně přísná v případě dobrovolnických a neziskových skupin považovaných za nízkorizikové; v této souvislosti vyzývá Komisi, aby spolupracovala s členskými státy v zájmu soudržnějšího a jasnějšího výkladu právních předpisů EU o státní podpoře v rozsahu, v němž se vztahují na komunitní a neziskové skupiny;</w:t>
      </w:r>
    </w:p>
    <w:p w14:paraId="1E5C9083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38.</w:t>
      </w:r>
      <w:r w:rsidRPr="009F321C">
        <w:tab/>
        <w:t xml:space="preserve">zdůrazňuje, že je třeba vytvořit rozšířený model přínosů pro komunitu, který by byl upraven podle podmínek každého území zapojeného do spravedlivé transformace; vyzývá členské státy a správní orgány, aby za tímto účelem vyčlenily část zdrojů z FST na podporu zavádění ekologických komunitních systémů, sociálních inovací a sociální ekonomiky, zejména financováním občanských energetických družstev, participativních místních projektů výroby energie z obnovitelných zdrojů a iniciativ, které podporují místní oběhové hospodářství; konstatuje, že bývalým pracovníkům a jejich rodinám by </w:t>
      </w:r>
      <w:r w:rsidRPr="009F321C">
        <w:lastRenderedPageBreak/>
        <w:t>mělo být umožněno investovat do těchto projektů nebo se na nich podílet, čímž se posílí vazba mezi ekologickou transformací a sociálním začleňováním;</w:t>
      </w:r>
    </w:p>
    <w:p w14:paraId="6020ADFB" w14:textId="77777777" w:rsidR="00156187" w:rsidRPr="009F321C" w:rsidRDefault="00156187" w:rsidP="00156187">
      <w:pPr>
        <w:pStyle w:val="NormalHanging12a"/>
      </w:pPr>
      <w:r w:rsidRPr="009F321C">
        <w:t>39.</w:t>
      </w:r>
      <w:r w:rsidRPr="009F321C">
        <w:tab/>
        <w:t>opakuje, že družstevní nebo komunitně vedené projekty v oblasti bydlení by měly mít zjednodušený přístup k financování z FST, a to i prostřednictvím nižších prahových hodnot spolufinancování a zálohových plateb; požaduje, aby byly členským státům poskytnuty pokyny, jak umožnit subjektům v oblasti bydlení přístup k finančním prostředkům;</w:t>
      </w:r>
    </w:p>
    <w:p w14:paraId="60BF5F75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40.</w:t>
      </w:r>
      <w:r w:rsidRPr="009F321C">
        <w:tab/>
        <w:t>vyzývá ke snížení administrativní zátěže FST pro komunity, a to přípravou specializovaných praktických manažerů a vytvořením jednotného kontaktního místa a vhodných digitálních platforem, které by poskytovaly podporu a pomoc při vyřizování žádostí a řízení projektů, jakmile budou vybrány, čímž se zajistí, že tyto komunity budou mít také rovný přístup k financování a sníží se rovněž regionální rozdíly;</w:t>
      </w:r>
    </w:p>
    <w:p w14:paraId="28BDED36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41.</w:t>
      </w:r>
      <w:r w:rsidRPr="009F321C">
        <w:tab/>
        <w:t>požaduje, aby FST podporoval, zviditelňoval a chránil kulturní a průmyslové dědictví postižených komunit podporou udržitelného rozvoje cestovního ruchu; vybízí k vytvoření specializovaných vzdělávacích programů pro průvodce po památkách s cílem podpořit místní zaměstnanost a kulturní kontinuitu a napomoci vytváření návštěvnických center a výkladových prostor, které budou prezentovat místní historii, tradice a transformační cestu těchto regionů, a tím vytvářet pracovní místa v dané lokalitě a zachovávat místní kulturní identitu, a zároveň přilákají kulturní a vzdělávací cestovní ruch;</w:t>
      </w:r>
    </w:p>
    <w:p w14:paraId="19420510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42.</w:t>
      </w:r>
      <w:r w:rsidRPr="009F321C">
        <w:tab/>
        <w:t>poukazuje na strategický význam „práva lidí setrvat“ v jejich regionech nebo místních oblastech; vyzývá Komisi, aby vydala konkrétní pokyny, jak tuto zásadu provádět a prosazovat ve všech regionech EU; vyzývá k většímu začlenění tohoto práva jako průřezové zásady do všech politik EU tak, aby byly podpořeny cíle sociální, hospodářské a územní soudržnosti, jak je stanoveno ve Smlouvách;</w:t>
      </w:r>
    </w:p>
    <w:p w14:paraId="14C9057D" w14:textId="77777777" w:rsidR="00156187" w:rsidRPr="009F321C" w:rsidRDefault="00156187" w:rsidP="00156187">
      <w:pPr>
        <w:pStyle w:val="NormalHanging12a"/>
        <w:rPr>
          <w:b/>
          <w:i/>
          <w:iCs/>
        </w:rPr>
      </w:pPr>
      <w:r w:rsidRPr="009F321C">
        <w:rPr>
          <w:b/>
          <w:i/>
        </w:rPr>
        <w:t xml:space="preserve">V celém hospodářství má sociální spravedlnost přednost před transformací </w:t>
      </w:r>
    </w:p>
    <w:p w14:paraId="7EE45B9B" w14:textId="77777777" w:rsidR="00156187" w:rsidRPr="009F321C" w:rsidRDefault="00156187" w:rsidP="00E6126E">
      <w:pPr>
        <w:pStyle w:val="NormalHanging12a"/>
      </w:pPr>
      <w:r w:rsidRPr="009F321C">
        <w:t>43.</w:t>
      </w:r>
      <w:r w:rsidRPr="009F321C">
        <w:tab/>
        <w:t>zdůrazňuje, že politika soudržnosti hraje klíčovou úlohu při plnění politických priorit EU a při podpoře hospodářství EU, neboť přispívá ke spravedlivé, inkluzivní a udržitelné transformaci a rozvoji, podporuje hospodářskou a sociální konvergenci mezi zeměmi a regiony a podněcuje inovace a zaměstnanost; lituje, že se Komise kvůli omezené flexibilitě současného víceletého finančního rámce (VFR) uchýlila k přesměrování politiky soudržnosti, která sice není nástrojem reakce na krize, ale přesto se opakovaně používá ke kompenzaci nedostatků v rozpočtové flexibilitě nebo mechanismech reakce na krize ve VFR na úkor dlouhodobých politických cílů; vyzývá Komisi a členské státy, aby provádění politiky soudržnosti urychlily;</w:t>
      </w:r>
    </w:p>
    <w:p w14:paraId="199B494A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44.</w:t>
      </w:r>
      <w:r w:rsidRPr="009F321C">
        <w:tab/>
        <w:t>domnívá se, že změny geopolitické situace spolu s dalšími faktory výrazně proměňují fungování hospodářství EU; zdůrazňuje, že FST by si měl zachovat rozhodující úlohu v procesu dekarbonizace; vyzývá Komisi a členské státy, aby prozkoumaly časový horizont ukončování provozu důležitých energetických závodů v EU a aby se snažily zmírňovat související dopady a zajistit pracovníkům „sociální spravedlnost při transformaci“;</w:t>
      </w:r>
    </w:p>
    <w:p w14:paraId="755758A6" w14:textId="5EBC748F" w:rsidR="00156187" w:rsidRPr="009F321C" w:rsidRDefault="00156187" w:rsidP="00156187">
      <w:pPr>
        <w:pStyle w:val="NormalHanging12a"/>
        <w:rPr>
          <w:szCs w:val="24"/>
        </w:rPr>
      </w:pPr>
      <w:r w:rsidRPr="009F321C">
        <w:t>45.</w:t>
      </w:r>
      <w:r w:rsidRPr="009F321C">
        <w:tab/>
        <w:t xml:space="preserve">vyzývá k tomu, aby byla věnována zvláštní pozornost podpoře propojování elektrických soustav, zvyšování přijímací kapacity sítě a posilování systémů pro uchovávání energie jako nezbytným součástem účinné transformace energetiky; vyzývá Komisi, aby </w:t>
      </w:r>
      <w:r w:rsidRPr="009F321C">
        <w:lastRenderedPageBreak/>
        <w:t>podněcovala členské státy k plnému provádění ustanovení směrnice (EU) 2019/9</w:t>
      </w:r>
      <w:r w:rsidR="009639ED">
        <w:t>4</w:t>
      </w:r>
      <w:r w:rsidRPr="009F321C">
        <w:t>4</w:t>
      </w:r>
      <w:r w:rsidRPr="009F321C">
        <w:rPr>
          <w:rStyle w:val="FootnoteReference"/>
        </w:rPr>
        <w:footnoteReference w:id="19"/>
      </w:r>
      <w:r w:rsidRPr="009F321C">
        <w:t xml:space="preserve"> týkajících se občanských energetických společenství, která stanoví konkrétní opatření na ochranu zranitelných domácností před energetickou chudobou v regionech FST; v této souvislosti se domnívá, že je třeba podporovat projekty v oblasti zelené infrastruktury vedené místními komunitami a projekty v oblasti obnovitelných zdrojů energie, jako jsou solární, větrná a hydroelektrická zařízení, a projekty udržitelné dopravy, neboť ty stimulují místní ekonomiky a nabízejí velký potenciál pro vytváření pracovních míst na místní úrovni ve stavebnictví, strojírenství, údržbě a souvisejících odvětvích;</w:t>
      </w:r>
    </w:p>
    <w:p w14:paraId="32F0BE0F" w14:textId="77777777" w:rsidR="00156187" w:rsidRPr="009F321C" w:rsidRDefault="00156187" w:rsidP="00156187">
      <w:pPr>
        <w:pStyle w:val="NormalHanging12a"/>
      </w:pPr>
      <w:r w:rsidRPr="009F321C">
        <w:t>46.</w:t>
      </w:r>
      <w:r w:rsidRPr="009F321C">
        <w:tab/>
        <w:t>poukazuje na význam členských států při podpoře odvětvového sociálního dialogu a kolektivního vyjednávání, zejména v nově vznikajících zelených odvětvích, a také při zajišťování začlenění malých a středních podniků, včetně podniků sociální ekonomiky; zdůrazňuje, že směrnice o minimální mzdě</w:t>
      </w:r>
      <w:r w:rsidRPr="009F321C">
        <w:rPr>
          <w:rStyle w:val="FootnoteReference"/>
        </w:rPr>
        <w:footnoteReference w:id="20"/>
      </w:r>
      <w:r w:rsidRPr="009F321C">
        <w:t xml:space="preserve"> představuje velkou příležitost k posílení kolektivního vyjednávání o stanovování mezd a přítomnosti sociálních partnerů v nově vznikajících odvětvích;</w:t>
      </w:r>
    </w:p>
    <w:p w14:paraId="58B812B3" w14:textId="77777777" w:rsidR="00156187" w:rsidRPr="009F321C" w:rsidRDefault="00156187" w:rsidP="00156187">
      <w:pPr>
        <w:pStyle w:val="NormalHanging12a"/>
      </w:pPr>
      <w:r w:rsidRPr="009F321C">
        <w:t>47.</w:t>
      </w:r>
      <w:r w:rsidRPr="009F321C">
        <w:tab/>
        <w:t>zdůrazňuje klíčovou úlohu investic do kvalitních veřejných služeb při budování sociální odolnosti a zvládání hospodářských krizí, zejména v regionech, které čelí vážným a přitom trvalým přírodním a demografickým výzvám; zdůrazňuje, že je třeba upřednostnit právě investice do základní infrastruktury, sociálních služeb a udržitelného cestovního ruchu, jakož i do logistických sítí a konektivity, včetně udržitelných druhů dopravy, s cílem podpořit odolnost a inovace a zároveň podněcovat růst podporující začlenění, vytvářet nová pracovní místa a zajistit životaschopnost nových podnikatelských projektů na postižených územích;</w:t>
      </w:r>
    </w:p>
    <w:p w14:paraId="28B24148" w14:textId="77777777" w:rsidR="00156187" w:rsidRPr="009F321C" w:rsidRDefault="00156187" w:rsidP="00156187">
      <w:pPr>
        <w:pStyle w:val="NormalHanging12a"/>
        <w:jc w:val="both"/>
      </w:pPr>
      <w:r w:rsidRPr="009F321C">
        <w:t>48.</w:t>
      </w:r>
      <w:r w:rsidRPr="009F321C">
        <w:tab/>
        <w:t>vyzývá Komisi, aby se zaměřila zejména na ostrovy a nejvzdálenější regiony s cílem podpořit řešení jejich závažných socioekonomických problémů vyplývajících z procesu přechodu k cílům EU v oblasti energetiky a klimatu do roku 2030 a k dosažení klimaticky neutrálního hospodářství v EU do roku 2050 a aby spolupracovala s členskými státy na vyčlenění konkrétních částek z jejich vnitrostátních přídělů v rámci jejich plánů spravedlivé územní transformace; vyzývá k přijetí konkrétních kompenzačních opatření, která vyváží veškeré negativní důsledky pro hospodářskou, sociální a územní soudržnost ostrovů spojené s procesem přechodu k čistšímu hospodářství a čistší společnosti, které mohou vyplynout z jejich závislosti na letectví a námořním odvětví; vyzývá proto k tomu, aby v rámci budování infrastruktury pro dekarbonizaci letecké a námořní dopravy byly ostrovy prioritou;</w:t>
      </w:r>
    </w:p>
    <w:p w14:paraId="597F4258" w14:textId="509691C8" w:rsidR="00156187" w:rsidRPr="009F321C" w:rsidRDefault="00156187" w:rsidP="00156187">
      <w:pPr>
        <w:pStyle w:val="NormalHanging12a"/>
        <w:rPr>
          <w:szCs w:val="24"/>
        </w:rPr>
      </w:pPr>
      <w:r w:rsidRPr="009F321C">
        <w:t>49.</w:t>
      </w:r>
      <w:r w:rsidRPr="009F321C">
        <w:tab/>
      </w:r>
      <w:r w:rsidR="00D41066" w:rsidRPr="00D41066">
        <w:t xml:space="preserve">vyjadřuje politování nad tím, že Komise ve svých nedávných návrzích týkajících se budoucího víceletého finančního rámce (VFR) nenavrhla samostatný Fond pro spravedlivou transformaci (FST); vyzývá proto Komisi, aby v programovém období po roce 2027 pokračoval fond FST prostřednictvím fondu FST „II“ s cílem poskytnout přímou podporu domácnostem a komunitám v procesu transformace a umožnit vznik intervenční kapacity úměrné rozsahu sociálně-ekonomických dopadů na zaměstnanost a </w:t>
      </w:r>
      <w:r w:rsidR="00D41066" w:rsidRPr="00D41066">
        <w:lastRenderedPageBreak/>
        <w:t>demografických a environmentálních dopadů přechodu k energetickým cílům EU pro rok 2030; poukazuje na to, že tento fond by měl fungovat podle zásad sdíleného řízení a partnerství v rámci politiky soudržnosti, a zdůrazňuje, že by měl mít vlastní předvídatelné rozpočtové prostředky, které zajistí jeho nezávislost na mimořádných nástrojích reakce na krize, jako je nástroj NextGenerationEU;</w:t>
      </w:r>
    </w:p>
    <w:p w14:paraId="022105FC" w14:textId="77777777" w:rsidR="00156187" w:rsidRPr="009F321C" w:rsidRDefault="00156187" w:rsidP="00E6126E">
      <w:pPr>
        <w:pStyle w:val="NormalHanging12a"/>
        <w:rPr>
          <w:szCs w:val="24"/>
        </w:rPr>
      </w:pPr>
      <w:r w:rsidRPr="009F321C">
        <w:t>50.</w:t>
      </w:r>
      <w:r w:rsidRPr="009F321C">
        <w:tab/>
        <w:t>naléhavě vyzývá Komisi, aby zefektivnila a sladila finanční nástroje v rámci VFR po roce 2027 a zajistila soudržný a koordinovaný přístup k podpoře strategií spravedlivé transformace prostřednictvím FST „II“; zdůrazňuje, že oblast působnosti FST „II“ by mohla být – v souladu s návrhy členských států – rozšířena o opatření, která by měla být uplatňována až do doby, než budou pracovní místa ztracená v určité lokalitě nahrazena v téže místní oblasti, a měla by se zaměřit na sladění udržitelného rozvoje s konkurenceschopností a zajistit, aby regiony procházející transformací mohly hospodářsky prosperovat, aniž by byly ohroženy jejich environmentální a sociální cíle; poukazuje na to, že je třeba, aby plány pro oblasti spravedlivé transformace, které zaujímají proaktivní přístup, rovněž anticipovaly potenciální transformativní procesy a aby obsahovaly jasný závazek k rozvoji strategických iniciativ v oblasti obnovy a rozvoje se zvláštním zaměřením na rozvoj podnikání a vytváření pracovních míst v oblastech nejvíce postižených ukončením provozu závodů na výrobu fosilních paliv; zdůrazňuje, že v souladu s dohodnutými cíli EU mají členské státy určitou flexibilitu na cestě k dekarbonizaci, s přihlédnutím k technologické a ekonomické perspektivě a v závislosti na místních a regionálních potřebách;</w:t>
      </w:r>
    </w:p>
    <w:p w14:paraId="47EF4A1F" w14:textId="77777777" w:rsidR="00156187" w:rsidRPr="009F321C" w:rsidRDefault="00156187" w:rsidP="00156187">
      <w:pPr>
        <w:pStyle w:val="NormalHanging12a"/>
        <w:rPr>
          <w:szCs w:val="24"/>
        </w:rPr>
      </w:pPr>
      <w:r w:rsidRPr="009F321C">
        <w:t>51.</w:t>
      </w:r>
      <w:r w:rsidRPr="009F321C">
        <w:tab/>
        <w:t>zdůrazňuje, že je třeba zavést přesnější kritéria pro přidělování a vymezení územní působnosti fondů a zaměřit se konkrétně na místní a regionální orgány v rámci správní úrovně NUTS 3</w:t>
      </w:r>
      <w:r w:rsidRPr="009F321C">
        <w:rPr>
          <w:rStyle w:val="FootnoteReference"/>
        </w:rPr>
        <w:footnoteReference w:id="21"/>
      </w:r>
      <w:r w:rsidRPr="009F321C">
        <w:t>; zdůrazňuje, že je důležité, aby se finanční prostředky dostaly do regionů, které jsou obzvláště postiženy přechodem na klimaticky neutrální ekonomiku v důsledku odvětvové povahy jejich hospodářství, nebo uzavíráním závodů s vysokými emisemi uhlíku, a aby investice nebyly soustředěny pouze ve velkých městských center oblasti NUTS 3; poukazuje na to, že je naléhavě nutné začlenit do přidělování finančních prostředků z FST také územní a demografické ukazatele, jako je stárnutí populace, odchod mladých lidí z daných území, trvalý úbytek obyvatelstva či vylidňování a dopad přechodné zaměstnanosti;</w:t>
      </w:r>
    </w:p>
    <w:p w14:paraId="41FB5C3C" w14:textId="767E96DF" w:rsidR="00156187" w:rsidRDefault="00156187" w:rsidP="00156187">
      <w:pPr>
        <w:pStyle w:val="NormalHanging12a"/>
      </w:pPr>
      <w:r w:rsidRPr="009F321C">
        <w:t>52</w:t>
      </w:r>
      <w:r w:rsidR="00210EF4">
        <w:t>.</w:t>
      </w:r>
      <w:r w:rsidRPr="009F321C">
        <w:tab/>
        <w:t>je přesvědčen, že klíčový význam pro provádění spravedlivé transformace má rámec řádné správy; zdůrazňuje, že místní a regionální orgány hrají klíčovou úlohu při zajišťování účinného navrhování, provádění a monitorování programů EU, neboť mají blízko k občanům a dobře znají územní potřeby; zdůrazňuje, že je důležité dodržovat zásadu partnerství a evropský kodex chování pro partnerskou spolupráci a klást důraz na místní přístup s cílem zajistit plnou účast místních a regionálních orgánů, sociálních partnerů a organizací občanské společnosti na správě, výběru a monitorování financovaných projektů v souladu se zásadou víceúrovňové správy stanovenou v nařízení (EU) 2021/1060;</w:t>
      </w:r>
    </w:p>
    <w:p w14:paraId="32DB91B1" w14:textId="77777777" w:rsidR="00156187" w:rsidRPr="009F321C" w:rsidRDefault="00156187" w:rsidP="00156187">
      <w:pPr>
        <w:pStyle w:val="NormalHanging12a"/>
        <w:jc w:val="center"/>
      </w:pPr>
      <w:r w:rsidRPr="009F321C">
        <w:t>°</w:t>
      </w:r>
    </w:p>
    <w:p w14:paraId="2C71105D" w14:textId="77777777" w:rsidR="00156187" w:rsidRPr="009F321C" w:rsidRDefault="00156187" w:rsidP="00156187">
      <w:pPr>
        <w:pStyle w:val="NormalHanging12a"/>
        <w:jc w:val="center"/>
      </w:pPr>
      <w:r w:rsidRPr="009F321C">
        <w:t>°</w:t>
      </w:r>
      <w:r w:rsidRPr="009F321C">
        <w:tab/>
        <w:t>°</w:t>
      </w:r>
    </w:p>
    <w:p w14:paraId="088D8A31" w14:textId="553E5033" w:rsidR="009F321C" w:rsidRPr="009F321C" w:rsidRDefault="00156187" w:rsidP="009F321C">
      <w:pPr>
        <w:pStyle w:val="NormalHanging12a"/>
      </w:pPr>
      <w:r w:rsidRPr="009F321C">
        <w:t>53.</w:t>
      </w:r>
      <w:r w:rsidRPr="009F321C">
        <w:tab/>
        <w:t xml:space="preserve">pověřuje svou předsedkyni, aby předala toto usnesení Radě, Komisi, Evropskému hospodářskému a sociálnímu výboru, Evropskému výboru regionů a vnitrostátním </w:t>
      </w:r>
      <w:r w:rsidRPr="009F321C">
        <w:lastRenderedPageBreak/>
        <w:t>a regionálním parlamentům členských států.</w:t>
      </w:r>
    </w:p>
    <w:sectPr w:rsidR="009F321C" w:rsidRPr="009F321C" w:rsidSect="009F321C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72A58" w14:textId="77777777" w:rsidR="004A3D3D" w:rsidRPr="009F321C" w:rsidRDefault="004A3D3D">
      <w:r w:rsidRPr="009F321C">
        <w:separator/>
      </w:r>
    </w:p>
  </w:endnote>
  <w:endnote w:type="continuationSeparator" w:id="0">
    <w:p w14:paraId="729D7107" w14:textId="77777777" w:rsidR="004A3D3D" w:rsidRPr="009F321C" w:rsidRDefault="004A3D3D">
      <w:r w:rsidRPr="009F32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18C3D" w14:textId="77777777" w:rsidR="004A3D3D" w:rsidRPr="009F321C" w:rsidRDefault="004A3D3D">
      <w:r w:rsidRPr="009F321C">
        <w:separator/>
      </w:r>
    </w:p>
  </w:footnote>
  <w:footnote w:type="continuationSeparator" w:id="0">
    <w:p w14:paraId="53159F9F" w14:textId="77777777" w:rsidR="004A3D3D" w:rsidRPr="009F321C" w:rsidRDefault="004A3D3D">
      <w:r w:rsidRPr="009F321C">
        <w:continuationSeparator/>
      </w:r>
    </w:p>
  </w:footnote>
  <w:footnote w:id="1">
    <w:p w14:paraId="186DB1F5" w14:textId="5A6F1ACF" w:rsidR="00156187" w:rsidRPr="009F321C" w:rsidRDefault="00156187" w:rsidP="009F321C">
      <w:pPr>
        <w:pStyle w:val="FootnoteText"/>
        <w:ind w:left="567" w:hanging="567"/>
        <w:rPr>
          <w:sz w:val="24"/>
          <w:lang w:val="cs-CZ"/>
        </w:rPr>
      </w:pPr>
      <w:r w:rsidRPr="009F321C">
        <w:rPr>
          <w:rStyle w:val="FootnoteReference"/>
          <w:sz w:val="24"/>
          <w:lang w:val="cs-CZ"/>
        </w:rPr>
        <w:footnoteRef/>
      </w:r>
      <w:r w:rsidR="009F321C" w:rsidRPr="009F321C">
        <w:rPr>
          <w:sz w:val="24"/>
          <w:lang w:val="cs-CZ"/>
        </w:rPr>
        <w:t xml:space="preserve"> </w:t>
      </w:r>
      <w:r w:rsidR="009F321C" w:rsidRPr="009F321C">
        <w:rPr>
          <w:sz w:val="24"/>
          <w:lang w:val="cs-CZ"/>
        </w:rPr>
        <w:tab/>
      </w:r>
      <w:r w:rsidRPr="009F321C">
        <w:rPr>
          <w:sz w:val="24"/>
          <w:lang w:val="cs-CZ"/>
        </w:rPr>
        <w:t xml:space="preserve">Úř. věst. L 57, 18.2.2021, s. 17, ELI: </w:t>
      </w:r>
      <w:hyperlink r:id="rId1" w:history="1">
        <w:r w:rsidRPr="009F321C">
          <w:rPr>
            <w:rStyle w:val="Hyperlink"/>
            <w:sz w:val="24"/>
            <w:lang w:val="cs-CZ"/>
          </w:rPr>
          <w:t>http://data.europa.eu/eli/reg/2021/241/oj</w:t>
        </w:r>
      </w:hyperlink>
      <w:r w:rsidRPr="009F321C">
        <w:rPr>
          <w:sz w:val="24"/>
          <w:lang w:val="cs-CZ"/>
        </w:rPr>
        <w:t xml:space="preserve">. </w:t>
      </w:r>
    </w:p>
  </w:footnote>
  <w:footnote w:id="2">
    <w:p w14:paraId="4350CC4F" w14:textId="6B0FB818" w:rsidR="00156187" w:rsidRPr="009F321C" w:rsidRDefault="00156187" w:rsidP="009F321C">
      <w:pPr>
        <w:pStyle w:val="FootnoteText"/>
        <w:ind w:left="567" w:hanging="567"/>
        <w:rPr>
          <w:sz w:val="24"/>
          <w:lang w:val="cs-CZ"/>
        </w:rPr>
      </w:pPr>
      <w:r w:rsidRPr="009F321C">
        <w:rPr>
          <w:rStyle w:val="FootnoteReference"/>
          <w:sz w:val="24"/>
          <w:lang w:val="cs-CZ"/>
        </w:rPr>
        <w:footnoteRef/>
      </w:r>
      <w:r w:rsidR="009F321C" w:rsidRPr="009F321C">
        <w:rPr>
          <w:sz w:val="24"/>
          <w:lang w:val="cs-CZ"/>
        </w:rPr>
        <w:t xml:space="preserve"> </w:t>
      </w:r>
      <w:r w:rsidR="009F321C" w:rsidRPr="009F321C">
        <w:rPr>
          <w:sz w:val="24"/>
          <w:lang w:val="cs-CZ"/>
        </w:rPr>
        <w:tab/>
      </w:r>
      <w:r w:rsidRPr="009F321C">
        <w:rPr>
          <w:sz w:val="24"/>
          <w:lang w:val="cs-CZ"/>
        </w:rPr>
        <w:t xml:space="preserve">Úř. věst. L 153, 3.5.2021, s. 48, ELI: </w:t>
      </w:r>
      <w:hyperlink r:id="rId2" w:history="1">
        <w:r w:rsidRPr="009F321C">
          <w:rPr>
            <w:rStyle w:val="Hyperlink"/>
            <w:sz w:val="24"/>
            <w:lang w:val="cs-CZ"/>
          </w:rPr>
          <w:t>http://data.europa.eu/eli/reg/2021/691/oj</w:t>
        </w:r>
      </w:hyperlink>
      <w:r w:rsidRPr="009F321C">
        <w:rPr>
          <w:sz w:val="24"/>
          <w:lang w:val="cs-CZ"/>
        </w:rPr>
        <w:t>.</w:t>
      </w:r>
    </w:p>
  </w:footnote>
  <w:footnote w:id="3">
    <w:p w14:paraId="0DBAD768" w14:textId="58056A58" w:rsidR="00156187" w:rsidRPr="00EF0F93" w:rsidRDefault="00156187" w:rsidP="009F321C">
      <w:pPr>
        <w:pStyle w:val="FootnoteText"/>
        <w:ind w:left="567" w:hanging="567"/>
        <w:rPr>
          <w:sz w:val="24"/>
          <w:lang w:val="cs-CZ"/>
        </w:rPr>
      </w:pPr>
      <w:r w:rsidRPr="00EF0F93">
        <w:rPr>
          <w:rStyle w:val="FootnoteReference"/>
          <w:sz w:val="24"/>
          <w:lang w:val="cs-CZ"/>
        </w:rPr>
        <w:footnoteRef/>
      </w:r>
      <w:r w:rsidR="009F321C" w:rsidRPr="00EF0F93">
        <w:rPr>
          <w:sz w:val="24"/>
          <w:lang w:val="cs-CZ"/>
        </w:rPr>
        <w:t xml:space="preserve"> </w:t>
      </w:r>
      <w:r w:rsidR="009F321C" w:rsidRPr="00EF0F93">
        <w:rPr>
          <w:sz w:val="24"/>
          <w:lang w:val="cs-CZ"/>
        </w:rPr>
        <w:tab/>
      </w:r>
      <w:r w:rsidRPr="00EF0F93">
        <w:rPr>
          <w:sz w:val="24"/>
          <w:lang w:val="cs-CZ"/>
        </w:rPr>
        <w:t>Úř. věst.</w:t>
      </w:r>
      <w:r w:rsidRPr="00EF0F93">
        <w:rPr>
          <w:rStyle w:val="Emphasis"/>
          <w:color w:val="333333"/>
          <w:sz w:val="24"/>
          <w:shd w:val="clear" w:color="auto" w:fill="FFFFFF"/>
          <w:lang w:val="cs-CZ"/>
        </w:rPr>
        <w:t xml:space="preserve"> </w:t>
      </w:r>
      <w:r w:rsidRPr="00EF0F93">
        <w:rPr>
          <w:rStyle w:val="Emphasis"/>
          <w:i w:val="0"/>
          <w:iCs w:val="0"/>
          <w:color w:val="333333"/>
          <w:sz w:val="24"/>
          <w:shd w:val="clear" w:color="auto" w:fill="FFFFFF"/>
          <w:lang w:val="cs-CZ"/>
        </w:rPr>
        <w:t xml:space="preserve">L 231, 30.6.2021, s. 1, ELI: </w:t>
      </w:r>
      <w:hyperlink r:id="rId3" w:history="1">
        <w:r w:rsidRPr="00EF0F93">
          <w:rPr>
            <w:rStyle w:val="Hyperlink"/>
            <w:sz w:val="24"/>
            <w:shd w:val="clear" w:color="auto" w:fill="FFFFFF"/>
            <w:lang w:val="cs-CZ"/>
          </w:rPr>
          <w:t>http://data.europa.eu/eli/reg/2021/1056/oj</w:t>
        </w:r>
      </w:hyperlink>
      <w:r w:rsidRPr="00EF0F93">
        <w:rPr>
          <w:rStyle w:val="Emphasis"/>
          <w:i w:val="0"/>
          <w:iCs w:val="0"/>
          <w:color w:val="333333"/>
          <w:sz w:val="24"/>
          <w:shd w:val="clear" w:color="auto" w:fill="FFFFFF"/>
          <w:lang w:val="cs-CZ"/>
        </w:rPr>
        <w:t xml:space="preserve">. </w:t>
      </w:r>
    </w:p>
  </w:footnote>
  <w:footnote w:id="4">
    <w:p w14:paraId="53E6690D" w14:textId="0395E912" w:rsidR="00156187" w:rsidRPr="00EF0F93" w:rsidRDefault="00156187" w:rsidP="009F321C">
      <w:pPr>
        <w:pStyle w:val="FootnoteText"/>
        <w:ind w:left="567" w:hanging="567"/>
        <w:rPr>
          <w:sz w:val="24"/>
          <w:lang w:val="cs-CZ"/>
        </w:rPr>
      </w:pPr>
      <w:r w:rsidRPr="00EF0F93">
        <w:rPr>
          <w:rStyle w:val="FootnoteReference"/>
          <w:sz w:val="24"/>
          <w:lang w:val="cs-CZ"/>
        </w:rPr>
        <w:footnoteRef/>
      </w:r>
      <w:r w:rsidR="009F321C" w:rsidRPr="00EF0F93">
        <w:rPr>
          <w:sz w:val="24"/>
          <w:lang w:val="cs-CZ"/>
        </w:rPr>
        <w:t xml:space="preserve"> </w:t>
      </w:r>
      <w:r w:rsidR="009F321C" w:rsidRPr="00EF0F93">
        <w:rPr>
          <w:sz w:val="24"/>
          <w:lang w:val="cs-CZ"/>
        </w:rPr>
        <w:tab/>
      </w:r>
      <w:r w:rsidRPr="00EF0F93">
        <w:rPr>
          <w:sz w:val="24"/>
          <w:lang w:val="cs-CZ"/>
        </w:rPr>
        <w:t>Úř. věst.</w:t>
      </w:r>
      <w:r w:rsidRPr="00EF0F93">
        <w:rPr>
          <w:rStyle w:val="Emphasis"/>
          <w:i w:val="0"/>
          <w:iCs w:val="0"/>
          <w:color w:val="333333"/>
          <w:sz w:val="24"/>
          <w:shd w:val="clear" w:color="auto" w:fill="FFFFFF"/>
          <w:lang w:val="cs-CZ"/>
        </w:rPr>
        <w:t xml:space="preserve"> L 231, 30.6.2021, s. 21, ELI:</w:t>
      </w:r>
      <w:r w:rsidRPr="00EF0F93">
        <w:rPr>
          <w:color w:val="23527C"/>
          <w:sz w:val="24"/>
          <w:shd w:val="clear" w:color="auto" w:fill="FFFFFF"/>
          <w:lang w:val="cs-CZ"/>
        </w:rPr>
        <w:t xml:space="preserve"> </w:t>
      </w:r>
      <w:hyperlink r:id="rId4" w:history="1">
        <w:r w:rsidRPr="00EF0F93">
          <w:rPr>
            <w:rStyle w:val="Hyperlink"/>
            <w:sz w:val="24"/>
            <w:shd w:val="clear" w:color="auto" w:fill="FFFFFF"/>
            <w:lang w:val="cs-CZ"/>
          </w:rPr>
          <w:t>http://data.europa.eu/eli/reg/2021/1057/oj</w:t>
        </w:r>
      </w:hyperlink>
      <w:r w:rsidRPr="00EF0F93">
        <w:rPr>
          <w:sz w:val="24"/>
          <w:lang w:val="cs-CZ"/>
        </w:rPr>
        <w:t>.</w:t>
      </w:r>
    </w:p>
  </w:footnote>
  <w:footnote w:id="5">
    <w:p w14:paraId="4959015F" w14:textId="0F8AB2B8" w:rsidR="00156187" w:rsidRPr="00EF0F93" w:rsidRDefault="00156187" w:rsidP="009F321C">
      <w:pPr>
        <w:pStyle w:val="FootnoteText"/>
        <w:ind w:left="567" w:hanging="567"/>
        <w:rPr>
          <w:sz w:val="24"/>
          <w:lang w:val="cs-CZ"/>
        </w:rPr>
      </w:pPr>
      <w:r w:rsidRPr="00EF0F93">
        <w:rPr>
          <w:rStyle w:val="FootnoteReference"/>
          <w:sz w:val="24"/>
          <w:lang w:val="cs-CZ"/>
        </w:rPr>
        <w:footnoteRef/>
      </w:r>
      <w:r w:rsidR="009F321C" w:rsidRPr="00EF0F93">
        <w:rPr>
          <w:sz w:val="24"/>
          <w:lang w:val="cs-CZ"/>
        </w:rPr>
        <w:t xml:space="preserve"> </w:t>
      </w:r>
      <w:r w:rsidR="009F321C" w:rsidRPr="00EF0F93">
        <w:rPr>
          <w:sz w:val="24"/>
          <w:lang w:val="cs-CZ"/>
        </w:rPr>
        <w:tab/>
      </w:r>
      <w:r w:rsidRPr="00EF0F93">
        <w:rPr>
          <w:sz w:val="24"/>
          <w:lang w:val="cs-CZ"/>
        </w:rPr>
        <w:t>Úř. věst.</w:t>
      </w:r>
      <w:r w:rsidRPr="00EF0F93">
        <w:rPr>
          <w:rStyle w:val="Emphasis"/>
          <w:i w:val="0"/>
          <w:iCs w:val="0"/>
          <w:color w:val="333333"/>
          <w:sz w:val="24"/>
          <w:shd w:val="clear" w:color="auto" w:fill="FFFFFF"/>
          <w:lang w:val="cs-CZ"/>
        </w:rPr>
        <w:t xml:space="preserve"> L 231, 30.6.2021, s. 60, ELI</w:t>
      </w:r>
      <w:r w:rsidRPr="00EF0F93">
        <w:rPr>
          <w:rStyle w:val="Emphasis"/>
          <w:color w:val="333333"/>
          <w:sz w:val="24"/>
          <w:shd w:val="clear" w:color="auto" w:fill="FFFFFF"/>
          <w:lang w:val="cs-CZ"/>
        </w:rPr>
        <w:t xml:space="preserve">: </w:t>
      </w:r>
      <w:hyperlink r:id="rId5" w:history="1">
        <w:r w:rsidRPr="00EF0F93">
          <w:rPr>
            <w:rStyle w:val="Hyperlink"/>
            <w:sz w:val="24"/>
            <w:shd w:val="clear" w:color="auto" w:fill="FFFFFF"/>
            <w:lang w:val="cs-CZ"/>
          </w:rPr>
          <w:t>http://data.europa.eu/eli/reg/2021/1058/oj</w:t>
        </w:r>
      </w:hyperlink>
      <w:r w:rsidRPr="00EF0F93">
        <w:rPr>
          <w:rStyle w:val="Emphasis"/>
          <w:color w:val="333333"/>
          <w:sz w:val="24"/>
          <w:shd w:val="clear" w:color="auto" w:fill="FFFFFF"/>
          <w:lang w:val="cs-CZ"/>
        </w:rPr>
        <w:t>.</w:t>
      </w:r>
    </w:p>
  </w:footnote>
  <w:footnote w:id="6">
    <w:p w14:paraId="769677B2" w14:textId="5D904761" w:rsidR="00156187" w:rsidRPr="009F321C" w:rsidRDefault="00156187" w:rsidP="009F321C">
      <w:pPr>
        <w:pStyle w:val="FootnoteText"/>
        <w:ind w:left="567" w:hanging="567"/>
        <w:rPr>
          <w:sz w:val="24"/>
          <w:lang w:val="cs-CZ"/>
        </w:rPr>
      </w:pPr>
      <w:r w:rsidRPr="009F321C">
        <w:rPr>
          <w:rStyle w:val="FootnoteReference"/>
          <w:sz w:val="24"/>
          <w:lang w:val="cs-CZ"/>
        </w:rPr>
        <w:footnoteRef/>
      </w:r>
      <w:r w:rsidR="009F321C" w:rsidRPr="009F321C">
        <w:rPr>
          <w:sz w:val="24"/>
          <w:lang w:val="cs-CZ"/>
        </w:rPr>
        <w:t xml:space="preserve"> </w:t>
      </w:r>
      <w:r w:rsidR="009F321C" w:rsidRPr="009F321C">
        <w:rPr>
          <w:sz w:val="24"/>
          <w:lang w:val="cs-CZ"/>
        </w:rPr>
        <w:tab/>
      </w:r>
      <w:r w:rsidRPr="009F321C">
        <w:rPr>
          <w:sz w:val="24"/>
          <w:lang w:val="cs-CZ"/>
        </w:rPr>
        <w:t xml:space="preserve">Úř. věst. L 231, 30.6.2021, s. 159, </w:t>
      </w:r>
      <w:r w:rsidRPr="009F321C">
        <w:rPr>
          <w:color w:val="333333"/>
          <w:sz w:val="24"/>
          <w:shd w:val="clear" w:color="auto" w:fill="FFFFFF"/>
          <w:lang w:val="cs-CZ"/>
        </w:rPr>
        <w:t>ELI: </w:t>
      </w:r>
      <w:hyperlink r:id="rId6" w:history="1">
        <w:r w:rsidRPr="009F321C">
          <w:rPr>
            <w:rStyle w:val="Hyperlink"/>
            <w:sz w:val="24"/>
            <w:shd w:val="clear" w:color="auto" w:fill="FFFFFF"/>
            <w:lang w:val="cs-CZ"/>
          </w:rPr>
          <w:t>http://data.europa.eu/eli/reg/2021/1060/oj</w:t>
        </w:r>
      </w:hyperlink>
      <w:r w:rsidRPr="009F321C">
        <w:rPr>
          <w:sz w:val="24"/>
          <w:lang w:val="cs-CZ"/>
        </w:rPr>
        <w:t xml:space="preserve">. </w:t>
      </w:r>
    </w:p>
  </w:footnote>
  <w:footnote w:id="7">
    <w:p w14:paraId="057ACDDF" w14:textId="788165C5" w:rsidR="00156187" w:rsidRPr="009F321C" w:rsidRDefault="00156187" w:rsidP="009F321C">
      <w:pPr>
        <w:pStyle w:val="FootnoteText"/>
        <w:ind w:left="567" w:hanging="567"/>
        <w:rPr>
          <w:sz w:val="24"/>
          <w:lang w:val="cs-CZ"/>
        </w:rPr>
      </w:pPr>
      <w:r w:rsidRPr="009F321C">
        <w:rPr>
          <w:rStyle w:val="FootnoteReference"/>
          <w:sz w:val="24"/>
          <w:lang w:val="cs-CZ"/>
        </w:rPr>
        <w:footnoteRef/>
      </w:r>
      <w:r w:rsidR="009F321C" w:rsidRPr="009F321C">
        <w:rPr>
          <w:sz w:val="24"/>
          <w:lang w:val="cs-CZ"/>
        </w:rPr>
        <w:t xml:space="preserve"> </w:t>
      </w:r>
      <w:r w:rsidR="009F321C" w:rsidRPr="009F321C">
        <w:rPr>
          <w:sz w:val="24"/>
          <w:lang w:val="cs-CZ"/>
        </w:rPr>
        <w:tab/>
      </w:r>
      <w:r w:rsidRPr="009F321C">
        <w:rPr>
          <w:sz w:val="24"/>
          <w:lang w:val="cs-CZ"/>
        </w:rPr>
        <w:t>Úř. věst.</w:t>
      </w:r>
      <w:r w:rsidRPr="009F321C">
        <w:rPr>
          <w:rStyle w:val="Emphasis"/>
          <w:color w:val="333333"/>
          <w:sz w:val="24"/>
          <w:shd w:val="clear" w:color="auto" w:fill="FFFFFF"/>
          <w:lang w:val="cs-CZ"/>
        </w:rPr>
        <w:t xml:space="preserve"> </w:t>
      </w:r>
      <w:r w:rsidRPr="00EF0F93">
        <w:rPr>
          <w:rStyle w:val="Emphasis"/>
          <w:i w:val="0"/>
          <w:iCs w:val="0"/>
          <w:color w:val="333333"/>
          <w:sz w:val="24"/>
          <w:shd w:val="clear" w:color="auto" w:fill="FFFFFF"/>
          <w:lang w:val="cs-CZ"/>
        </w:rPr>
        <w:t>L 243, 9.7.2021, s. 1, ELI</w:t>
      </w:r>
      <w:r w:rsidRPr="009F321C">
        <w:rPr>
          <w:rStyle w:val="Emphasis"/>
          <w:color w:val="333333"/>
          <w:sz w:val="24"/>
          <w:shd w:val="clear" w:color="auto" w:fill="FFFFFF"/>
          <w:lang w:val="cs-CZ"/>
        </w:rPr>
        <w:t xml:space="preserve">: </w:t>
      </w:r>
      <w:hyperlink r:id="rId7" w:history="1">
        <w:r w:rsidRPr="009F321C">
          <w:rPr>
            <w:rStyle w:val="Hyperlink"/>
            <w:sz w:val="24"/>
            <w:shd w:val="clear" w:color="auto" w:fill="FFFFFF"/>
            <w:lang w:val="cs-CZ"/>
          </w:rPr>
          <w:t>http://data.europa.eu/eli/reg/2021/1119/oj</w:t>
        </w:r>
      </w:hyperlink>
      <w:r w:rsidRPr="009F321C">
        <w:rPr>
          <w:rStyle w:val="Emphasis"/>
          <w:color w:val="333333"/>
          <w:sz w:val="24"/>
          <w:shd w:val="clear" w:color="auto" w:fill="FFFFFF"/>
          <w:lang w:val="cs-CZ"/>
        </w:rPr>
        <w:t xml:space="preserve">. </w:t>
      </w:r>
    </w:p>
  </w:footnote>
  <w:footnote w:id="8">
    <w:p w14:paraId="53388E32" w14:textId="49A3AAE5" w:rsidR="00156187" w:rsidRPr="009F321C" w:rsidRDefault="00156187" w:rsidP="009F321C">
      <w:pPr>
        <w:pStyle w:val="FootnoteText"/>
        <w:ind w:left="567" w:hanging="567"/>
        <w:rPr>
          <w:sz w:val="24"/>
          <w:lang w:val="cs-CZ"/>
        </w:rPr>
      </w:pPr>
      <w:r w:rsidRPr="009F321C">
        <w:rPr>
          <w:rStyle w:val="FootnoteReference"/>
          <w:sz w:val="24"/>
          <w:lang w:val="cs-CZ"/>
        </w:rPr>
        <w:footnoteRef/>
      </w:r>
      <w:r w:rsidR="009F321C" w:rsidRPr="009F321C">
        <w:rPr>
          <w:sz w:val="24"/>
          <w:lang w:val="cs-CZ"/>
        </w:rPr>
        <w:t xml:space="preserve"> </w:t>
      </w:r>
      <w:r w:rsidR="009F321C" w:rsidRPr="009F321C">
        <w:rPr>
          <w:sz w:val="24"/>
          <w:lang w:val="cs-CZ"/>
        </w:rPr>
        <w:tab/>
      </w:r>
      <w:r w:rsidRPr="009F321C">
        <w:rPr>
          <w:sz w:val="24"/>
          <w:lang w:val="cs-CZ"/>
        </w:rPr>
        <w:t xml:space="preserve">Úř. věst. L, 2024/1735, 28.6.2024, ELI: </w:t>
      </w:r>
      <w:hyperlink r:id="rId8" w:history="1">
        <w:r w:rsidRPr="009F321C">
          <w:rPr>
            <w:rStyle w:val="Hyperlink"/>
            <w:sz w:val="24"/>
            <w:lang w:val="cs-CZ"/>
          </w:rPr>
          <w:t>http://data.europa.eu/eli/reg/2024/1735/oj</w:t>
        </w:r>
      </w:hyperlink>
      <w:r w:rsidRPr="009F321C">
        <w:rPr>
          <w:sz w:val="24"/>
          <w:lang w:val="cs-CZ"/>
        </w:rPr>
        <w:t xml:space="preserve">. </w:t>
      </w:r>
    </w:p>
  </w:footnote>
  <w:footnote w:id="9">
    <w:p w14:paraId="3BB3F81E" w14:textId="76280E00" w:rsidR="00156187" w:rsidRPr="009F321C" w:rsidRDefault="00156187" w:rsidP="009F321C">
      <w:pPr>
        <w:pStyle w:val="FootnoteText"/>
        <w:ind w:left="567" w:hanging="567"/>
        <w:rPr>
          <w:sz w:val="24"/>
          <w:lang w:val="cs-CZ"/>
        </w:rPr>
      </w:pPr>
      <w:r w:rsidRPr="009F321C">
        <w:rPr>
          <w:rStyle w:val="FootnoteReference"/>
          <w:sz w:val="24"/>
          <w:lang w:val="cs-CZ"/>
        </w:rPr>
        <w:footnoteRef/>
      </w:r>
      <w:r w:rsidR="009F321C" w:rsidRPr="009F321C">
        <w:rPr>
          <w:sz w:val="24"/>
          <w:lang w:val="cs-CZ"/>
        </w:rPr>
        <w:t xml:space="preserve"> </w:t>
      </w:r>
      <w:r w:rsidR="009F321C" w:rsidRPr="009F321C">
        <w:rPr>
          <w:sz w:val="24"/>
          <w:lang w:val="cs-CZ"/>
        </w:rPr>
        <w:tab/>
      </w:r>
      <w:r w:rsidRPr="009F321C">
        <w:rPr>
          <w:sz w:val="24"/>
          <w:lang w:val="cs-CZ"/>
        </w:rPr>
        <w:t>Úř. věst. C 494, 8.12.2021, s. 26.</w:t>
      </w:r>
    </w:p>
  </w:footnote>
  <w:footnote w:id="10">
    <w:p w14:paraId="02427C95" w14:textId="24775328" w:rsidR="00156187" w:rsidRPr="009F321C" w:rsidRDefault="00156187" w:rsidP="009F321C">
      <w:pPr>
        <w:pStyle w:val="FootnoteText"/>
        <w:ind w:left="567" w:hanging="567"/>
        <w:rPr>
          <w:sz w:val="24"/>
          <w:lang w:val="cs-CZ"/>
        </w:rPr>
      </w:pPr>
      <w:r w:rsidRPr="009F321C">
        <w:rPr>
          <w:rStyle w:val="FootnoteReference"/>
          <w:sz w:val="24"/>
          <w:lang w:val="cs-CZ"/>
        </w:rPr>
        <w:footnoteRef/>
      </w:r>
      <w:r w:rsidR="009F321C" w:rsidRPr="009F321C">
        <w:rPr>
          <w:sz w:val="24"/>
          <w:lang w:val="cs-CZ"/>
        </w:rPr>
        <w:t xml:space="preserve"> </w:t>
      </w:r>
      <w:r w:rsidR="009F321C" w:rsidRPr="009F321C">
        <w:rPr>
          <w:sz w:val="24"/>
          <w:lang w:val="cs-CZ"/>
        </w:rPr>
        <w:tab/>
      </w:r>
      <w:r w:rsidRPr="009F321C">
        <w:rPr>
          <w:sz w:val="24"/>
          <w:lang w:val="cs-CZ"/>
        </w:rPr>
        <w:t>Úř. věst. C 15, 12.1.2022, s. 125.</w:t>
      </w:r>
    </w:p>
  </w:footnote>
  <w:footnote w:id="11">
    <w:p w14:paraId="4BB1FFE6" w14:textId="6200C7F1" w:rsidR="00156187" w:rsidRPr="009F321C" w:rsidRDefault="00156187" w:rsidP="009F321C">
      <w:pPr>
        <w:pStyle w:val="FootnoteText"/>
        <w:ind w:left="567" w:hanging="567"/>
        <w:rPr>
          <w:sz w:val="24"/>
          <w:lang w:val="cs-CZ"/>
        </w:rPr>
      </w:pPr>
      <w:r w:rsidRPr="009F321C">
        <w:rPr>
          <w:rStyle w:val="FootnoteReference"/>
          <w:sz w:val="24"/>
          <w:lang w:val="cs-CZ"/>
        </w:rPr>
        <w:footnoteRef/>
      </w:r>
      <w:r w:rsidR="009F321C" w:rsidRPr="009F321C">
        <w:rPr>
          <w:sz w:val="24"/>
          <w:lang w:val="cs-CZ"/>
        </w:rPr>
        <w:t xml:space="preserve"> </w:t>
      </w:r>
      <w:r w:rsidR="009F321C" w:rsidRPr="009F321C">
        <w:rPr>
          <w:sz w:val="24"/>
          <w:lang w:val="cs-CZ"/>
        </w:rPr>
        <w:tab/>
      </w:r>
      <w:r w:rsidRPr="009F321C">
        <w:rPr>
          <w:sz w:val="24"/>
          <w:lang w:val="cs-CZ"/>
        </w:rPr>
        <w:t>Úř. věst. C 493, 27.12.2022, s. 48.</w:t>
      </w:r>
    </w:p>
  </w:footnote>
  <w:footnote w:id="12">
    <w:p w14:paraId="06B2F500" w14:textId="443B4CC5" w:rsidR="00156187" w:rsidRPr="00EF0F93" w:rsidRDefault="00156187" w:rsidP="009F321C">
      <w:pPr>
        <w:pStyle w:val="FootnoteText"/>
        <w:ind w:left="567" w:hanging="567"/>
        <w:rPr>
          <w:i/>
          <w:iCs/>
          <w:sz w:val="24"/>
          <w:lang w:val="cs-CZ"/>
        </w:rPr>
      </w:pPr>
      <w:r w:rsidRPr="009F321C">
        <w:rPr>
          <w:rStyle w:val="FootnoteReference"/>
          <w:sz w:val="24"/>
          <w:lang w:val="cs-CZ"/>
        </w:rPr>
        <w:footnoteRef/>
      </w:r>
      <w:r w:rsidR="009F321C" w:rsidRPr="009F321C">
        <w:rPr>
          <w:sz w:val="24"/>
          <w:lang w:val="cs-CZ"/>
        </w:rPr>
        <w:t xml:space="preserve"> </w:t>
      </w:r>
      <w:r w:rsidR="009F321C" w:rsidRPr="009F321C">
        <w:rPr>
          <w:sz w:val="24"/>
          <w:lang w:val="cs-CZ"/>
        </w:rPr>
        <w:tab/>
      </w:r>
      <w:r w:rsidRPr="009F321C">
        <w:rPr>
          <w:sz w:val="24"/>
          <w:lang w:val="cs-CZ"/>
        </w:rPr>
        <w:t>Úř. věst</w:t>
      </w:r>
      <w:r w:rsidRPr="00EF0F93">
        <w:rPr>
          <w:i/>
          <w:iCs/>
          <w:sz w:val="24"/>
          <w:lang w:val="cs-CZ"/>
        </w:rPr>
        <w:t>.</w:t>
      </w:r>
      <w:r w:rsidRPr="00EF0F93">
        <w:rPr>
          <w:rStyle w:val="Emphasis"/>
          <w:i w:val="0"/>
          <w:iCs w:val="0"/>
          <w:color w:val="333333"/>
          <w:sz w:val="24"/>
          <w:shd w:val="clear" w:color="auto" w:fill="FFFFFF"/>
          <w:lang w:val="cs-CZ"/>
        </w:rPr>
        <w:t xml:space="preserve"> C 125, 5.4.2023, s. 100.</w:t>
      </w:r>
    </w:p>
  </w:footnote>
  <w:footnote w:id="13">
    <w:p w14:paraId="1A6DAE56" w14:textId="500F246B" w:rsidR="00156187" w:rsidRPr="009F321C" w:rsidRDefault="00156187" w:rsidP="009F321C">
      <w:pPr>
        <w:pStyle w:val="FootnoteText"/>
        <w:ind w:left="567" w:hanging="567"/>
        <w:rPr>
          <w:sz w:val="24"/>
          <w:lang w:val="cs-CZ"/>
        </w:rPr>
      </w:pPr>
      <w:r w:rsidRPr="009F321C">
        <w:rPr>
          <w:rStyle w:val="FootnoteReference"/>
          <w:sz w:val="24"/>
          <w:lang w:val="cs-CZ"/>
        </w:rPr>
        <w:footnoteRef/>
      </w:r>
      <w:r w:rsidR="009F321C" w:rsidRPr="009F321C">
        <w:rPr>
          <w:sz w:val="24"/>
          <w:lang w:val="cs-CZ"/>
        </w:rPr>
        <w:t xml:space="preserve"> </w:t>
      </w:r>
      <w:r w:rsidR="009F321C" w:rsidRPr="009F321C">
        <w:rPr>
          <w:sz w:val="24"/>
          <w:lang w:val="cs-CZ"/>
        </w:rPr>
        <w:tab/>
      </w:r>
      <w:r w:rsidRPr="009F321C">
        <w:rPr>
          <w:sz w:val="24"/>
          <w:lang w:val="cs-CZ"/>
        </w:rPr>
        <w:t>Úř. věst</w:t>
      </w:r>
      <w:r w:rsidRPr="009F321C">
        <w:rPr>
          <w:i/>
          <w:sz w:val="24"/>
          <w:lang w:val="cs-CZ"/>
        </w:rPr>
        <w:t>.</w:t>
      </w:r>
      <w:r w:rsidRPr="009F321C">
        <w:rPr>
          <w:sz w:val="24"/>
          <w:lang w:val="cs-CZ"/>
        </w:rPr>
        <w:t xml:space="preserve"> C, C/2024/4224, 24.7.2024, ELI: </w:t>
      </w:r>
      <w:hyperlink r:id="rId9" w:history="1">
        <w:r w:rsidRPr="009F321C">
          <w:rPr>
            <w:rStyle w:val="Hyperlink"/>
            <w:sz w:val="24"/>
            <w:lang w:val="cs-CZ"/>
          </w:rPr>
          <w:t>http://data.europa.eu/eli/C/2024/4224/oj</w:t>
        </w:r>
      </w:hyperlink>
      <w:r w:rsidRPr="009F321C">
        <w:rPr>
          <w:sz w:val="24"/>
          <w:lang w:val="cs-CZ"/>
        </w:rPr>
        <w:t>.</w:t>
      </w:r>
    </w:p>
  </w:footnote>
  <w:footnote w:id="14">
    <w:p w14:paraId="7CC5C898" w14:textId="270D8EBC" w:rsidR="00156187" w:rsidRPr="00EF0F93" w:rsidRDefault="00156187" w:rsidP="009F321C">
      <w:pPr>
        <w:pStyle w:val="FootnoteText"/>
        <w:ind w:left="567" w:hanging="567"/>
        <w:rPr>
          <w:sz w:val="24"/>
          <w:lang w:val="cs-CZ"/>
        </w:rPr>
      </w:pPr>
      <w:r w:rsidRPr="009F321C">
        <w:rPr>
          <w:rStyle w:val="FootnoteReference"/>
          <w:sz w:val="24"/>
          <w:lang w:val="cs-CZ"/>
        </w:rPr>
        <w:footnoteRef/>
      </w:r>
      <w:r w:rsidR="009F321C" w:rsidRPr="009F321C">
        <w:rPr>
          <w:sz w:val="24"/>
          <w:lang w:val="cs-CZ"/>
        </w:rPr>
        <w:t xml:space="preserve"> </w:t>
      </w:r>
      <w:r w:rsidR="009F321C" w:rsidRPr="009F321C">
        <w:rPr>
          <w:sz w:val="24"/>
          <w:lang w:val="cs-CZ"/>
        </w:rPr>
        <w:tab/>
      </w:r>
      <w:r w:rsidRPr="009F321C">
        <w:rPr>
          <w:sz w:val="24"/>
          <w:lang w:val="cs-CZ"/>
        </w:rPr>
        <w:t>Úř. věst</w:t>
      </w:r>
      <w:r w:rsidRPr="009F321C">
        <w:rPr>
          <w:i/>
          <w:sz w:val="24"/>
          <w:lang w:val="cs-CZ"/>
        </w:rPr>
        <w:t>.</w:t>
      </w:r>
      <w:r w:rsidRPr="009F321C">
        <w:rPr>
          <w:rStyle w:val="Emphasis"/>
          <w:color w:val="333333"/>
          <w:sz w:val="24"/>
          <w:shd w:val="clear" w:color="auto" w:fill="FFFFFF"/>
          <w:lang w:val="cs-CZ"/>
        </w:rPr>
        <w:t xml:space="preserve"> </w:t>
      </w:r>
      <w:r w:rsidRPr="00EF0F93">
        <w:rPr>
          <w:rStyle w:val="Emphasis"/>
          <w:i w:val="0"/>
          <w:iCs w:val="0"/>
          <w:color w:val="333333"/>
          <w:sz w:val="24"/>
          <w:shd w:val="clear" w:color="auto" w:fill="FFFFFF"/>
          <w:lang w:val="cs-CZ"/>
        </w:rPr>
        <w:t xml:space="preserve">C, C/2024/4225, 24.7.2024, ELI: </w:t>
      </w:r>
      <w:hyperlink r:id="rId10" w:history="1">
        <w:r w:rsidRPr="00EF0F93">
          <w:rPr>
            <w:rStyle w:val="Hyperlink"/>
            <w:sz w:val="24"/>
            <w:shd w:val="clear" w:color="auto" w:fill="FFFFFF"/>
            <w:lang w:val="cs-CZ"/>
          </w:rPr>
          <w:t>http://data.europa.eu/eli/C/2024/4225/oj</w:t>
        </w:r>
      </w:hyperlink>
      <w:r w:rsidRPr="00EF0F93">
        <w:rPr>
          <w:rStyle w:val="Emphasis"/>
          <w:i w:val="0"/>
          <w:iCs w:val="0"/>
          <w:color w:val="333333"/>
          <w:sz w:val="24"/>
          <w:shd w:val="clear" w:color="auto" w:fill="FFFFFF"/>
          <w:lang w:val="cs-CZ"/>
        </w:rPr>
        <w:t xml:space="preserve">. </w:t>
      </w:r>
    </w:p>
  </w:footnote>
  <w:footnote w:id="15">
    <w:p w14:paraId="4AAD67A1" w14:textId="2ABCDA64" w:rsidR="00156187" w:rsidRPr="00EF0F93" w:rsidRDefault="00156187" w:rsidP="009F321C">
      <w:pPr>
        <w:pStyle w:val="FootnoteText"/>
        <w:ind w:left="567" w:hanging="567"/>
        <w:rPr>
          <w:sz w:val="24"/>
          <w:lang w:val="cs-CZ"/>
        </w:rPr>
      </w:pPr>
      <w:r w:rsidRPr="00EF0F93">
        <w:rPr>
          <w:rStyle w:val="FootnoteReference"/>
          <w:sz w:val="24"/>
          <w:lang w:val="cs-CZ"/>
        </w:rPr>
        <w:footnoteRef/>
      </w:r>
      <w:r w:rsidR="009F321C" w:rsidRPr="00EF0F93">
        <w:rPr>
          <w:sz w:val="24"/>
          <w:lang w:val="cs-CZ"/>
        </w:rPr>
        <w:t xml:space="preserve"> </w:t>
      </w:r>
      <w:r w:rsidR="009F321C" w:rsidRPr="00EF0F93">
        <w:rPr>
          <w:sz w:val="24"/>
          <w:lang w:val="cs-CZ"/>
        </w:rPr>
        <w:tab/>
      </w:r>
      <w:r w:rsidRPr="00EF0F93">
        <w:rPr>
          <w:sz w:val="24"/>
          <w:lang w:val="cs-CZ"/>
        </w:rPr>
        <w:t>Úř. věst.</w:t>
      </w:r>
      <w:r w:rsidRPr="00EF0F93">
        <w:rPr>
          <w:rStyle w:val="Emphasis"/>
          <w:i w:val="0"/>
          <w:iCs w:val="0"/>
          <w:color w:val="333333"/>
          <w:sz w:val="24"/>
          <w:shd w:val="clear" w:color="auto" w:fill="FFFFFF"/>
          <w:lang w:val="cs-CZ"/>
        </w:rPr>
        <w:t xml:space="preserve"> C, C/2024/4166, 2.8.2024, ELI: </w:t>
      </w:r>
      <w:hyperlink r:id="rId11" w:history="1">
        <w:r w:rsidRPr="00EF0F93">
          <w:rPr>
            <w:rStyle w:val="Hyperlink"/>
            <w:sz w:val="24"/>
            <w:shd w:val="clear" w:color="auto" w:fill="FFFFFF"/>
            <w:lang w:val="cs-CZ"/>
          </w:rPr>
          <w:t>http://data.europa.eu/eli/C/2024/4166/oj</w:t>
        </w:r>
      </w:hyperlink>
      <w:r w:rsidRPr="00EF0F93">
        <w:rPr>
          <w:rStyle w:val="Emphasis"/>
          <w:i w:val="0"/>
          <w:iCs w:val="0"/>
          <w:color w:val="333333"/>
          <w:sz w:val="24"/>
          <w:shd w:val="clear" w:color="auto" w:fill="FFFFFF"/>
          <w:lang w:val="cs-CZ"/>
        </w:rPr>
        <w:t xml:space="preserve">. </w:t>
      </w:r>
    </w:p>
  </w:footnote>
  <w:footnote w:id="16">
    <w:p w14:paraId="796D616E" w14:textId="36A8F13E" w:rsidR="00156187" w:rsidRPr="009F321C" w:rsidRDefault="00156187" w:rsidP="009F321C">
      <w:pPr>
        <w:pStyle w:val="FootnoteText"/>
        <w:ind w:left="567" w:hanging="567"/>
        <w:rPr>
          <w:sz w:val="24"/>
          <w:lang w:val="cs-CZ"/>
        </w:rPr>
      </w:pPr>
      <w:r w:rsidRPr="00EF0F93">
        <w:rPr>
          <w:rStyle w:val="FootnoteReference"/>
          <w:sz w:val="24"/>
          <w:lang w:val="cs-CZ"/>
        </w:rPr>
        <w:footnoteRef/>
      </w:r>
      <w:r w:rsidR="009F321C" w:rsidRPr="00EF0F93">
        <w:rPr>
          <w:sz w:val="24"/>
          <w:lang w:val="cs-CZ"/>
        </w:rPr>
        <w:t xml:space="preserve"> </w:t>
      </w:r>
      <w:r w:rsidR="009F321C" w:rsidRPr="00EF0F93">
        <w:rPr>
          <w:sz w:val="24"/>
          <w:lang w:val="cs-CZ"/>
        </w:rPr>
        <w:tab/>
      </w:r>
      <w:r w:rsidRPr="00EF0F93">
        <w:rPr>
          <w:sz w:val="24"/>
          <w:lang w:val="cs-CZ"/>
        </w:rPr>
        <w:t>Úř. věst.</w:t>
      </w:r>
      <w:r w:rsidRPr="00EF0F93">
        <w:rPr>
          <w:rStyle w:val="Emphasis"/>
          <w:i w:val="0"/>
          <w:iCs w:val="0"/>
          <w:color w:val="333333"/>
          <w:sz w:val="24"/>
          <w:shd w:val="clear" w:color="auto" w:fill="FFFFFF"/>
          <w:lang w:val="cs-CZ"/>
        </w:rPr>
        <w:t xml:space="preserve"> C, C/2024/6562, 12.11.2024, ELI:</w:t>
      </w:r>
      <w:r w:rsidRPr="009F321C">
        <w:rPr>
          <w:rStyle w:val="Emphasis"/>
          <w:color w:val="333333"/>
          <w:sz w:val="24"/>
          <w:shd w:val="clear" w:color="auto" w:fill="FFFFFF"/>
          <w:lang w:val="cs-CZ"/>
        </w:rPr>
        <w:t xml:space="preserve"> </w:t>
      </w:r>
      <w:hyperlink r:id="rId12" w:history="1">
        <w:r w:rsidRPr="009F321C">
          <w:rPr>
            <w:rStyle w:val="Hyperlink"/>
            <w:sz w:val="24"/>
            <w:shd w:val="clear" w:color="auto" w:fill="FFFFFF"/>
            <w:lang w:val="cs-CZ"/>
          </w:rPr>
          <w:t>http://data.europa.eu/eli/C/2024/6562/oj</w:t>
        </w:r>
      </w:hyperlink>
      <w:r w:rsidRPr="009F321C">
        <w:rPr>
          <w:rStyle w:val="Emphasis"/>
          <w:color w:val="333333"/>
          <w:sz w:val="24"/>
          <w:shd w:val="clear" w:color="auto" w:fill="FFFFFF"/>
          <w:lang w:val="cs-CZ"/>
        </w:rPr>
        <w:t xml:space="preserve">. </w:t>
      </w:r>
    </w:p>
  </w:footnote>
  <w:footnote w:id="17">
    <w:p w14:paraId="743F9FE9" w14:textId="2EA8931D" w:rsidR="00156187" w:rsidRPr="009F321C" w:rsidRDefault="00156187" w:rsidP="009F321C">
      <w:pPr>
        <w:pStyle w:val="FootnoteText"/>
        <w:ind w:left="567" w:hanging="567"/>
        <w:rPr>
          <w:sz w:val="24"/>
          <w:lang w:val="cs-CZ"/>
        </w:rPr>
      </w:pPr>
      <w:r w:rsidRPr="009F321C">
        <w:rPr>
          <w:rStyle w:val="FootnoteReference"/>
          <w:sz w:val="24"/>
          <w:lang w:val="cs-CZ"/>
        </w:rPr>
        <w:footnoteRef/>
      </w:r>
      <w:r w:rsidR="009F321C" w:rsidRPr="009F321C">
        <w:rPr>
          <w:sz w:val="24"/>
          <w:lang w:val="cs-CZ"/>
        </w:rPr>
        <w:t xml:space="preserve"> </w:t>
      </w:r>
      <w:r w:rsidR="009F321C" w:rsidRPr="009F321C">
        <w:rPr>
          <w:sz w:val="24"/>
          <w:lang w:val="cs-CZ"/>
        </w:rPr>
        <w:tab/>
      </w:r>
      <w:r w:rsidRPr="009F321C">
        <w:rPr>
          <w:sz w:val="24"/>
          <w:lang w:val="cs-CZ"/>
        </w:rPr>
        <w:t>Úř. věst</w:t>
      </w:r>
      <w:r w:rsidRPr="009F321C">
        <w:rPr>
          <w:i/>
          <w:sz w:val="24"/>
          <w:lang w:val="cs-CZ"/>
        </w:rPr>
        <w:t>.</w:t>
      </w:r>
      <w:r w:rsidRPr="009F321C">
        <w:rPr>
          <w:rStyle w:val="Emphasis"/>
          <w:color w:val="333333"/>
          <w:sz w:val="24"/>
          <w:shd w:val="clear" w:color="auto" w:fill="FFFFFF"/>
          <w:lang w:val="cs-CZ"/>
        </w:rPr>
        <w:t xml:space="preserve"> </w:t>
      </w:r>
      <w:r w:rsidRPr="00EF0F93">
        <w:rPr>
          <w:rStyle w:val="Emphasis"/>
          <w:i w:val="0"/>
          <w:iCs w:val="0"/>
          <w:color w:val="333333"/>
          <w:sz w:val="24"/>
          <w:shd w:val="clear" w:color="auto" w:fill="FFFFFF"/>
          <w:lang w:val="cs-CZ"/>
        </w:rPr>
        <w:t>C, C/2024/7058, 4.12.2024, ELI:</w:t>
      </w:r>
      <w:r w:rsidRPr="009F321C">
        <w:rPr>
          <w:rStyle w:val="Emphasis"/>
          <w:color w:val="333333"/>
          <w:sz w:val="24"/>
          <w:shd w:val="clear" w:color="auto" w:fill="FFFFFF"/>
          <w:lang w:val="cs-CZ"/>
        </w:rPr>
        <w:t xml:space="preserve"> </w:t>
      </w:r>
      <w:hyperlink r:id="rId13" w:history="1">
        <w:r w:rsidRPr="009F321C">
          <w:rPr>
            <w:rStyle w:val="Hyperlink"/>
            <w:sz w:val="24"/>
            <w:shd w:val="clear" w:color="auto" w:fill="FFFFFF"/>
            <w:lang w:val="cs-CZ"/>
          </w:rPr>
          <w:t>http://data.europa.eu/eli/C/2024/7058/oj</w:t>
        </w:r>
      </w:hyperlink>
      <w:r w:rsidRPr="009F321C">
        <w:rPr>
          <w:rStyle w:val="Emphasis"/>
          <w:color w:val="333333"/>
          <w:sz w:val="24"/>
          <w:shd w:val="clear" w:color="auto" w:fill="FFFFFF"/>
          <w:lang w:val="cs-CZ"/>
        </w:rPr>
        <w:t xml:space="preserve">. </w:t>
      </w:r>
    </w:p>
  </w:footnote>
  <w:footnote w:id="18">
    <w:p w14:paraId="47E69DAA" w14:textId="40D4131E" w:rsidR="00156187" w:rsidRPr="009F321C" w:rsidRDefault="00156187" w:rsidP="009F321C">
      <w:pPr>
        <w:pStyle w:val="FootnoteText"/>
        <w:ind w:left="567" w:hanging="567"/>
        <w:rPr>
          <w:sz w:val="24"/>
          <w:lang w:val="cs-CZ"/>
        </w:rPr>
      </w:pPr>
      <w:r w:rsidRPr="009F321C">
        <w:rPr>
          <w:rStyle w:val="FootnoteReference"/>
          <w:sz w:val="24"/>
          <w:lang w:val="cs-CZ"/>
        </w:rPr>
        <w:footnoteRef/>
      </w:r>
      <w:r w:rsidR="009F321C" w:rsidRPr="009F321C">
        <w:rPr>
          <w:sz w:val="24"/>
          <w:lang w:val="cs-CZ"/>
        </w:rPr>
        <w:t xml:space="preserve"> </w:t>
      </w:r>
      <w:r w:rsidR="009F321C" w:rsidRPr="009F321C">
        <w:rPr>
          <w:sz w:val="24"/>
          <w:lang w:val="cs-CZ"/>
        </w:rPr>
        <w:tab/>
      </w:r>
      <w:r w:rsidRPr="009F321C">
        <w:rPr>
          <w:sz w:val="24"/>
          <w:lang w:val="cs-CZ"/>
        </w:rPr>
        <w:t>Úř. věst. C, C/2025/285, 24.1.2025, ELI: </w:t>
      </w:r>
      <w:hyperlink r:id="rId14" w:history="1">
        <w:r w:rsidRPr="009F321C">
          <w:rPr>
            <w:rStyle w:val="Hyperlink"/>
            <w:sz w:val="24"/>
            <w:lang w:val="cs-CZ"/>
          </w:rPr>
          <w:t>http://data.europa.eu/eli/C/2025/285/oj</w:t>
        </w:r>
      </w:hyperlink>
      <w:r w:rsidRPr="009F321C">
        <w:rPr>
          <w:sz w:val="24"/>
          <w:lang w:val="cs-CZ"/>
        </w:rPr>
        <w:t xml:space="preserve">. </w:t>
      </w:r>
    </w:p>
  </w:footnote>
  <w:footnote w:id="19">
    <w:p w14:paraId="753B4B83" w14:textId="28B40B79" w:rsidR="00156187" w:rsidRPr="009F321C" w:rsidRDefault="00156187" w:rsidP="009F321C">
      <w:pPr>
        <w:pStyle w:val="FootnoteText"/>
        <w:ind w:left="567" w:hanging="567"/>
        <w:rPr>
          <w:sz w:val="24"/>
          <w:lang w:val="cs-CZ"/>
        </w:rPr>
      </w:pPr>
      <w:r w:rsidRPr="009F321C">
        <w:rPr>
          <w:rStyle w:val="FootnoteReference"/>
          <w:sz w:val="24"/>
          <w:lang w:val="cs-CZ"/>
        </w:rPr>
        <w:footnoteRef/>
      </w:r>
      <w:r w:rsidR="009F321C" w:rsidRPr="009F321C">
        <w:rPr>
          <w:sz w:val="24"/>
          <w:lang w:val="cs-CZ"/>
        </w:rPr>
        <w:t xml:space="preserve"> </w:t>
      </w:r>
      <w:r w:rsidR="009F321C" w:rsidRPr="009F321C">
        <w:rPr>
          <w:sz w:val="24"/>
          <w:lang w:val="cs-CZ"/>
        </w:rPr>
        <w:tab/>
      </w:r>
      <w:r w:rsidRPr="009F321C">
        <w:rPr>
          <w:sz w:val="24"/>
          <w:lang w:val="cs-CZ"/>
        </w:rPr>
        <w:t xml:space="preserve">Směrnice Evropského parlamentu a Rady (EU) 2019/944 ze dne 5. června 2019 o společných pravidlech pro vnitřní trh s elektřinou a o změně směrnice 2012/27/EU (přepracované znění), (Úř. věst. L 158, 14.6.2019, s. 125, ELI: </w:t>
      </w:r>
      <w:hyperlink r:id="rId15" w:history="1">
        <w:r w:rsidRPr="009F321C">
          <w:rPr>
            <w:rStyle w:val="Hyperlink"/>
            <w:sz w:val="24"/>
            <w:lang w:val="cs-CZ"/>
          </w:rPr>
          <w:t>http://data.europa.eu/eli/dir/2019/944/oj</w:t>
        </w:r>
      </w:hyperlink>
      <w:r w:rsidRPr="009F321C">
        <w:rPr>
          <w:sz w:val="24"/>
          <w:lang w:val="cs-CZ"/>
        </w:rPr>
        <w:t xml:space="preserve">). </w:t>
      </w:r>
    </w:p>
  </w:footnote>
  <w:footnote w:id="20">
    <w:p w14:paraId="7ECCC8BD" w14:textId="21DD1BCE" w:rsidR="00156187" w:rsidRPr="009F321C" w:rsidRDefault="00156187" w:rsidP="009F321C">
      <w:pPr>
        <w:pStyle w:val="FootnoteText"/>
        <w:ind w:left="567" w:hanging="567"/>
        <w:rPr>
          <w:sz w:val="24"/>
          <w:lang w:val="cs-CZ"/>
        </w:rPr>
      </w:pPr>
      <w:r w:rsidRPr="009F321C">
        <w:rPr>
          <w:rStyle w:val="FootnoteReference"/>
          <w:sz w:val="24"/>
          <w:lang w:val="cs-CZ"/>
        </w:rPr>
        <w:footnoteRef/>
      </w:r>
      <w:r w:rsidR="009F321C" w:rsidRPr="009F321C">
        <w:rPr>
          <w:sz w:val="24"/>
          <w:lang w:val="cs-CZ"/>
        </w:rPr>
        <w:t xml:space="preserve"> </w:t>
      </w:r>
      <w:r w:rsidR="009F321C" w:rsidRPr="009F321C">
        <w:rPr>
          <w:sz w:val="24"/>
          <w:lang w:val="cs-CZ"/>
        </w:rPr>
        <w:tab/>
      </w:r>
      <w:r w:rsidRPr="009F321C">
        <w:rPr>
          <w:sz w:val="24"/>
          <w:lang w:val="cs-CZ"/>
        </w:rPr>
        <w:t xml:space="preserve">Směrnice Evropského parlamentu a Rady (EU) 2022/2041 ze dne 19. října 2022 o přiměřených minimálních mzdách v Evropské unii, (Úř. věst. L 275, 25.10.2022, s. 33, ELI: </w:t>
      </w:r>
      <w:hyperlink r:id="rId16" w:history="1">
        <w:r w:rsidRPr="009F321C">
          <w:rPr>
            <w:rStyle w:val="Hyperlink"/>
            <w:sz w:val="24"/>
            <w:lang w:val="cs-CZ"/>
          </w:rPr>
          <w:t>http://data.europa.eu/eli/dir/2022/2041/oj</w:t>
        </w:r>
      </w:hyperlink>
      <w:r w:rsidRPr="009F321C">
        <w:rPr>
          <w:sz w:val="24"/>
          <w:lang w:val="cs-CZ"/>
        </w:rPr>
        <w:t xml:space="preserve">). </w:t>
      </w:r>
    </w:p>
  </w:footnote>
  <w:footnote w:id="21">
    <w:p w14:paraId="113DE716" w14:textId="6D6965F8" w:rsidR="00156187" w:rsidRPr="009F321C" w:rsidRDefault="00156187" w:rsidP="009F321C">
      <w:pPr>
        <w:pStyle w:val="FootnoteText"/>
        <w:ind w:left="567" w:hanging="567"/>
        <w:rPr>
          <w:sz w:val="24"/>
          <w:lang w:val="cs-CZ"/>
        </w:rPr>
      </w:pPr>
      <w:r w:rsidRPr="009F321C">
        <w:rPr>
          <w:rStyle w:val="FootnoteReference"/>
          <w:sz w:val="24"/>
          <w:lang w:val="cs-CZ"/>
        </w:rPr>
        <w:footnoteRef/>
      </w:r>
      <w:r w:rsidR="009F321C" w:rsidRPr="009F321C">
        <w:rPr>
          <w:sz w:val="24"/>
          <w:lang w:val="cs-CZ"/>
        </w:rPr>
        <w:t xml:space="preserve"> </w:t>
      </w:r>
      <w:r w:rsidR="009F321C" w:rsidRPr="009F321C">
        <w:rPr>
          <w:sz w:val="24"/>
          <w:lang w:val="cs-CZ"/>
        </w:rPr>
        <w:tab/>
      </w:r>
      <w:r w:rsidRPr="009F321C">
        <w:rPr>
          <w:sz w:val="24"/>
          <w:lang w:val="cs-CZ"/>
        </w:rPr>
        <w:t>Klasifikace územních statistických jednotek – úroveň 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AAE3C27"/>
    <w:multiLevelType w:val="hybridMultilevel"/>
    <w:tmpl w:val="29D2A82A"/>
    <w:lvl w:ilvl="0" w:tplc="074E79B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59C0A1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B9EF7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A4C6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4AD6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B1AC88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E804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A6F9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A70E1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614868"/>
    <w:multiLevelType w:val="hybridMultilevel"/>
    <w:tmpl w:val="13D2B4AA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63481DD0"/>
    <w:multiLevelType w:val="hybridMultilevel"/>
    <w:tmpl w:val="59CEC0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67099061">
    <w:abstractNumId w:val="9"/>
  </w:num>
  <w:num w:numId="2" w16cid:durableId="878735864">
    <w:abstractNumId w:val="9"/>
  </w:num>
  <w:num w:numId="3" w16cid:durableId="1026902731">
    <w:abstractNumId w:val="7"/>
  </w:num>
  <w:num w:numId="4" w16cid:durableId="1955671633">
    <w:abstractNumId w:val="7"/>
  </w:num>
  <w:num w:numId="5" w16cid:durableId="213077480">
    <w:abstractNumId w:val="6"/>
  </w:num>
  <w:num w:numId="6" w16cid:durableId="248078227">
    <w:abstractNumId w:val="6"/>
  </w:num>
  <w:num w:numId="7" w16cid:durableId="924996379">
    <w:abstractNumId w:val="5"/>
  </w:num>
  <w:num w:numId="8" w16cid:durableId="1323967848">
    <w:abstractNumId w:val="5"/>
  </w:num>
  <w:num w:numId="9" w16cid:durableId="1965695225">
    <w:abstractNumId w:val="4"/>
  </w:num>
  <w:num w:numId="10" w16cid:durableId="2054113638">
    <w:abstractNumId w:val="4"/>
  </w:num>
  <w:num w:numId="11" w16cid:durableId="2051145865">
    <w:abstractNumId w:val="8"/>
  </w:num>
  <w:num w:numId="12" w16cid:durableId="165050395">
    <w:abstractNumId w:val="8"/>
  </w:num>
  <w:num w:numId="13" w16cid:durableId="694160791">
    <w:abstractNumId w:val="3"/>
  </w:num>
  <w:num w:numId="14" w16cid:durableId="1719161709">
    <w:abstractNumId w:val="3"/>
  </w:num>
  <w:num w:numId="15" w16cid:durableId="1315379804">
    <w:abstractNumId w:val="2"/>
  </w:num>
  <w:num w:numId="16" w16cid:durableId="1278097412">
    <w:abstractNumId w:val="2"/>
  </w:num>
  <w:num w:numId="17" w16cid:durableId="893855786">
    <w:abstractNumId w:val="1"/>
  </w:num>
  <w:num w:numId="18" w16cid:durableId="1027832296">
    <w:abstractNumId w:val="1"/>
  </w:num>
  <w:num w:numId="19" w16cid:durableId="659118507">
    <w:abstractNumId w:val="0"/>
  </w:num>
  <w:num w:numId="20" w16cid:durableId="468861824">
    <w:abstractNumId w:val="0"/>
  </w:num>
  <w:num w:numId="21" w16cid:durableId="1282953768">
    <w:abstractNumId w:val="9"/>
  </w:num>
  <w:num w:numId="22" w16cid:durableId="2095280647">
    <w:abstractNumId w:val="7"/>
  </w:num>
  <w:num w:numId="23" w16cid:durableId="2015066192">
    <w:abstractNumId w:val="6"/>
  </w:num>
  <w:num w:numId="24" w16cid:durableId="834951036">
    <w:abstractNumId w:val="5"/>
  </w:num>
  <w:num w:numId="25" w16cid:durableId="615915460">
    <w:abstractNumId w:val="4"/>
  </w:num>
  <w:num w:numId="26" w16cid:durableId="490608391">
    <w:abstractNumId w:val="8"/>
  </w:num>
  <w:num w:numId="27" w16cid:durableId="1315598803">
    <w:abstractNumId w:val="3"/>
  </w:num>
  <w:num w:numId="28" w16cid:durableId="273678822">
    <w:abstractNumId w:val="2"/>
  </w:num>
  <w:num w:numId="29" w16cid:durableId="886992546">
    <w:abstractNumId w:val="1"/>
  </w:num>
  <w:num w:numId="30" w16cid:durableId="1717965012">
    <w:abstractNumId w:val="0"/>
  </w:num>
  <w:num w:numId="31" w16cid:durableId="873276812">
    <w:abstractNumId w:val="9"/>
  </w:num>
  <w:num w:numId="32" w16cid:durableId="2005820994">
    <w:abstractNumId w:val="7"/>
  </w:num>
  <w:num w:numId="33" w16cid:durableId="506094422">
    <w:abstractNumId w:val="6"/>
  </w:num>
  <w:num w:numId="34" w16cid:durableId="608463582">
    <w:abstractNumId w:val="5"/>
  </w:num>
  <w:num w:numId="35" w16cid:durableId="1632980401">
    <w:abstractNumId w:val="4"/>
  </w:num>
  <w:num w:numId="36" w16cid:durableId="251670081">
    <w:abstractNumId w:val="8"/>
  </w:num>
  <w:num w:numId="37" w16cid:durableId="1985504809">
    <w:abstractNumId w:val="3"/>
  </w:num>
  <w:num w:numId="38" w16cid:durableId="1711295167">
    <w:abstractNumId w:val="2"/>
  </w:num>
  <w:num w:numId="39" w16cid:durableId="2101903254">
    <w:abstractNumId w:val="1"/>
  </w:num>
  <w:num w:numId="40" w16cid:durableId="849640744">
    <w:abstractNumId w:val="0"/>
  </w:num>
  <w:num w:numId="41" w16cid:durableId="550383951">
    <w:abstractNumId w:val="10"/>
  </w:num>
  <w:num w:numId="42" w16cid:durableId="329913880">
    <w:abstractNumId w:val="10"/>
  </w:num>
  <w:num w:numId="43" w16cid:durableId="2011978172">
    <w:abstractNumId w:val="10"/>
  </w:num>
  <w:num w:numId="44" w16cid:durableId="1026324735">
    <w:abstractNumId w:val="13"/>
  </w:num>
  <w:num w:numId="45" w16cid:durableId="247470837">
    <w:abstractNumId w:val="11"/>
  </w:num>
  <w:num w:numId="46" w16cid:durableId="180061389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6997404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7/2025"/>
    <w:docVar w:name="dvlangue" w:val="CS"/>
    <w:docVar w:name="dvnumam" w:val="69"/>
    <w:docVar w:name="dvpe" w:val="769.954"/>
    <w:docVar w:name="dvrapporteur" w:val="Zpravodaj: "/>
    <w:docVar w:name="dvtitre" w:val="Usnesení Evropského parlamentu ze dne.... 2025 o úloze politiky soudržnosti při podpoře spravedlivé transformace (2024/2121(INI))"/>
  </w:docVars>
  <w:rsids>
    <w:rsidRoot w:val="004A3D3D"/>
    <w:rsid w:val="00002272"/>
    <w:rsid w:val="00064002"/>
    <w:rsid w:val="000677B9"/>
    <w:rsid w:val="000831BA"/>
    <w:rsid w:val="000A42CC"/>
    <w:rsid w:val="000E7DD9"/>
    <w:rsid w:val="0010095E"/>
    <w:rsid w:val="00125B37"/>
    <w:rsid w:val="00156187"/>
    <w:rsid w:val="00187494"/>
    <w:rsid w:val="001F32AE"/>
    <w:rsid w:val="00210EF4"/>
    <w:rsid w:val="00230C32"/>
    <w:rsid w:val="002767FF"/>
    <w:rsid w:val="002B18FE"/>
    <w:rsid w:val="002B5493"/>
    <w:rsid w:val="00343214"/>
    <w:rsid w:val="00361C00"/>
    <w:rsid w:val="00395FA1"/>
    <w:rsid w:val="00396D69"/>
    <w:rsid w:val="003E15D4"/>
    <w:rsid w:val="00411CCE"/>
    <w:rsid w:val="0041666E"/>
    <w:rsid w:val="00421060"/>
    <w:rsid w:val="00471C19"/>
    <w:rsid w:val="004867E3"/>
    <w:rsid w:val="00494A28"/>
    <w:rsid w:val="004A3D3D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39ED"/>
    <w:rsid w:val="00981893"/>
    <w:rsid w:val="009F321C"/>
    <w:rsid w:val="00A1687D"/>
    <w:rsid w:val="00A43E52"/>
    <w:rsid w:val="00A4678D"/>
    <w:rsid w:val="00A778C7"/>
    <w:rsid w:val="00AB441E"/>
    <w:rsid w:val="00AB6293"/>
    <w:rsid w:val="00AE0928"/>
    <w:rsid w:val="00AF3B82"/>
    <w:rsid w:val="00B02EBA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1066"/>
    <w:rsid w:val="00D56C11"/>
    <w:rsid w:val="00D834A0"/>
    <w:rsid w:val="00D872DF"/>
    <w:rsid w:val="00D91E21"/>
    <w:rsid w:val="00D97217"/>
    <w:rsid w:val="00DA7FCD"/>
    <w:rsid w:val="00E365E1"/>
    <w:rsid w:val="00E6126E"/>
    <w:rsid w:val="00E820A4"/>
    <w:rsid w:val="00EB006A"/>
    <w:rsid w:val="00EB4772"/>
    <w:rsid w:val="00ED169E"/>
    <w:rsid w:val="00ED4235"/>
    <w:rsid w:val="00EF0F93"/>
    <w:rsid w:val="00F04346"/>
    <w:rsid w:val="00F075DC"/>
    <w:rsid w:val="00F07982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DC1C8"/>
  <w15:chartTrackingRefBased/>
  <w15:docId w15:val="{4D89EF54-87F8-4094-B91F-4C6A3E01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5618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5618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5618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5618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5618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56187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156187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156187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156187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15618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5618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56187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15618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56187"/>
    <w:rPr>
      <w:b/>
    </w:rPr>
  </w:style>
  <w:style w:type="paragraph" w:customStyle="1" w:styleId="NormalHanging12a">
    <w:name w:val="NormalHanging12a"/>
    <w:basedOn w:val="Normal"/>
    <w:link w:val="NormalHanging12aChar"/>
    <w:rsid w:val="0015618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56187"/>
    <w:pPr>
      <w:spacing w:after="480"/>
      <w:ind w:left="1417"/>
    </w:pPr>
  </w:style>
  <w:style w:type="paragraph" w:customStyle="1" w:styleId="CoverNormal">
    <w:name w:val="CoverNormal"/>
    <w:basedOn w:val="Normal"/>
    <w:rsid w:val="00156187"/>
    <w:pPr>
      <w:ind w:left="1418"/>
    </w:pPr>
  </w:style>
  <w:style w:type="paragraph" w:customStyle="1" w:styleId="CoverReference">
    <w:name w:val="CoverReference"/>
    <w:basedOn w:val="Normal"/>
    <w:rsid w:val="00156187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15618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56187"/>
    <w:pPr>
      <w:spacing w:before="240" w:after="1200"/>
    </w:pPr>
  </w:style>
  <w:style w:type="paragraph" w:styleId="Header">
    <w:name w:val="header"/>
    <w:basedOn w:val="Normal"/>
    <w:link w:val="HeaderChar"/>
    <w:rsid w:val="001561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56187"/>
    <w:rPr>
      <w:sz w:val="24"/>
      <w:lang w:val="cs-CZ"/>
    </w:rPr>
  </w:style>
  <w:style w:type="paragraph" w:customStyle="1" w:styleId="EPBody">
    <w:name w:val="EPBody"/>
    <w:basedOn w:val="Normal"/>
    <w:rsid w:val="0015618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5618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56187"/>
    <w:pPr>
      <w:spacing w:before="480" w:after="240"/>
    </w:pPr>
  </w:style>
  <w:style w:type="paragraph" w:customStyle="1" w:styleId="Normal12a">
    <w:name w:val="Normal12a"/>
    <w:basedOn w:val="Normal"/>
    <w:rsid w:val="00156187"/>
    <w:pPr>
      <w:spacing w:after="240"/>
    </w:pPr>
  </w:style>
  <w:style w:type="paragraph" w:customStyle="1" w:styleId="CoverNormal12a">
    <w:name w:val="CoverNormal12a"/>
    <w:basedOn w:val="Normal"/>
    <w:rsid w:val="00156187"/>
    <w:pPr>
      <w:spacing w:after="240"/>
      <w:ind w:left="1418"/>
    </w:pPr>
  </w:style>
  <w:style w:type="paragraph" w:customStyle="1" w:styleId="Normal24a">
    <w:name w:val="Normal24a"/>
    <w:basedOn w:val="Normal"/>
    <w:rsid w:val="00156187"/>
    <w:pPr>
      <w:spacing w:after="480"/>
    </w:pPr>
  </w:style>
  <w:style w:type="paragraph" w:customStyle="1" w:styleId="NormalBoldCenter">
    <w:name w:val="NormalBoldCenter"/>
    <w:basedOn w:val="Normal"/>
    <w:rsid w:val="00156187"/>
    <w:pPr>
      <w:jc w:val="center"/>
    </w:pPr>
    <w:rPr>
      <w:b/>
    </w:rPr>
  </w:style>
  <w:style w:type="paragraph" w:customStyle="1" w:styleId="Footprint12b">
    <w:name w:val="Footprint12b"/>
    <w:basedOn w:val="Normal"/>
    <w:rsid w:val="00156187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156187"/>
    <w:rPr>
      <w:szCs w:val="24"/>
    </w:rPr>
  </w:style>
  <w:style w:type="character" w:styleId="Hyperlink">
    <w:name w:val="Hyperlink"/>
    <w:basedOn w:val="DefaultParagraphFont"/>
    <w:rsid w:val="0015618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156187"/>
    <w:rPr>
      <w:rFonts w:asciiTheme="minorHAnsi" w:eastAsiaTheme="minorEastAsia" w:hAnsiTheme="minorHAnsi" w:cstheme="minorBidi"/>
      <w:sz w:val="24"/>
      <w:szCs w:val="24"/>
      <w:lang w:val="cs-CZ" w:eastAsia="ja-JP"/>
    </w:rPr>
  </w:style>
  <w:style w:type="paragraph" w:styleId="ListParagraph">
    <w:name w:val="List Paragraph"/>
    <w:basedOn w:val="Normal"/>
    <w:uiPriority w:val="34"/>
    <w:qFormat/>
    <w:rsid w:val="00156187"/>
    <w:pPr>
      <w:widowControl/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nhideWhenUsed/>
    <w:rsid w:val="001561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56187"/>
    <w:rPr>
      <w:rFonts w:ascii="Segoe UI" w:hAnsi="Segoe UI" w:cs="Segoe UI"/>
      <w:sz w:val="18"/>
      <w:szCs w:val="18"/>
      <w:lang w:val="cs-CZ"/>
    </w:rPr>
  </w:style>
  <w:style w:type="paragraph" w:styleId="EndnoteText">
    <w:name w:val="endnote text"/>
    <w:basedOn w:val="Normal"/>
    <w:link w:val="EndnoteTextChar"/>
    <w:rsid w:val="00156187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156187"/>
    <w:rPr>
      <w:lang w:val="cs-CZ"/>
    </w:rPr>
  </w:style>
  <w:style w:type="character" w:styleId="EndnoteReference">
    <w:name w:val="endnote reference"/>
    <w:basedOn w:val="DefaultParagraphFont"/>
    <w:rsid w:val="00156187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156187"/>
    <w:rPr>
      <w:i/>
      <w:iCs/>
    </w:rPr>
  </w:style>
  <w:style w:type="paragraph" w:styleId="Revision">
    <w:name w:val="Revision"/>
    <w:hidden/>
    <w:uiPriority w:val="99"/>
    <w:semiHidden/>
    <w:rsid w:val="00156187"/>
    <w:rPr>
      <w:sz w:val="24"/>
      <w:lang w:val="cs-CZ"/>
    </w:rPr>
  </w:style>
  <w:style w:type="character" w:styleId="FollowedHyperlink">
    <w:name w:val="FollowedHyperlink"/>
    <w:basedOn w:val="DefaultParagraphFont"/>
    <w:rsid w:val="0015618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156187"/>
    <w:rPr>
      <w:sz w:val="16"/>
      <w:szCs w:val="16"/>
    </w:rPr>
  </w:style>
  <w:style w:type="paragraph" w:styleId="CommentText">
    <w:name w:val="annotation text"/>
    <w:basedOn w:val="Normal"/>
    <w:link w:val="CommentTextChar"/>
    <w:rsid w:val="0015618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56187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561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56187"/>
    <w:rPr>
      <w:b/>
      <w:bCs/>
      <w:lang w:val="cs-CZ"/>
    </w:rPr>
  </w:style>
  <w:style w:type="character" w:customStyle="1" w:styleId="NormalHanging12aChar">
    <w:name w:val="NormalHanging12a Char"/>
    <w:basedOn w:val="DefaultParagraphFont"/>
    <w:link w:val="NormalHanging12a"/>
    <w:rsid w:val="00156187"/>
    <w:rPr>
      <w:sz w:val="24"/>
      <w:lang w:val="cs-CZ"/>
    </w:rPr>
  </w:style>
  <w:style w:type="paragraph" w:customStyle="1" w:styleId="PageHeadingNotTOC">
    <w:name w:val="PageHeadingNotTOC"/>
    <w:basedOn w:val="Normal"/>
    <w:rsid w:val="0015618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DocTypeTab">
    <w:name w:val="AmDocTypeTab"/>
    <w:basedOn w:val="Normal"/>
    <w:rsid w:val="00156187"/>
    <w:pPr>
      <w:tabs>
        <w:tab w:val="right" w:pos="9071"/>
      </w:tabs>
    </w:pPr>
    <w:rPr>
      <w:b/>
    </w:rPr>
  </w:style>
  <w:style w:type="paragraph" w:customStyle="1" w:styleId="AmOrLang">
    <w:name w:val="AmOrLang"/>
    <w:basedOn w:val="Normal"/>
    <w:rsid w:val="00156187"/>
    <w:pPr>
      <w:spacing w:before="240" w:after="240"/>
      <w:jc w:val="right"/>
    </w:pPr>
  </w:style>
  <w:style w:type="paragraph" w:customStyle="1" w:styleId="Normal6a">
    <w:name w:val="Normal6a"/>
    <w:basedOn w:val="Normal"/>
    <w:rsid w:val="00156187"/>
    <w:pPr>
      <w:spacing w:after="120"/>
    </w:pPr>
  </w:style>
  <w:style w:type="paragraph" w:customStyle="1" w:styleId="AmDateTab">
    <w:name w:val="AmDateTab"/>
    <w:basedOn w:val="Normal"/>
    <w:rsid w:val="00156187"/>
    <w:pPr>
      <w:tabs>
        <w:tab w:val="right" w:pos="9071"/>
      </w:tabs>
    </w:pPr>
  </w:style>
  <w:style w:type="paragraph" w:customStyle="1" w:styleId="AmColumnHeading">
    <w:name w:val="AmColumnHeading"/>
    <w:basedOn w:val="Normal"/>
    <w:rsid w:val="0015618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5618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JustText">
    <w:name w:val="AmJustText"/>
    <w:basedOn w:val="Normal"/>
    <w:rsid w:val="00156187"/>
    <w:pPr>
      <w:spacing w:after="240"/>
    </w:pPr>
    <w:rPr>
      <w:i/>
    </w:rPr>
  </w:style>
  <w:style w:type="paragraph" w:customStyle="1" w:styleId="AmCrossRef">
    <w:name w:val="AmCrossRef"/>
    <w:basedOn w:val="Normal"/>
    <w:rsid w:val="0015618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56187"/>
    <w:pPr>
      <w:keepNext/>
      <w:spacing w:before="240" w:after="240"/>
      <w:jc w:val="center"/>
    </w:pPr>
    <w:rPr>
      <w:i/>
    </w:rPr>
  </w:style>
  <w:style w:type="paragraph" w:customStyle="1" w:styleId="NormalBold12b">
    <w:name w:val="NormalBold12b"/>
    <w:basedOn w:val="Normal"/>
    <w:link w:val="NormalBold12bChar"/>
    <w:rsid w:val="00156187"/>
    <w:pPr>
      <w:spacing w:before="240"/>
    </w:pPr>
    <w:rPr>
      <w:b/>
    </w:rPr>
  </w:style>
  <w:style w:type="paragraph" w:customStyle="1" w:styleId="Normal6">
    <w:name w:val="Normal6"/>
    <w:basedOn w:val="Normal"/>
    <w:link w:val="Normal6Char"/>
    <w:rsid w:val="00156187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156187"/>
    <w:rPr>
      <w:b/>
      <w:sz w:val="24"/>
      <w:lang w:val="cs-CZ"/>
    </w:rPr>
  </w:style>
  <w:style w:type="character" w:customStyle="1" w:styleId="Normal6Char">
    <w:name w:val="Normal6 Char"/>
    <w:basedOn w:val="DefaultParagraphFont"/>
    <w:link w:val="Normal6"/>
    <w:rsid w:val="00156187"/>
    <w:rPr>
      <w:sz w:val="24"/>
      <w:lang w:val="cs-CZ"/>
    </w:rPr>
  </w:style>
  <w:style w:type="paragraph" w:customStyle="1" w:styleId="ColumnHeading">
    <w:name w:val="ColumnHeading"/>
    <w:basedOn w:val="Normal"/>
    <w:rsid w:val="0015618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5618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156187"/>
    <w:pPr>
      <w:jc w:val="right"/>
    </w:pPr>
    <w:rPr>
      <w:lang w:val="cs-CZ"/>
    </w:rPr>
  </w:style>
  <w:style w:type="character" w:customStyle="1" w:styleId="AmNumberTabsChar">
    <w:name w:val="AmNumberTabs Char"/>
    <w:basedOn w:val="DefaultParagraphFont"/>
    <w:link w:val="AmNumberTabs"/>
    <w:rsid w:val="00156187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156187"/>
    <w:rPr>
      <w:b/>
      <w:sz w:val="24"/>
      <w:lang w:val="cs-CZ"/>
    </w:rPr>
  </w:style>
  <w:style w:type="paragraph" w:customStyle="1" w:styleId="RollCallSymbols14pt">
    <w:name w:val="RollCallSymbols14pt"/>
    <w:basedOn w:val="Normal"/>
    <w:rsid w:val="0015618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5618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5618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56187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1561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56187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1735/oj" TargetMode="External"/><Relationship Id="rId13" Type="http://schemas.openxmlformats.org/officeDocument/2006/relationships/hyperlink" Target="http://data.europa.eu/eli/C/2024/7058/oj" TargetMode="External"/><Relationship Id="rId3" Type="http://schemas.openxmlformats.org/officeDocument/2006/relationships/hyperlink" Target="http://data.europa.eu/eli/reg/2021/1056/oj" TargetMode="External"/><Relationship Id="rId7" Type="http://schemas.openxmlformats.org/officeDocument/2006/relationships/hyperlink" Target="http://data.europa.eu/eli/reg/2021/1119/oj" TargetMode="External"/><Relationship Id="rId12" Type="http://schemas.openxmlformats.org/officeDocument/2006/relationships/hyperlink" Target="http://data.europa.eu/eli/C/2024/6562/oj" TargetMode="External"/><Relationship Id="rId2" Type="http://schemas.openxmlformats.org/officeDocument/2006/relationships/hyperlink" Target="http://data.europa.eu/eli/reg/2021/691/oj" TargetMode="External"/><Relationship Id="rId16" Type="http://schemas.openxmlformats.org/officeDocument/2006/relationships/hyperlink" Target="http://data.europa.eu/eli/dir/2022/2041/oj" TargetMode="External"/><Relationship Id="rId1" Type="http://schemas.openxmlformats.org/officeDocument/2006/relationships/hyperlink" Target="http://data.europa.eu/eli/reg/2021/241/oj" TargetMode="External"/><Relationship Id="rId6" Type="http://schemas.openxmlformats.org/officeDocument/2006/relationships/hyperlink" Target="http://data.europa.eu/eli/reg/2021/1060/oj" TargetMode="External"/><Relationship Id="rId11" Type="http://schemas.openxmlformats.org/officeDocument/2006/relationships/hyperlink" Target="http://data.europa.eu/eli/C/2024/4166/oj" TargetMode="External"/><Relationship Id="rId5" Type="http://schemas.openxmlformats.org/officeDocument/2006/relationships/hyperlink" Target="http://data.europa.eu/eli/reg/2021/1058/oj" TargetMode="External"/><Relationship Id="rId15" Type="http://schemas.openxmlformats.org/officeDocument/2006/relationships/hyperlink" Target="http://data.europa.eu/eli/dir/2019/944/oj" TargetMode="External"/><Relationship Id="rId10" Type="http://schemas.openxmlformats.org/officeDocument/2006/relationships/hyperlink" Target="http://data.europa.eu/eli/C/2024/4225/oj" TargetMode="External"/><Relationship Id="rId4" Type="http://schemas.openxmlformats.org/officeDocument/2006/relationships/hyperlink" Target="http://data.europa.eu/eli/reg/2021/1057/oj" TargetMode="External"/><Relationship Id="rId9" Type="http://schemas.openxmlformats.org/officeDocument/2006/relationships/hyperlink" Target="http://data.europa.eu/eli/C/2024/4224/oj" TargetMode="External"/><Relationship Id="rId14" Type="http://schemas.openxmlformats.org/officeDocument/2006/relationships/hyperlink" Target="http://data.europa.eu/eli/C/2025/2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C3F4D-99D5-46F9-9D51-0D9C2D2CA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6662</Words>
  <Characters>41042</Characters>
  <Application>Microsoft Office Word</Application>
  <DocSecurity>0</DocSecurity>
  <Lines>1641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SOLTYSOVA Zuzana</cp:lastModifiedBy>
  <cp:revision>3</cp:revision>
  <cp:lastPrinted>2004-11-19T15:42:00Z</cp:lastPrinted>
  <dcterms:created xsi:type="dcterms:W3CDTF">2025-10-16T12:55:00Z</dcterms:created>
  <dcterms:modified xsi:type="dcterms:W3CDTF">2025-11-11T13:45:00Z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A10-0137/2025</vt:lpwstr>
  </property>
  <property fmtid="{D5CDD505-2E9C-101B-9397-08002B2CF9AE}" pid="4" name="&lt;Type&gt;">
    <vt:lpwstr>RR</vt:lpwstr>
  </property>
</Properties>
</file>