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773CC" w14:paraId="5BE210D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399084A" w14:textId="77777777" w:rsidR="00751A4A" w:rsidRPr="000773CC" w:rsidRDefault="006924BE" w:rsidP="0010095E">
            <w:pPr>
              <w:pStyle w:val="EPName"/>
            </w:pPr>
            <w:r w:rsidRPr="000773CC">
              <w:t>Evropský parlament</w:t>
            </w:r>
          </w:p>
          <w:p w14:paraId="00DFF2F3" w14:textId="77777777" w:rsidR="00751A4A" w:rsidRPr="000773C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773CC">
              <w:t>2024</w:t>
            </w:r>
            <w:r w:rsidR="00817416" w:rsidRPr="000773CC">
              <w:t>-202</w:t>
            </w:r>
            <w:r w:rsidRPr="000773CC">
              <w:t>9</w:t>
            </w:r>
          </w:p>
        </w:tc>
        <w:tc>
          <w:tcPr>
            <w:tcW w:w="2268" w:type="dxa"/>
            <w:shd w:val="clear" w:color="auto" w:fill="auto"/>
          </w:tcPr>
          <w:p w14:paraId="2A78159E" w14:textId="77777777" w:rsidR="00751A4A" w:rsidRPr="000773CC" w:rsidRDefault="00187494" w:rsidP="0010095E">
            <w:pPr>
              <w:pStyle w:val="EPLogo"/>
            </w:pPr>
            <w:r w:rsidRPr="000773CC">
              <w:rPr>
                <w:noProof/>
                <w:lang w:eastAsia="cs-CZ"/>
              </w:rPr>
              <w:drawing>
                <wp:inline distT="0" distB="0" distL="0" distR="0" wp14:anchorId="6F44E6D1" wp14:editId="4157DAB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ADB1B0" w14:textId="77777777" w:rsidR="00D058B8" w:rsidRPr="000773CC" w:rsidRDefault="00D058B8" w:rsidP="004C5D52">
      <w:pPr>
        <w:pStyle w:val="LineTop"/>
      </w:pPr>
    </w:p>
    <w:p w14:paraId="44865BFE" w14:textId="77777777" w:rsidR="00680577" w:rsidRPr="000773CC" w:rsidRDefault="006924BE" w:rsidP="00680577">
      <w:pPr>
        <w:pStyle w:val="EPBodyTA1"/>
      </w:pPr>
      <w:r w:rsidRPr="000773CC">
        <w:t>PŘIJATÉ TEXTY</w:t>
      </w:r>
    </w:p>
    <w:p w14:paraId="7183FBCF" w14:textId="77777777" w:rsidR="00D058B8" w:rsidRPr="000773CC" w:rsidRDefault="00D058B8" w:rsidP="00D058B8">
      <w:pPr>
        <w:pStyle w:val="LineBottom"/>
      </w:pPr>
    </w:p>
    <w:p w14:paraId="6F601A8C" w14:textId="0E3CB5B7" w:rsidR="006924BE" w:rsidRPr="000773CC" w:rsidRDefault="006924BE" w:rsidP="006924BE">
      <w:pPr>
        <w:pStyle w:val="ATHeading1"/>
      </w:pPr>
      <w:bookmarkStart w:id="0" w:name="TANumber"/>
      <w:r w:rsidRPr="000773CC">
        <w:t>P10_TA(2025)0</w:t>
      </w:r>
      <w:r w:rsidR="0063257F">
        <w:t>188</w:t>
      </w:r>
      <w:bookmarkEnd w:id="0"/>
    </w:p>
    <w:p w14:paraId="54E771DB" w14:textId="77777777" w:rsidR="006924BE" w:rsidRPr="000773CC" w:rsidRDefault="006924BE" w:rsidP="006924BE">
      <w:pPr>
        <w:pStyle w:val="ATHeading2"/>
      </w:pPr>
      <w:bookmarkStart w:id="1" w:name="title"/>
      <w:r w:rsidRPr="000773CC">
        <w:t>Možnosti zjednodušení fondů soudržnosti</w:t>
      </w:r>
      <w:bookmarkEnd w:id="1"/>
    </w:p>
    <w:p w14:paraId="4E07C848" w14:textId="77777777" w:rsidR="006924BE" w:rsidRPr="000773CC" w:rsidRDefault="006924BE" w:rsidP="006924BE">
      <w:pPr>
        <w:rPr>
          <w:i/>
          <w:vanish/>
        </w:rPr>
      </w:pPr>
      <w:r w:rsidRPr="000773CC">
        <w:rPr>
          <w:i/>
        </w:rPr>
        <w:fldChar w:fldCharType="begin"/>
      </w:r>
      <w:r w:rsidRPr="000773CC">
        <w:rPr>
          <w:i/>
        </w:rPr>
        <w:instrText xml:space="preserve"> TC"(</w:instrText>
      </w:r>
      <w:bookmarkStart w:id="2" w:name="DocNumber"/>
      <w:r w:rsidRPr="000773CC">
        <w:rPr>
          <w:i/>
        </w:rPr>
        <w:instrText>A10-0138/2025</w:instrText>
      </w:r>
      <w:bookmarkEnd w:id="2"/>
      <w:r w:rsidRPr="000773CC">
        <w:rPr>
          <w:i/>
        </w:rPr>
        <w:instrText xml:space="preserve"> - Zpravodaj: Vladimir Prebilič)"\l3 \n&gt; \* MERGEFORMAT </w:instrText>
      </w:r>
      <w:r w:rsidRPr="000773CC">
        <w:rPr>
          <w:i/>
        </w:rPr>
        <w:fldChar w:fldCharType="end"/>
      </w:r>
    </w:p>
    <w:p w14:paraId="1B9B5750" w14:textId="77777777" w:rsidR="006924BE" w:rsidRPr="000773CC" w:rsidRDefault="006924BE" w:rsidP="006924BE">
      <w:pPr>
        <w:rPr>
          <w:vanish/>
        </w:rPr>
      </w:pPr>
      <w:bookmarkStart w:id="3" w:name="Commission"/>
      <w:r w:rsidRPr="000773CC">
        <w:rPr>
          <w:vanish/>
        </w:rPr>
        <w:t>Výbor pro regionální rozvoj</w:t>
      </w:r>
      <w:bookmarkEnd w:id="3"/>
    </w:p>
    <w:p w14:paraId="317153C8" w14:textId="77777777" w:rsidR="006924BE" w:rsidRPr="000773CC" w:rsidRDefault="006924BE" w:rsidP="006924BE">
      <w:pPr>
        <w:rPr>
          <w:vanish/>
        </w:rPr>
      </w:pPr>
      <w:bookmarkStart w:id="4" w:name="PE"/>
      <w:r w:rsidRPr="000773CC">
        <w:rPr>
          <w:vanish/>
        </w:rPr>
        <w:t>PE769.947</w:t>
      </w:r>
      <w:bookmarkEnd w:id="4"/>
    </w:p>
    <w:p w14:paraId="63A7F094" w14:textId="1397E5F4" w:rsidR="006924BE" w:rsidRPr="000773CC" w:rsidRDefault="006924BE" w:rsidP="006924BE">
      <w:pPr>
        <w:pStyle w:val="ATHeading3"/>
      </w:pPr>
      <w:bookmarkStart w:id="5" w:name="Sujet"/>
      <w:r w:rsidRPr="000773CC">
        <w:t xml:space="preserve">Usnesení Evropského parlamentu ze dne </w:t>
      </w:r>
      <w:r w:rsidR="005102EA">
        <w:t>10</w:t>
      </w:r>
      <w:r w:rsidRPr="000773CC">
        <w:t>. září 2025 o možnostech zjednodušení fondů soudržnosti</w:t>
      </w:r>
      <w:bookmarkEnd w:id="5"/>
      <w:r w:rsidRPr="000773CC">
        <w:t xml:space="preserve"> </w:t>
      </w:r>
      <w:bookmarkStart w:id="6" w:name="References"/>
      <w:r w:rsidRPr="000773CC">
        <w:t>(2024/2106(INI))</w:t>
      </w:r>
      <w:bookmarkEnd w:id="6"/>
    </w:p>
    <w:p w14:paraId="2C661638" w14:textId="77777777" w:rsidR="003B775C" w:rsidRPr="000773CC" w:rsidRDefault="003B775C" w:rsidP="003B775C">
      <w:pPr>
        <w:pStyle w:val="EPComma"/>
      </w:pPr>
      <w:r w:rsidRPr="000773CC">
        <w:rPr>
          <w:i/>
        </w:rPr>
        <w:t>Evropský parlament</w:t>
      </w:r>
      <w:r w:rsidRPr="000773CC">
        <w:t>,</w:t>
      </w:r>
    </w:p>
    <w:p w14:paraId="636F38BC" w14:textId="7C7AFA16" w:rsidR="003B775C" w:rsidRPr="000773CC" w:rsidRDefault="003B775C" w:rsidP="000773CC">
      <w:pPr>
        <w:pStyle w:val="NormalHanging12a"/>
        <w:rPr>
          <w:szCs w:val="24"/>
        </w:rPr>
      </w:pPr>
      <w:r w:rsidRPr="000773CC">
        <w:t>–</w:t>
      </w:r>
      <w:r w:rsidRPr="000773CC">
        <w:tab/>
        <w:t>s o</w:t>
      </w:r>
      <w:r w:rsidRPr="000773CC">
        <w:rPr>
          <w:szCs w:val="24"/>
        </w:rPr>
        <w:t>hledem na články 4, 162, 174 až 178 a 349 Smlouvy o fungování Evropské unie (</w:t>
      </w:r>
      <w:r w:rsidR="000773CC">
        <w:rPr>
          <w:szCs w:val="24"/>
        </w:rPr>
        <w:t>dále jen „</w:t>
      </w:r>
      <w:r w:rsidRPr="000773CC">
        <w:rPr>
          <w:szCs w:val="24"/>
        </w:rPr>
        <w:t>S</w:t>
      </w:r>
      <w:r w:rsidR="000773CC">
        <w:rPr>
          <w:szCs w:val="24"/>
        </w:rPr>
        <w:t xml:space="preserve">mlouva o fungování </w:t>
      </w:r>
      <w:r w:rsidRPr="000773CC">
        <w:rPr>
          <w:szCs w:val="24"/>
        </w:rPr>
        <w:t>EU</w:t>
      </w:r>
      <w:r w:rsidR="000773CC">
        <w:rPr>
          <w:szCs w:val="24"/>
        </w:rPr>
        <w:t>“</w:t>
      </w:r>
      <w:r w:rsidRPr="000773CC">
        <w:rPr>
          <w:szCs w:val="24"/>
        </w:rPr>
        <w:t>),</w:t>
      </w:r>
    </w:p>
    <w:p w14:paraId="3CE06EB2" w14:textId="77777777" w:rsidR="003B775C" w:rsidRPr="000773CC" w:rsidRDefault="003B775C" w:rsidP="000773CC">
      <w:pPr>
        <w:pStyle w:val="NormalHanging12a"/>
        <w:rPr>
          <w:szCs w:val="24"/>
        </w:rPr>
      </w:pPr>
      <w:r w:rsidRPr="000773CC">
        <w:rPr>
          <w:szCs w:val="24"/>
        </w:rPr>
        <w:t>–</w:t>
      </w:r>
      <w:r w:rsidRPr="000773CC">
        <w:rPr>
          <w:szCs w:val="24"/>
        </w:rPr>
        <w:tab/>
        <w:t>s ohledem na nařízení Evropského parlamentu a Rady (EU) 2021/1060 ze dne 24. června 2021 o společných ustanoveních pro Evropský fond pro regionální rozvoj, Evropský sociální fond plus, Fond soudržnosti, Fond pro spravedlivou transformaci a Evropský námořní, rybářský a akvakulturní fond a o finančních pravidlech pro tyto fondy a pro Azylový, migrační a integrační fond, Fond pro vnitřní bezpečnost a Nástroj pro finanční podporu správy hranic a vízové politiky</w:t>
      </w:r>
      <w:r w:rsidRPr="000773CC">
        <w:rPr>
          <w:rStyle w:val="FootnoteReference"/>
          <w:szCs w:val="24"/>
        </w:rPr>
        <w:footnoteReference w:id="1"/>
      </w:r>
      <w:r w:rsidRPr="000773CC">
        <w:rPr>
          <w:szCs w:val="24"/>
        </w:rPr>
        <w:t xml:space="preserve"> (dále jen „nařízení o společných ustanoveních“),</w:t>
      </w:r>
    </w:p>
    <w:p w14:paraId="090379CF" w14:textId="77777777" w:rsidR="003B775C" w:rsidRPr="000773CC" w:rsidRDefault="003B775C" w:rsidP="000773CC">
      <w:pPr>
        <w:pStyle w:val="NormalHanging12a"/>
        <w:rPr>
          <w:szCs w:val="24"/>
        </w:rPr>
      </w:pPr>
      <w:r w:rsidRPr="000773CC">
        <w:rPr>
          <w:szCs w:val="24"/>
        </w:rPr>
        <w:t>–</w:t>
      </w:r>
      <w:r w:rsidRPr="000773CC">
        <w:rPr>
          <w:szCs w:val="24"/>
        </w:rPr>
        <w:tab/>
        <w:t>s ohledem na nařízení Evropského parlamentu a Rady (EU) 2021/1058 ze dne 24. června 2021 o Evropském fondu pro regionální rozvoj a o Fondu soudržnosti</w:t>
      </w:r>
      <w:r w:rsidRPr="000773CC">
        <w:rPr>
          <w:rStyle w:val="FootnoteReference"/>
          <w:szCs w:val="24"/>
        </w:rPr>
        <w:footnoteReference w:id="2"/>
      </w:r>
      <w:r w:rsidRPr="000773CC">
        <w:rPr>
          <w:szCs w:val="24"/>
        </w:rPr>
        <w:t>,</w:t>
      </w:r>
    </w:p>
    <w:p w14:paraId="6564B730" w14:textId="77777777" w:rsidR="003B775C" w:rsidRPr="000773CC" w:rsidRDefault="003B775C" w:rsidP="000773CC">
      <w:pPr>
        <w:pStyle w:val="NormalHanging12a"/>
        <w:rPr>
          <w:szCs w:val="24"/>
        </w:rPr>
      </w:pPr>
      <w:r w:rsidRPr="000773CC">
        <w:rPr>
          <w:szCs w:val="24"/>
        </w:rPr>
        <w:t>–</w:t>
      </w:r>
      <w:r w:rsidRPr="000773CC">
        <w:rPr>
          <w:szCs w:val="24"/>
        </w:rPr>
        <w:tab/>
        <w:t>s ohledem na nařízení Evropského parlamentu a Rady (EU) 2021/1056 ze dne 24. června 2021, kterým se zřizuje Fond pro spravedlivou transformaci</w:t>
      </w:r>
      <w:r w:rsidRPr="000773CC">
        <w:rPr>
          <w:rStyle w:val="FootnoteReference"/>
          <w:szCs w:val="24"/>
        </w:rPr>
        <w:footnoteReference w:id="3"/>
      </w:r>
      <w:r w:rsidRPr="000773CC">
        <w:rPr>
          <w:szCs w:val="24"/>
        </w:rPr>
        <w:t>,</w:t>
      </w:r>
    </w:p>
    <w:p w14:paraId="63D4A718" w14:textId="77777777" w:rsidR="003B775C" w:rsidRPr="000773CC" w:rsidRDefault="003B775C" w:rsidP="000773CC">
      <w:pPr>
        <w:pStyle w:val="NormalHanging12a"/>
        <w:rPr>
          <w:szCs w:val="24"/>
        </w:rPr>
      </w:pPr>
      <w:r w:rsidRPr="000773CC">
        <w:rPr>
          <w:szCs w:val="24"/>
        </w:rPr>
        <w:t>–</w:t>
      </w:r>
      <w:r w:rsidRPr="000773CC">
        <w:rPr>
          <w:szCs w:val="24"/>
        </w:rPr>
        <w:tab/>
        <w:t>s ohledem na nařízení Evropského parlamentu a Rady (EU) 2021/1059 ze dne 24. června 2021 o zvláštních ustanoveních týkajících se cíle Evropská územní spolupráce (</w:t>
      </w:r>
      <w:proofErr w:type="spellStart"/>
      <w:r w:rsidRPr="000773CC">
        <w:rPr>
          <w:szCs w:val="24"/>
        </w:rPr>
        <w:t>Interreg</w:t>
      </w:r>
      <w:proofErr w:type="spellEnd"/>
      <w:r w:rsidRPr="000773CC">
        <w:rPr>
          <w:szCs w:val="24"/>
        </w:rPr>
        <w:t>) podporovaného z Evropského fondu pro regionální rozvoj a nástrojů financování vnější činnosti</w:t>
      </w:r>
      <w:r w:rsidRPr="000773CC">
        <w:rPr>
          <w:rStyle w:val="FootnoteReference"/>
          <w:szCs w:val="24"/>
        </w:rPr>
        <w:footnoteReference w:id="4"/>
      </w:r>
      <w:r w:rsidRPr="000773CC">
        <w:rPr>
          <w:szCs w:val="24"/>
        </w:rPr>
        <w:t>,</w:t>
      </w:r>
    </w:p>
    <w:p w14:paraId="701B2AD1" w14:textId="77777777" w:rsidR="003B775C" w:rsidRPr="000773CC" w:rsidRDefault="003B775C" w:rsidP="000773CC">
      <w:pPr>
        <w:pStyle w:val="NormalHanging12a"/>
        <w:rPr>
          <w:szCs w:val="24"/>
        </w:rPr>
      </w:pPr>
      <w:r w:rsidRPr="000773CC">
        <w:rPr>
          <w:szCs w:val="24"/>
        </w:rPr>
        <w:t>–</w:t>
      </w:r>
      <w:r w:rsidRPr="000773CC">
        <w:rPr>
          <w:szCs w:val="24"/>
        </w:rPr>
        <w:tab/>
        <w:t>s ohledem na nařízení Evropského parlamentu a Rady (EU) 2021/1057 ze dne 24. června 2021, kterým se zřizuje Evropský sociální fond plus (ESF+) a zrušuje nařízení (EU) č. 1296/2013</w:t>
      </w:r>
      <w:r w:rsidRPr="000773CC">
        <w:rPr>
          <w:rStyle w:val="FootnoteReference"/>
          <w:szCs w:val="24"/>
        </w:rPr>
        <w:footnoteReference w:id="5"/>
      </w:r>
      <w:r w:rsidRPr="000773CC">
        <w:rPr>
          <w:szCs w:val="24"/>
        </w:rPr>
        <w:t>,</w:t>
      </w:r>
    </w:p>
    <w:p w14:paraId="5D4691BB" w14:textId="77777777" w:rsidR="003B775C" w:rsidRPr="000773CC" w:rsidRDefault="003B775C" w:rsidP="000773CC">
      <w:pPr>
        <w:pStyle w:val="NormalHanging12a"/>
        <w:rPr>
          <w:szCs w:val="24"/>
        </w:rPr>
      </w:pPr>
      <w:r w:rsidRPr="000773CC">
        <w:rPr>
          <w:szCs w:val="24"/>
        </w:rPr>
        <w:t>–</w:t>
      </w:r>
      <w:r w:rsidRPr="000773CC">
        <w:rPr>
          <w:szCs w:val="24"/>
        </w:rPr>
        <w:tab/>
        <w:t xml:space="preserve">s ohledem na nařízení Evropského parlamentu a Rady (EU) 2020/460 ze dne 30. března </w:t>
      </w:r>
      <w:r w:rsidRPr="000773CC">
        <w:rPr>
          <w:szCs w:val="24"/>
        </w:rPr>
        <w:lastRenderedPageBreak/>
        <w:t>2020, kterým se mění nařízení Evropského parlamentu a Rady (EU) č. 1301/2013, (EU) č. 1303/2013 a (EU) č. 508/2014, pokud jde o specifická opatření pro aktivaci investic do systémů zdravotní péče členských států a do jiných odvětví jejich ekonomik v reakci na šíření onemocnění COVID-19 (investiční iniciativa pro reakci na koronavirus)</w:t>
      </w:r>
      <w:r w:rsidRPr="000773CC">
        <w:rPr>
          <w:rStyle w:val="FootnoteReference"/>
          <w:szCs w:val="24"/>
        </w:rPr>
        <w:footnoteReference w:id="6"/>
      </w:r>
      <w:r w:rsidRPr="000773CC">
        <w:rPr>
          <w:szCs w:val="24"/>
        </w:rPr>
        <w:t>,</w:t>
      </w:r>
    </w:p>
    <w:p w14:paraId="77518BDF" w14:textId="77777777" w:rsidR="003B775C" w:rsidRPr="000773CC" w:rsidRDefault="003B775C" w:rsidP="000773CC">
      <w:pPr>
        <w:pStyle w:val="NormalHanging12a"/>
        <w:rPr>
          <w:b/>
          <w:i/>
          <w:szCs w:val="24"/>
        </w:rPr>
      </w:pPr>
      <w:r w:rsidRPr="000773CC">
        <w:rPr>
          <w:b/>
          <w:i/>
          <w:szCs w:val="24"/>
        </w:rPr>
        <w:t>–</w:t>
      </w:r>
      <w:r w:rsidRPr="000773CC">
        <w:rPr>
          <w:b/>
          <w:i/>
          <w:szCs w:val="24"/>
        </w:rPr>
        <w:tab/>
      </w:r>
      <w:r w:rsidRPr="000773CC">
        <w:rPr>
          <w:szCs w:val="24"/>
        </w:rPr>
        <w:t>s ohledem na nařízení Evropského parlamentu a Rady (EU) 2025/925 ze dne 7. května 2025 o Nástroji pro rozvoj a růst příhraničních regionů (</w:t>
      </w:r>
      <w:proofErr w:type="spellStart"/>
      <w:r w:rsidRPr="000773CC">
        <w:rPr>
          <w:szCs w:val="24"/>
        </w:rPr>
        <w:t>BRIDGEforEU</w:t>
      </w:r>
      <w:proofErr w:type="spellEnd"/>
      <w:r w:rsidRPr="000773CC">
        <w:rPr>
          <w:szCs w:val="24"/>
        </w:rPr>
        <w:t>)</w:t>
      </w:r>
      <w:r w:rsidRPr="000773CC">
        <w:rPr>
          <w:rStyle w:val="FootnoteReference"/>
          <w:bCs/>
          <w:iCs/>
          <w:szCs w:val="24"/>
        </w:rPr>
        <w:footnoteReference w:id="7"/>
      </w:r>
      <w:r w:rsidRPr="000773CC">
        <w:rPr>
          <w:szCs w:val="24"/>
        </w:rPr>
        <w:t>,</w:t>
      </w:r>
    </w:p>
    <w:p w14:paraId="0E6FDB28" w14:textId="77777777" w:rsidR="003B775C" w:rsidRPr="000773CC" w:rsidRDefault="003B775C" w:rsidP="000773CC">
      <w:pPr>
        <w:pStyle w:val="NormalHanging12a"/>
        <w:rPr>
          <w:szCs w:val="24"/>
        </w:rPr>
      </w:pPr>
      <w:r w:rsidRPr="000773CC">
        <w:rPr>
          <w:szCs w:val="24"/>
        </w:rPr>
        <w:t>–</w:t>
      </w:r>
      <w:r w:rsidRPr="000773CC">
        <w:rPr>
          <w:szCs w:val="24"/>
        </w:rPr>
        <w:tab/>
        <w:t>s ohledem na nařízení Evropského parlamentu a Rady (EU) č. 1305/2013 ze dne 17. prosince 2013 o podpoře pro rozvoj venkova z Evropského zemědělského fondu pro rozvoj venkova (EZFRV) a o zrušení nařízení Rady (ES) č. 1698/2005</w:t>
      </w:r>
      <w:r w:rsidRPr="000773CC">
        <w:rPr>
          <w:rStyle w:val="FootnoteReference"/>
          <w:szCs w:val="24"/>
        </w:rPr>
        <w:footnoteReference w:id="8"/>
      </w:r>
      <w:r w:rsidRPr="000773CC">
        <w:rPr>
          <w:szCs w:val="24"/>
        </w:rPr>
        <w:t>,</w:t>
      </w:r>
    </w:p>
    <w:p w14:paraId="74374BCB" w14:textId="77777777" w:rsidR="003B775C" w:rsidRPr="000773CC" w:rsidRDefault="003B775C" w:rsidP="000773CC">
      <w:pPr>
        <w:pStyle w:val="NormalHanging12a"/>
        <w:rPr>
          <w:szCs w:val="24"/>
        </w:rPr>
      </w:pPr>
      <w:r w:rsidRPr="000773CC">
        <w:rPr>
          <w:szCs w:val="24"/>
        </w:rPr>
        <w:t>–</w:t>
      </w:r>
      <w:r w:rsidRPr="000773CC">
        <w:rPr>
          <w:szCs w:val="24"/>
        </w:rPr>
        <w:tab/>
        <w:t>s ohledem na nařízení Komise v přenesené pravomoci (EU) č. 240/2014 ze dne 7. ledna 2014 o evropském kodexu chování pro partnerskou spolupráci v rámci evropských strukturálních a investičních fondů</w:t>
      </w:r>
      <w:r w:rsidRPr="000773CC">
        <w:rPr>
          <w:rStyle w:val="FootnoteReference"/>
          <w:szCs w:val="24"/>
        </w:rPr>
        <w:footnoteReference w:id="9"/>
      </w:r>
      <w:r w:rsidRPr="000773CC">
        <w:rPr>
          <w:szCs w:val="24"/>
        </w:rPr>
        <w:t xml:space="preserve"> (evropský kodex chování pro partnerskou spolupráci),</w:t>
      </w:r>
    </w:p>
    <w:p w14:paraId="0863A8C7" w14:textId="77777777" w:rsidR="003B775C" w:rsidRPr="000773CC" w:rsidRDefault="003B775C" w:rsidP="000773CC">
      <w:pPr>
        <w:pStyle w:val="NormalHanging12a"/>
        <w:rPr>
          <w:szCs w:val="24"/>
        </w:rPr>
      </w:pPr>
      <w:r w:rsidRPr="000773CC">
        <w:rPr>
          <w:szCs w:val="24"/>
        </w:rPr>
        <w:t>–</w:t>
      </w:r>
      <w:r w:rsidRPr="000773CC">
        <w:rPr>
          <w:szCs w:val="24"/>
        </w:rPr>
        <w:tab/>
        <w:t>s ohledem na své usnesení ze dne 16. ledna 2024 o provádění územního rozvoje (nařízení o společných ustanoveních, hlava III, kapitola II) a jeho uplatňování v Územní agendě Evropské unie 2030</w:t>
      </w:r>
      <w:r w:rsidRPr="000773CC">
        <w:rPr>
          <w:rStyle w:val="FootnoteReference"/>
          <w:szCs w:val="24"/>
        </w:rPr>
        <w:footnoteReference w:id="10"/>
      </w:r>
      <w:r w:rsidRPr="000773CC">
        <w:rPr>
          <w:szCs w:val="24"/>
        </w:rPr>
        <w:t>,</w:t>
      </w:r>
    </w:p>
    <w:p w14:paraId="724EA1D9" w14:textId="77777777" w:rsidR="003B775C" w:rsidRPr="000773CC" w:rsidRDefault="003B775C" w:rsidP="000773CC">
      <w:pPr>
        <w:pStyle w:val="NormalHanging12a"/>
        <w:rPr>
          <w:szCs w:val="24"/>
        </w:rPr>
      </w:pPr>
      <w:r w:rsidRPr="000773CC">
        <w:rPr>
          <w:szCs w:val="24"/>
        </w:rPr>
        <w:t>–</w:t>
      </w:r>
      <w:r w:rsidRPr="000773CC">
        <w:rPr>
          <w:szCs w:val="24"/>
        </w:rPr>
        <w:tab/>
        <w:t>s ohledem na stanovisko Výboru regionů ze dne 24. ledna 2025 nazvané „Rozpočet EU a místně orientované politiky: návrhy nových mechanismů týkajících se navrhování a provádění ve VFR na období po roce 2027“,</w:t>
      </w:r>
    </w:p>
    <w:p w14:paraId="4DA3ED94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–</w:t>
      </w:r>
      <w:r w:rsidRPr="000773CC">
        <w:rPr>
          <w:szCs w:val="24"/>
        </w:rPr>
        <w:tab/>
        <w:t>s ohledem na stanovisko Evropského hospodářského a sociálního výboru ze dne 27. února 2025 nazvané „Větší zaměření politiky soudržnosti v období po roce 2027 na výsledky – výzvy, rizika a příležitosti“</w:t>
      </w:r>
      <w:r w:rsidRPr="000773CC">
        <w:rPr>
          <w:rStyle w:val="FootnoteReference"/>
          <w:bCs/>
          <w:iCs/>
          <w:szCs w:val="24"/>
        </w:rPr>
        <w:footnoteReference w:id="11"/>
      </w:r>
      <w:r w:rsidRPr="000773CC">
        <w:rPr>
          <w:szCs w:val="24"/>
        </w:rPr>
        <w:t>,</w:t>
      </w:r>
    </w:p>
    <w:p w14:paraId="24DE2866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–</w:t>
      </w:r>
      <w:r w:rsidRPr="000773CC">
        <w:rPr>
          <w:szCs w:val="24"/>
        </w:rPr>
        <w:tab/>
        <w:t>s ohledem na sdělení Komise ze dne 11. února 2025 nazvané „Cesta k příštímu víceletému finančnímu rámci“ (</w:t>
      </w:r>
      <w:proofErr w:type="gramStart"/>
      <w:r w:rsidRPr="000773CC">
        <w:rPr>
          <w:szCs w:val="24"/>
        </w:rPr>
        <w:t>COM(2025</w:t>
      </w:r>
      <w:proofErr w:type="gramEnd"/>
      <w:r w:rsidRPr="000773CC">
        <w:rPr>
          <w:szCs w:val="24"/>
        </w:rPr>
        <w:t>)0046),</w:t>
      </w:r>
    </w:p>
    <w:p w14:paraId="79C09E87" w14:textId="77777777" w:rsidR="003B775C" w:rsidRPr="000773CC" w:rsidRDefault="003B775C" w:rsidP="000773CC">
      <w:pPr>
        <w:pStyle w:val="NormalHanging12a"/>
        <w:rPr>
          <w:b/>
          <w:i/>
          <w:szCs w:val="24"/>
        </w:rPr>
      </w:pPr>
      <w:r w:rsidRPr="000773CC">
        <w:rPr>
          <w:szCs w:val="24"/>
        </w:rPr>
        <w:t>–</w:t>
      </w:r>
      <w:r w:rsidRPr="000773CC">
        <w:rPr>
          <w:szCs w:val="24"/>
        </w:rPr>
        <w:tab/>
        <w:t>s ohledem na stanovisko Evropského hospodářského a sociálního výboru ze dne 5. prosince 2024 nazvané „Přezkum Územní agendy 2030 – jak dosáhnout integrovanějšího přístupu s výraznějším zaměřením na občany a většího provázání s politikou soudržnosti“</w:t>
      </w:r>
      <w:r w:rsidRPr="000773CC">
        <w:rPr>
          <w:rStyle w:val="FootnoteReference"/>
          <w:bCs/>
          <w:iCs/>
          <w:szCs w:val="24"/>
        </w:rPr>
        <w:footnoteReference w:id="12"/>
      </w:r>
      <w:r w:rsidRPr="000773CC">
        <w:rPr>
          <w:szCs w:val="24"/>
        </w:rPr>
        <w:t>,</w:t>
      </w:r>
    </w:p>
    <w:p w14:paraId="6D8E9A33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–</w:t>
      </w:r>
      <w:r w:rsidRPr="000773CC">
        <w:rPr>
          <w:szCs w:val="24"/>
        </w:rPr>
        <w:tab/>
        <w:t>s ohledem na výroční zprávy Evropského účetního dvora za rozpočtový rok 2023,</w:t>
      </w:r>
    </w:p>
    <w:p w14:paraId="12BE8BCB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–</w:t>
      </w:r>
      <w:r w:rsidRPr="000773CC">
        <w:rPr>
          <w:szCs w:val="24"/>
        </w:rPr>
        <w:tab/>
        <w:t>s ohledem na zprávu Evropského účetního dvora ze dne 8. července 2024 nazvanou „Přezkum 03/2024: Přehled informací o rámci pro získávání jistoty a o klíčových faktorech vedoucích k chybám ve výdajích na soudržnost v letech 2014–2020“,</w:t>
      </w:r>
    </w:p>
    <w:p w14:paraId="3305A890" w14:textId="77777777" w:rsidR="003B775C" w:rsidRPr="000773CC" w:rsidRDefault="003B775C" w:rsidP="000773CC">
      <w:pPr>
        <w:pStyle w:val="NormalHanging12a"/>
        <w:rPr>
          <w:szCs w:val="24"/>
        </w:rPr>
      </w:pPr>
      <w:r w:rsidRPr="000773CC">
        <w:rPr>
          <w:szCs w:val="24"/>
        </w:rPr>
        <w:t>–</w:t>
      </w:r>
      <w:r w:rsidRPr="000773CC">
        <w:rPr>
          <w:szCs w:val="24"/>
        </w:rPr>
        <w:tab/>
        <w:t xml:space="preserve">s ohledem na zvláštní zprávu Evropského účetního dvora 22/2024 ze dne 21. října 2024 </w:t>
      </w:r>
      <w:r w:rsidRPr="000773CC">
        <w:rPr>
          <w:szCs w:val="24"/>
        </w:rPr>
        <w:lastRenderedPageBreak/>
        <w:t>nazvanou „Dvojí financování z rozpočtu EU – Kontrolní systémy postrádají základní prvky, které by zmírňovaly zvýšené riziko plynoucí ze skutečnosti, že model financování Nástroje pro oživení a odolnost není spojen s náklady“,</w:t>
      </w:r>
    </w:p>
    <w:p w14:paraId="7B207087" w14:textId="77777777" w:rsidR="003B775C" w:rsidRPr="000773CC" w:rsidRDefault="003B775C" w:rsidP="000773CC">
      <w:pPr>
        <w:pStyle w:val="NormalHanging12a"/>
        <w:rPr>
          <w:szCs w:val="24"/>
        </w:rPr>
      </w:pPr>
      <w:r w:rsidRPr="000773CC">
        <w:rPr>
          <w:szCs w:val="24"/>
        </w:rPr>
        <w:t>–</w:t>
      </w:r>
      <w:r w:rsidRPr="000773CC">
        <w:rPr>
          <w:szCs w:val="24"/>
        </w:rPr>
        <w:tab/>
        <w:t>s ohledem na zvláštní zprávu Evropského účetního dvora 13/2024 nazvanou „Čerpání finančních prostředků z Nástroje pro oživení a odolnost – Postupuje se zpožděním a přetrvávají rizika pro dokončení opatření, a tudíž pro dosažení cílů nástroje“,</w:t>
      </w:r>
    </w:p>
    <w:p w14:paraId="2689F18B" w14:textId="77777777" w:rsidR="003B775C" w:rsidRPr="000773CC" w:rsidRDefault="003B775C" w:rsidP="000773CC">
      <w:pPr>
        <w:pStyle w:val="NormalHanging12a"/>
        <w:rPr>
          <w:szCs w:val="24"/>
        </w:rPr>
      </w:pPr>
      <w:r w:rsidRPr="000773CC">
        <w:rPr>
          <w:szCs w:val="24"/>
        </w:rPr>
        <w:t>–</w:t>
      </w:r>
      <w:r w:rsidRPr="000773CC">
        <w:rPr>
          <w:szCs w:val="24"/>
        </w:rPr>
        <w:tab/>
        <w:t>s ohledem na článek 55 jednacího řádu,</w:t>
      </w:r>
    </w:p>
    <w:p w14:paraId="150416C6" w14:textId="77777777" w:rsidR="003B775C" w:rsidRPr="000773CC" w:rsidRDefault="003B775C" w:rsidP="000773CC">
      <w:pPr>
        <w:pStyle w:val="NormalHanging12a"/>
        <w:rPr>
          <w:szCs w:val="24"/>
        </w:rPr>
      </w:pPr>
      <w:r w:rsidRPr="000773CC">
        <w:rPr>
          <w:szCs w:val="24"/>
        </w:rPr>
        <w:t>–</w:t>
      </w:r>
      <w:r w:rsidRPr="000773CC">
        <w:rPr>
          <w:szCs w:val="24"/>
        </w:rPr>
        <w:tab/>
        <w:t>s ohledem na stanoviska Rozpočtového výboru a Výboru pro rozpočtovou kontrolu,</w:t>
      </w:r>
    </w:p>
    <w:p w14:paraId="58EA6306" w14:textId="77777777" w:rsidR="003B775C" w:rsidRPr="000773CC" w:rsidRDefault="003B775C" w:rsidP="000773CC">
      <w:pPr>
        <w:pStyle w:val="NormalHanging12a"/>
        <w:rPr>
          <w:szCs w:val="24"/>
        </w:rPr>
      </w:pPr>
      <w:r w:rsidRPr="000773CC">
        <w:rPr>
          <w:szCs w:val="24"/>
        </w:rPr>
        <w:t>–</w:t>
      </w:r>
      <w:r w:rsidRPr="000773CC">
        <w:rPr>
          <w:szCs w:val="24"/>
        </w:rPr>
        <w:tab/>
        <w:t>s ohledem na stanovisko Výboru pro zaměstnanost a sociální věci ve formě dopisu,</w:t>
      </w:r>
    </w:p>
    <w:p w14:paraId="32E5C6C1" w14:textId="77777777" w:rsidR="003B775C" w:rsidRPr="000773CC" w:rsidRDefault="003B775C" w:rsidP="000773CC">
      <w:pPr>
        <w:pStyle w:val="NormalHanging12a"/>
        <w:rPr>
          <w:szCs w:val="24"/>
        </w:rPr>
      </w:pPr>
      <w:r w:rsidRPr="000773CC">
        <w:rPr>
          <w:szCs w:val="24"/>
        </w:rPr>
        <w:t>–</w:t>
      </w:r>
      <w:r w:rsidRPr="000773CC">
        <w:rPr>
          <w:szCs w:val="24"/>
        </w:rPr>
        <w:tab/>
        <w:t>s ohledem na zprávu Výboru pro regionální rozvoj (A10-0138/2025),</w:t>
      </w:r>
    </w:p>
    <w:p w14:paraId="3406B155" w14:textId="77777777" w:rsidR="003B775C" w:rsidRPr="000773CC" w:rsidRDefault="003B775C" w:rsidP="000773CC">
      <w:pPr>
        <w:pStyle w:val="NormalHanging12a"/>
        <w:rPr>
          <w:szCs w:val="24"/>
        </w:rPr>
      </w:pPr>
      <w:r w:rsidRPr="000773CC">
        <w:rPr>
          <w:szCs w:val="24"/>
        </w:rPr>
        <w:t>A.</w:t>
      </w:r>
      <w:r w:rsidRPr="000773CC">
        <w:rPr>
          <w:szCs w:val="24"/>
        </w:rPr>
        <w:tab/>
        <w:t>vzhledem k tomu, že politika soudržnosti je nejdůležitějším investičním nástrojem EU ke snižování hospodářských, sociálních a územních rozdílů a její dlouhodobý charakter nesmí být ohrožen nouzovými opatřeními ani změnami zaměřenými na přesměrování fondů soudržnosti na jiné priority; vzhledem k tomu, že finanční prostředky politiky soudržnosti musí zůstat vyhrazeny pro jejich hlavní cíle;</w:t>
      </w:r>
    </w:p>
    <w:p w14:paraId="7FCDCDD6" w14:textId="77777777" w:rsidR="003B775C" w:rsidRPr="000773CC" w:rsidRDefault="003B775C" w:rsidP="000773CC">
      <w:pPr>
        <w:pStyle w:val="NormalHanging12a"/>
        <w:rPr>
          <w:szCs w:val="24"/>
        </w:rPr>
      </w:pPr>
      <w:r w:rsidRPr="000773CC">
        <w:rPr>
          <w:szCs w:val="24"/>
        </w:rPr>
        <w:t>B.</w:t>
      </w:r>
      <w:r w:rsidRPr="000773CC">
        <w:rPr>
          <w:szCs w:val="24"/>
        </w:rPr>
        <w:tab/>
        <w:t>vzhledem k tomu, že regionální spolupráce může působit jako katalyzátor inovací a odolnosti a nástroje politiky soudržnosti by měly umožnit, aby tato spolupráce prosperovala napříč územními a správními hranicemi;</w:t>
      </w:r>
    </w:p>
    <w:p w14:paraId="155E8148" w14:textId="77777777" w:rsidR="003B775C" w:rsidRPr="000773CC" w:rsidRDefault="003B775C" w:rsidP="000773CC">
      <w:pPr>
        <w:pStyle w:val="NormalHanging12a"/>
        <w:rPr>
          <w:szCs w:val="24"/>
        </w:rPr>
      </w:pPr>
      <w:r w:rsidRPr="000773CC">
        <w:rPr>
          <w:szCs w:val="24"/>
        </w:rPr>
        <w:t>C.</w:t>
      </w:r>
      <w:r w:rsidRPr="000773CC">
        <w:rPr>
          <w:szCs w:val="24"/>
        </w:rPr>
        <w:tab/>
        <w:t>vzhledem k tomu, že politika soudržnosti hraje klíčovou úlohu při naplňování Evropského pilíře sociálních práv, jeho akčního plánu a hlavních cílů zaměřených na boj proti chudobě, zvyšování zaměstnanosti a podporu celoživotního vzdělávání; vzhledem k tomu, že podmíněnost týkající se právního státu, jakož i norem v oblasti sociálních a lidských práv je nezbytná a nesmí být oslabována snahami o zjednodušení; vzhledem k tomu, že přístup k finančním prostředkům politiky soudržnosti musí zajistit ochranu a začlenění všech lidí v jejich regionech bez ohledu na pohlaví, věk, národnost, zdravotní stav, sociální třídu, etnickou příslušnost, sexuální orientaci nebo genderovou identitu;</w:t>
      </w:r>
    </w:p>
    <w:p w14:paraId="6592686B" w14:textId="77777777" w:rsidR="003B775C" w:rsidRPr="000773CC" w:rsidRDefault="003B775C" w:rsidP="000773CC">
      <w:pPr>
        <w:pStyle w:val="NormalHanging12a"/>
        <w:rPr>
          <w:szCs w:val="24"/>
        </w:rPr>
      </w:pPr>
      <w:r w:rsidRPr="000773CC">
        <w:rPr>
          <w:szCs w:val="24"/>
        </w:rPr>
        <w:t>D.</w:t>
      </w:r>
      <w:r w:rsidRPr="000773CC">
        <w:rPr>
          <w:szCs w:val="24"/>
        </w:rPr>
        <w:tab/>
        <w:t>vzhledem k tomu, že finanční prostředky politiky soudržnosti představují přibližně 30 % celkového rozpočtu EU a slouží jako klíčový pilíř podpory evropských regionů a v budoucím víceletém finančním rámci (VFR) by měly zůstat oddělené a neměly by být slučovány s jinými fondy, aby byla zaručena jejich efektivnost při snižování územních rozdílů a podporování hospodářské konvergence;</w:t>
      </w:r>
    </w:p>
    <w:p w14:paraId="3CBCB2BA" w14:textId="77777777" w:rsidR="003B775C" w:rsidRPr="000773CC" w:rsidRDefault="003B775C" w:rsidP="000773CC">
      <w:pPr>
        <w:pStyle w:val="NormalHanging12a"/>
        <w:rPr>
          <w:szCs w:val="24"/>
        </w:rPr>
      </w:pPr>
      <w:r w:rsidRPr="000773CC">
        <w:rPr>
          <w:szCs w:val="24"/>
        </w:rPr>
        <w:t>E.</w:t>
      </w:r>
      <w:r w:rsidRPr="000773CC">
        <w:rPr>
          <w:szCs w:val="24"/>
        </w:rPr>
        <w:tab/>
        <w:t>vzhledem k tomu, že zjednodušená politika soudržnosti je klíčem k zajištění evropské odolnosti, spravedlivého udržitelného přechodu a práva zůstat na svém území pro všechny evropské občany a k podpoře konkurenceschopnosti EU;</w:t>
      </w:r>
    </w:p>
    <w:p w14:paraId="2E216BF4" w14:textId="77777777" w:rsidR="003B775C" w:rsidRPr="000773CC" w:rsidRDefault="003B775C" w:rsidP="000773CC">
      <w:pPr>
        <w:pStyle w:val="NormalHanging12a"/>
        <w:rPr>
          <w:szCs w:val="24"/>
        </w:rPr>
      </w:pPr>
      <w:r w:rsidRPr="000773CC">
        <w:rPr>
          <w:szCs w:val="24"/>
        </w:rPr>
        <w:t>F.</w:t>
      </w:r>
      <w:r w:rsidRPr="000773CC">
        <w:rPr>
          <w:szCs w:val="24"/>
        </w:rPr>
        <w:tab/>
        <w:t>vzhledem k tomu, že místní a regionální orgány mají nejlepší předpoklady pro identifikaci místních problémů a příležitostí a jsou klíčovými partnery při plnění politického programu a politiky soudržnosti EU, protože odpovídají za 54 až 58 % celkového objemu veřejných investic realizovaných vládami;</w:t>
      </w:r>
    </w:p>
    <w:p w14:paraId="53373613" w14:textId="77777777" w:rsidR="003B775C" w:rsidRPr="000773CC" w:rsidRDefault="003B775C" w:rsidP="000773CC">
      <w:pPr>
        <w:pStyle w:val="NormalHanging12a"/>
        <w:rPr>
          <w:szCs w:val="24"/>
        </w:rPr>
      </w:pPr>
      <w:r w:rsidRPr="000773CC">
        <w:rPr>
          <w:szCs w:val="24"/>
        </w:rPr>
        <w:t>G.</w:t>
      </w:r>
      <w:r w:rsidRPr="000773CC">
        <w:rPr>
          <w:szCs w:val="24"/>
        </w:rPr>
        <w:tab/>
        <w:t xml:space="preserve">vzhledem k tomu, že rozvoj klíčových strategických rámců, jako jsou dohody </w:t>
      </w:r>
      <w:r w:rsidRPr="000773CC">
        <w:rPr>
          <w:szCs w:val="24"/>
        </w:rPr>
        <w:lastRenderedPageBreak/>
        <w:t>o partnerství, plány spravedlivé transformace a národní programy reforem, často postrádá koordinovaný přístup a nezapojuje smysluplně příslušné místní a regionální orgány;</w:t>
      </w:r>
    </w:p>
    <w:p w14:paraId="082246DB" w14:textId="77777777" w:rsidR="003B775C" w:rsidRPr="000773CC" w:rsidRDefault="003B775C" w:rsidP="000773CC">
      <w:pPr>
        <w:pStyle w:val="NormalHanging12a"/>
        <w:rPr>
          <w:szCs w:val="24"/>
        </w:rPr>
      </w:pPr>
      <w:r w:rsidRPr="000773CC">
        <w:rPr>
          <w:szCs w:val="24"/>
        </w:rPr>
        <w:t>H.</w:t>
      </w:r>
      <w:r w:rsidRPr="000773CC">
        <w:rPr>
          <w:szCs w:val="24"/>
        </w:rPr>
        <w:tab/>
        <w:t>vzhledem k tomu, že stávající programové období 2021–2027, které navazuje na předchozí iniciativy s dalším rozšířením zjednodušených možností vykazování nákladů, má redukovaný seznam politických cílů a jasnější intervenční logiku prostřednictvím ukazatelů, jednodušší požadavky na podávání zpráv a umožňuje jednotný audit;</w:t>
      </w:r>
    </w:p>
    <w:p w14:paraId="2604EBC5" w14:textId="77777777" w:rsidR="003B775C" w:rsidRPr="000773CC" w:rsidRDefault="003B775C" w:rsidP="000773CC">
      <w:pPr>
        <w:pStyle w:val="NormalHanging12a"/>
        <w:rPr>
          <w:szCs w:val="24"/>
        </w:rPr>
      </w:pPr>
      <w:r w:rsidRPr="000773CC">
        <w:rPr>
          <w:szCs w:val="24"/>
        </w:rPr>
        <w:t>I.</w:t>
      </w:r>
      <w:r w:rsidRPr="000773CC">
        <w:rPr>
          <w:szCs w:val="24"/>
        </w:rPr>
        <w:tab/>
        <w:t>vzhledem k tomu, že politika soudržnosti zůstává jedním z nejviditelnějších a nejhmatatelnějších symbolů evropské solidarity, a vzhledem k tomu, že i v budoucnu by měla být uplatňována zásada „nepoškozovat soudržnost“, aby se zajistilo, že se politika soudržnosti bude i nadále zaměřovat na své hlavní poslání – snižování regionálních rozdílů a podporu hospodářské a sociální konvergence v celé EU;</w:t>
      </w:r>
    </w:p>
    <w:p w14:paraId="25D59E7D" w14:textId="77777777" w:rsidR="003B775C" w:rsidRPr="000773CC" w:rsidRDefault="003B775C" w:rsidP="000773CC">
      <w:pPr>
        <w:pStyle w:val="NormalHanging12a"/>
        <w:rPr>
          <w:szCs w:val="24"/>
        </w:rPr>
      </w:pPr>
      <w:r w:rsidRPr="000773CC">
        <w:rPr>
          <w:szCs w:val="24"/>
        </w:rPr>
        <w:t>J.</w:t>
      </w:r>
      <w:r w:rsidRPr="000773CC">
        <w:rPr>
          <w:szCs w:val="24"/>
        </w:rPr>
        <w:tab/>
        <w:t>vzhledem k tomu, že řídicí orgány, zprostředkující subjekty, příjemci a občané však stále čelí značné administrativní zátěži a problémům, které ovlivňují nejen míru provádění projektů, ale také podkopávají účinnost, důvěryhodnost, dopad, viditelnost a vnímání politiky soudržnosti jako celku;</w:t>
      </w:r>
    </w:p>
    <w:p w14:paraId="0F2DE48D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K.</w:t>
      </w:r>
      <w:r w:rsidRPr="000773CC">
        <w:rPr>
          <w:szCs w:val="24"/>
        </w:rPr>
        <w:tab/>
        <w:t>vzhledem k tomu, že administrativní zátěž příjemců při podávání žádostí o projekty podporované z fondů soudržnosti a jejich provádění se s každým obdobím financování zvýšila, což má stále větší odrazující účinek, a vzhledem k tomu, že složitost a časově náročná povaha procesu podávání žádostí často vede k výpočtu nákladů a přínosů, který příjemce odrazuje od podávání žádostí, čímž se omezuje celková účinnost a dostupnost politiky soudržnosti;</w:t>
      </w:r>
    </w:p>
    <w:p w14:paraId="6EA59F1B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L.</w:t>
      </w:r>
      <w:r w:rsidRPr="000773CC">
        <w:rPr>
          <w:szCs w:val="24"/>
        </w:rPr>
        <w:tab/>
        <w:t>vzhledem k tomu, že zjednodušení fondů politiky soudržnosti by mělo doplňovat další nástroje, aby se zajistila další harmonizace a integrace;</w:t>
      </w:r>
    </w:p>
    <w:p w14:paraId="62D5BD40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M.</w:t>
      </w:r>
      <w:r w:rsidRPr="000773CC">
        <w:rPr>
          <w:szCs w:val="24"/>
        </w:rPr>
        <w:tab/>
        <w:t xml:space="preserve">vzhledem k tomu, že pravidla pro zadávání veřejných zakázek a státní podporu jsou jedním z hlavních zdrojů administrativních nákladů a zátěže, které částečně vyplývají jak z praktik </w:t>
      </w:r>
      <w:proofErr w:type="spellStart"/>
      <w:r w:rsidRPr="000773CC">
        <w:rPr>
          <w:szCs w:val="24"/>
        </w:rPr>
        <w:t>gold-platingu</w:t>
      </w:r>
      <w:proofErr w:type="spellEnd"/>
      <w:r w:rsidRPr="000773CC">
        <w:rPr>
          <w:szCs w:val="24"/>
        </w:rPr>
        <w:t xml:space="preserve"> ve všech členských státech, tj. z dodatečných požadavků kladených na příjemce ze strany vnitrostátních a nižších než vnitrostátních orgánů nad rámec požadavků vyplývajících z právních předpisů EU, tak z obtížného výkladu a uplatňování obecného nařízení o blokových výjimkách</w:t>
      </w:r>
      <w:r w:rsidRPr="000773CC">
        <w:rPr>
          <w:rStyle w:val="FootnoteReference"/>
          <w:bCs/>
          <w:iCs/>
          <w:szCs w:val="24"/>
        </w:rPr>
        <w:footnoteReference w:id="13"/>
      </w:r>
      <w:r w:rsidRPr="000773CC">
        <w:rPr>
          <w:szCs w:val="24"/>
        </w:rPr>
        <w:t xml:space="preserve"> v různých územních souvislostech;</w:t>
      </w:r>
    </w:p>
    <w:p w14:paraId="3CCA3690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N.</w:t>
      </w:r>
      <w:r w:rsidRPr="000773CC">
        <w:rPr>
          <w:szCs w:val="24"/>
        </w:rPr>
        <w:tab/>
        <w:t>vzhledem k tomu, že předchozí období financování politiky soudržnosti opakovaně začínala příliš pozdě, zejména současné období financování 2021–2027, což vede k obrovskému nahromadění nevyřízených žádostí a k pomalému čerpání prostředků z fondů soudržnosti;</w:t>
      </w:r>
    </w:p>
    <w:p w14:paraId="349C04E2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O.</w:t>
      </w:r>
      <w:r w:rsidRPr="000773CC">
        <w:rPr>
          <w:szCs w:val="24"/>
        </w:rPr>
        <w:tab/>
        <w:t xml:space="preserve">vzhledem k tomu, že rozhodující úlohu v současné nízké míře provádění politiky soudržnosti ve všech členských státech hraje řada faktorů, mimo jiné zpoždění při dokončování legislativního balíčku a dohod o partnerství a programů, souběžné provádění Nástroje pro oživení a odolnost a regulační prostředí, které se stále vyvíjí a je </w:t>
      </w:r>
      <w:r w:rsidRPr="000773CC">
        <w:rPr>
          <w:szCs w:val="24"/>
        </w:rPr>
        <w:lastRenderedPageBreak/>
        <w:t>složité;</w:t>
      </w:r>
    </w:p>
    <w:p w14:paraId="60743262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P.</w:t>
      </w:r>
      <w:r w:rsidRPr="000773CC">
        <w:rPr>
          <w:szCs w:val="24"/>
        </w:rPr>
        <w:tab/>
        <w:t>vzhledem k tomu, že vyvíjející se a složité regulační prostředí vážně brání včasnému, účinnému a efektivnímu provádění politiky soudržnosti, a vzhledem k tomu, že tato složitost ztěžuje přístup k financování politiky soudržnosti obzvláště pro menší místní orgány, malé a střední podniky a organizace občanské společnosti v celé EU;</w:t>
      </w:r>
    </w:p>
    <w:p w14:paraId="64BDC319" w14:textId="77777777" w:rsidR="003B775C" w:rsidRPr="000773CC" w:rsidRDefault="003B775C" w:rsidP="000773CC">
      <w:pPr>
        <w:pStyle w:val="NormalHanging12a"/>
        <w:rPr>
          <w:szCs w:val="24"/>
        </w:rPr>
      </w:pPr>
      <w:r w:rsidRPr="000773CC">
        <w:rPr>
          <w:szCs w:val="24"/>
        </w:rPr>
        <w:t>Q.</w:t>
      </w:r>
      <w:r w:rsidRPr="000773CC">
        <w:rPr>
          <w:szCs w:val="24"/>
        </w:rPr>
        <w:tab/>
        <w:t>vzhledem k tomu, že zjednodušující opatření by měla zajistit rovnováhu mezi potřebou snadnějšího a lepšího přístupu k finančním prostředkům za účelem dosažení udržitelných výsledků na jedné straně a ochranou rozpočtu EU na straně druhé, s náležitým zohledněním obav a příspěvků institucionálních i neinstitucionálních zúčastněných stran, a jakmile budou tato opatření zavedena, neměla by být oslabována opětovným zavedením složitosti pod záminkou vnitrostátních požadavků na audit;</w:t>
      </w:r>
    </w:p>
    <w:p w14:paraId="5EF28CB1" w14:textId="77777777" w:rsidR="003B775C" w:rsidRPr="000773CC" w:rsidRDefault="003B775C" w:rsidP="000773CC">
      <w:pPr>
        <w:pStyle w:val="NormalHanging12a"/>
        <w:rPr>
          <w:szCs w:val="24"/>
        </w:rPr>
      </w:pPr>
      <w:r w:rsidRPr="000773CC">
        <w:rPr>
          <w:szCs w:val="24"/>
        </w:rPr>
        <w:t>R.</w:t>
      </w:r>
      <w:r w:rsidRPr="000773CC">
        <w:rPr>
          <w:szCs w:val="24"/>
        </w:rPr>
        <w:tab/>
        <w:t>vzhledem k tomu, že podle finančního nařízení</w:t>
      </w:r>
      <w:r w:rsidRPr="000773CC">
        <w:rPr>
          <w:rStyle w:val="FootnoteReference"/>
          <w:szCs w:val="24"/>
        </w:rPr>
        <w:footnoteReference w:id="14"/>
      </w:r>
      <w:r w:rsidRPr="000773CC">
        <w:rPr>
          <w:szCs w:val="24"/>
        </w:rPr>
        <w:t xml:space="preserve"> je Komise povinna přijmout určitá nápravná opatření, jako je zjednodušení platných předpisů, zdokonalení systémů kontrol a přepracování programu nebo prováděcího rámce, pokud je chybovost při plnění rozpočtu EU dlouhodobě vysoká;</w:t>
      </w:r>
    </w:p>
    <w:p w14:paraId="1A0C50BF" w14:textId="77777777" w:rsidR="003B775C" w:rsidRPr="000773CC" w:rsidRDefault="003B775C" w:rsidP="000773CC">
      <w:pPr>
        <w:pStyle w:val="NormalHanging12a"/>
        <w:rPr>
          <w:szCs w:val="24"/>
        </w:rPr>
      </w:pPr>
      <w:r w:rsidRPr="000773CC">
        <w:rPr>
          <w:szCs w:val="24"/>
        </w:rPr>
        <w:t>S.</w:t>
      </w:r>
      <w:r w:rsidRPr="000773CC">
        <w:rPr>
          <w:szCs w:val="24"/>
        </w:rPr>
        <w:tab/>
        <w:t>vzhledem k tomu, že revidovaný alokační klíč s názvem „berlínský vzorec“ ve své současné podobě v příloze XXVI nařízení o společných ustanoveních, který přidává k HDP další významné prvky, dosud dostatečně neodráží rozdíly ve skutečnosti;</w:t>
      </w:r>
    </w:p>
    <w:p w14:paraId="65827F2F" w14:textId="77777777" w:rsidR="003B775C" w:rsidRPr="000773CC" w:rsidRDefault="003B775C" w:rsidP="000773CC">
      <w:pPr>
        <w:pStyle w:val="NormalHanging12a"/>
        <w:rPr>
          <w:szCs w:val="24"/>
        </w:rPr>
      </w:pPr>
      <w:r w:rsidRPr="000773CC">
        <w:rPr>
          <w:szCs w:val="24"/>
        </w:rPr>
        <w:t>T.</w:t>
      </w:r>
      <w:r w:rsidRPr="000773CC">
        <w:rPr>
          <w:szCs w:val="24"/>
        </w:rPr>
        <w:tab/>
        <w:t>vzhledem k tomu, že jakýkoli pokus Komise o zjednodušení politiky soudržnosti musí brát v úvahu, že změny stávajících prováděcích postupů mohou být zpočátku dodatečnou zátěží pro správní orgány a příjemce;</w:t>
      </w:r>
    </w:p>
    <w:p w14:paraId="5A561912" w14:textId="77777777" w:rsidR="003B775C" w:rsidRPr="000773CC" w:rsidRDefault="003B775C" w:rsidP="000773CC">
      <w:pPr>
        <w:pStyle w:val="NormalHanging12a"/>
        <w:rPr>
          <w:szCs w:val="24"/>
        </w:rPr>
      </w:pPr>
      <w:r w:rsidRPr="000773CC">
        <w:rPr>
          <w:szCs w:val="24"/>
        </w:rPr>
        <w:t>U.</w:t>
      </w:r>
      <w:r w:rsidRPr="000773CC">
        <w:rPr>
          <w:szCs w:val="24"/>
        </w:rPr>
        <w:tab/>
        <w:t>vzhledem k tomu, že základem každé reformy a zjednodušení politiky soudržnosti by měly zůstat sdílené řízení, zásada partnerství, víceúrovňová správa, subsidiarita a místně orientovaný přístup; vzhledem k tomu, že model sdíleného řízení se osvědčil jako základní pilíř politiky soudržnosti, který zajišťuje, aby finanční prostředky EU byly přizpůsobeny specifickým potřebám regionů a místních oblastí, a zároveň podporuje angažovanost a odpovědnost na všech úrovních správy; vzhledem k tomu, že rámec víceúrovňové správy posiluje spolupráci mezi EU, vnitrostátními, regionálními a místními orgány a zajišťuje, aby politiky byly navrhovány efektivně a prováděny způsobem, který odráží územní rozmanitost a maximalizuje dopad v praxi;</w:t>
      </w:r>
    </w:p>
    <w:p w14:paraId="340CB011" w14:textId="77777777" w:rsidR="003B775C" w:rsidRPr="000773CC" w:rsidRDefault="003B775C" w:rsidP="000773CC">
      <w:pPr>
        <w:pStyle w:val="NormalHanging12a"/>
        <w:rPr>
          <w:szCs w:val="24"/>
        </w:rPr>
      </w:pPr>
      <w:r w:rsidRPr="000773CC">
        <w:rPr>
          <w:szCs w:val="24"/>
        </w:rPr>
        <w:t>V.</w:t>
      </w:r>
      <w:r w:rsidRPr="000773CC">
        <w:rPr>
          <w:szCs w:val="24"/>
        </w:rPr>
        <w:tab/>
        <w:t>vzhledem k tomu, že zásada subsidiarity by mohla být při financování soudržnosti lépe uplatňována, například zavedením prahových hodnot, pod nimiž by bylo možné upustit od některých povinností a požadavků, jako je tomu u jiných fondů EU;</w:t>
      </w:r>
    </w:p>
    <w:p w14:paraId="65CB3E8F" w14:textId="77777777" w:rsidR="003B775C" w:rsidRPr="000773CC" w:rsidRDefault="003B775C" w:rsidP="000773CC">
      <w:pPr>
        <w:pStyle w:val="NormalHanging12a"/>
        <w:rPr>
          <w:szCs w:val="24"/>
        </w:rPr>
      </w:pPr>
      <w:r w:rsidRPr="000773CC">
        <w:rPr>
          <w:szCs w:val="24"/>
        </w:rPr>
        <w:t>W.</w:t>
      </w:r>
      <w:r w:rsidRPr="000773CC">
        <w:rPr>
          <w:szCs w:val="24"/>
        </w:rPr>
        <w:tab/>
        <w:t xml:space="preserve">vzhledem k tomu, že technická zjednodušení nástrojů územního rozvoje (jako jsou integrované územní investice a komunitně vedený místní rozvoj) již byla začleněna do rámce politiky soudržnosti na programové období 2021–2027, avšak malé projekty mají stále poměrně vyšší administrativní zátěž (pro příjemce) a administrativní náklady (pro programové orgány) než větší projekty; vzhledem k tomu, že je třeba řešit obavy Evropského účetního dvora týkající se komunitně vedeného místního rozvoje, zejména </w:t>
      </w:r>
      <w:r w:rsidRPr="000773CC">
        <w:rPr>
          <w:szCs w:val="24"/>
        </w:rPr>
        <w:lastRenderedPageBreak/>
        <w:t>neúměrné administrativní náklady ve srovnání s rozpočty místních akčních skupin;</w:t>
      </w:r>
    </w:p>
    <w:p w14:paraId="412BF19B" w14:textId="77777777" w:rsidR="003B775C" w:rsidRPr="000773CC" w:rsidRDefault="003B775C" w:rsidP="000773CC">
      <w:pPr>
        <w:pStyle w:val="NormalHanging12a"/>
        <w:rPr>
          <w:szCs w:val="24"/>
        </w:rPr>
      </w:pPr>
      <w:r w:rsidRPr="000773CC">
        <w:rPr>
          <w:szCs w:val="24"/>
        </w:rPr>
        <w:t>X.</w:t>
      </w:r>
      <w:r w:rsidRPr="000773CC">
        <w:rPr>
          <w:szCs w:val="24"/>
        </w:rPr>
        <w:tab/>
        <w:t>vzhledem k tomu, že s ohledem na současné geopolitické výzvy může politika soudržnosti hrát roli při rozvoji klíčové infrastruktury dvojího užití, která slouží civilním potřebám v dobách míru, a zároveň zvyšuje územní odolnost a reakci na krize, a vzhledem k tomu, že nové priority nemohou být na úkor snížení dlouhodobých investic do hospodářské, sociální a územní soudržnosti EU ani k němu nemohou vést;</w:t>
      </w:r>
    </w:p>
    <w:p w14:paraId="4DE0923D" w14:textId="77777777" w:rsidR="003B775C" w:rsidRPr="000773CC" w:rsidRDefault="003B775C" w:rsidP="000773CC">
      <w:pPr>
        <w:pStyle w:val="NormalHanging12a"/>
        <w:rPr>
          <w:szCs w:val="24"/>
        </w:rPr>
      </w:pPr>
      <w:r w:rsidRPr="000773CC">
        <w:rPr>
          <w:szCs w:val="24"/>
        </w:rPr>
        <w:t>Y.</w:t>
      </w:r>
      <w:r w:rsidRPr="000773CC">
        <w:rPr>
          <w:szCs w:val="24"/>
        </w:rPr>
        <w:tab/>
        <w:t>vzhledem k tomu, že politika soudržnosti soustavně prokazuje svou schopnost absorbovat a efektivně investovat téměř všechny prostředky EU, které na ni byly vyčleněny; vzhledem k tomu, že postupné zvyšování plateb ke konci programového období je nedílnou součástí víceletých programů, a proto lze realisticky očekávat podobně pozitivní výsledek i do konce stávajícího programového období;</w:t>
      </w:r>
    </w:p>
    <w:p w14:paraId="3B56FA37" w14:textId="77777777" w:rsidR="003B775C" w:rsidRPr="000773CC" w:rsidRDefault="003B775C" w:rsidP="000773CC">
      <w:pPr>
        <w:pStyle w:val="NormalHanging12a"/>
        <w:rPr>
          <w:szCs w:val="24"/>
        </w:rPr>
      </w:pPr>
      <w:r w:rsidRPr="000773CC">
        <w:rPr>
          <w:szCs w:val="24"/>
        </w:rPr>
        <w:t>Z.</w:t>
      </w:r>
      <w:r w:rsidRPr="000773CC">
        <w:rPr>
          <w:szCs w:val="24"/>
        </w:rPr>
        <w:tab/>
        <w:t>vzhledem k tomu, že by měla být zachována a posílena zásada jednotného auditu spolu s pravidelnými audity Komise a měla by být zavedena opatření k omezení duplicitních kontrol a auditů, které se překrývají s vnitrostátním dohledem na regionální, vnitrostátní a unijní úrovni u stejného projektu a příjemce, a to i zajištěním jednotného výkladu předpisů a minimalizací administrativní zátěže pro příjemce a řídící orgány;</w:t>
      </w:r>
    </w:p>
    <w:p w14:paraId="12C9D179" w14:textId="77777777" w:rsidR="003B775C" w:rsidRPr="000773CC" w:rsidRDefault="003B775C" w:rsidP="000773CC">
      <w:pPr>
        <w:pStyle w:val="NormalHanging12a"/>
        <w:rPr>
          <w:szCs w:val="24"/>
        </w:rPr>
      </w:pPr>
      <w:r w:rsidRPr="000773CC">
        <w:rPr>
          <w:szCs w:val="24"/>
        </w:rPr>
        <w:t>AA.</w:t>
      </w:r>
      <w:r w:rsidRPr="000773CC">
        <w:rPr>
          <w:szCs w:val="24"/>
        </w:rPr>
        <w:tab/>
        <w:t>vzhledem k tomu, že zásada řádného finančního řízení vyžaduje nezávislé auditorské postupy, aby bylo zajištěno dodržování pravidel EU; vzhledem k tomu, že spoléhání se pouze na vnitrostátní dohled může vést k rozdílům v prosazování a monitorování, a tím narušovat jednotné uplatňování finančních kontrol ve všech členských státech a v konečném důsledku ohrozit ochranu finančních zájmů EU;</w:t>
      </w:r>
    </w:p>
    <w:p w14:paraId="6375B8FD" w14:textId="71236E7C" w:rsidR="003B775C" w:rsidRPr="000773CC" w:rsidRDefault="00A80FD8" w:rsidP="000773CC">
      <w:pPr>
        <w:pStyle w:val="NormalHanging12a"/>
        <w:rPr>
          <w:bCs/>
          <w:iCs/>
          <w:szCs w:val="24"/>
        </w:rPr>
      </w:pPr>
      <w:r>
        <w:rPr>
          <w:szCs w:val="24"/>
        </w:rPr>
        <w:t>A</w:t>
      </w:r>
      <w:r w:rsidR="003B775C" w:rsidRPr="000773CC">
        <w:rPr>
          <w:szCs w:val="24"/>
        </w:rPr>
        <w:t>B.</w:t>
      </w:r>
      <w:r w:rsidR="003B775C" w:rsidRPr="000773CC">
        <w:rPr>
          <w:szCs w:val="24"/>
        </w:rPr>
        <w:tab/>
        <w:t>vzhledem k tomu, že zajištění spolehlivých mechanismů auditu je zásadní pro zachování odpovědnosti, sledovatelnosti a účinnosti při využívání finančních prostředků EU, což pomáhá předcházet podvodům, špatnému hospodaření a nesrovnalostem ve vnitrostátních systémech dohledu;</w:t>
      </w:r>
    </w:p>
    <w:p w14:paraId="3646BE4B" w14:textId="77527AC3" w:rsidR="003B775C" w:rsidRPr="000773CC" w:rsidRDefault="00A80FD8" w:rsidP="000773CC">
      <w:pPr>
        <w:pStyle w:val="NormalHanging12a"/>
        <w:rPr>
          <w:bCs/>
          <w:iCs/>
          <w:szCs w:val="24"/>
        </w:rPr>
      </w:pPr>
      <w:r>
        <w:rPr>
          <w:szCs w:val="24"/>
        </w:rPr>
        <w:t>A</w:t>
      </w:r>
      <w:r w:rsidR="003B775C" w:rsidRPr="000773CC">
        <w:rPr>
          <w:szCs w:val="24"/>
        </w:rPr>
        <w:t>C.</w:t>
      </w:r>
      <w:r w:rsidR="003B775C" w:rsidRPr="000773CC">
        <w:rPr>
          <w:szCs w:val="24"/>
        </w:rPr>
        <w:tab/>
        <w:t>vzhledem k tomu, že politika soudržnosti musí zůstat odolná vůči podvodům, korupci a veškerým pokusům o odklon jejích finančních prostředků od původního poslání a dohodnutých programových priorit směrem k investicím sloužícím konkrétním osobním nebo stranickým politickým zájmům; vzhledem k tomu, že za tímto účelem musí být posíleny podmínky a vestavěné mechanismy pro prevenci, odhalování a nápravu nesrovnalostí, včetně podvodů; vzhledem k tomu, že zásadní význam má řádné uplatňování zásady partnerství, požadavků na transparentnost a politik boje proti podvodům;</w:t>
      </w:r>
    </w:p>
    <w:p w14:paraId="52FF0ACD" w14:textId="323C8473" w:rsidR="003B775C" w:rsidRPr="000773CC" w:rsidRDefault="00A80FD8" w:rsidP="000773CC">
      <w:pPr>
        <w:pStyle w:val="NormalHanging12a"/>
        <w:rPr>
          <w:bCs/>
          <w:iCs/>
          <w:szCs w:val="24"/>
        </w:rPr>
      </w:pPr>
      <w:r>
        <w:rPr>
          <w:szCs w:val="24"/>
        </w:rPr>
        <w:t>A</w:t>
      </w:r>
      <w:r w:rsidR="003B775C" w:rsidRPr="000773CC">
        <w:rPr>
          <w:szCs w:val="24"/>
        </w:rPr>
        <w:t>D.</w:t>
      </w:r>
      <w:r w:rsidR="003B775C" w:rsidRPr="000773CC">
        <w:rPr>
          <w:szCs w:val="24"/>
        </w:rPr>
        <w:tab/>
        <w:t>vzhledem k tomu, že překrývající se priority mezi Nástrojem pro oživení a odolnost a politikou soudržnosti odhalují roztříštěnost financování EU a zdůrazňují potřebu zjednodušeného a konzistentního přístupu;</w:t>
      </w:r>
    </w:p>
    <w:p w14:paraId="1D4E4639" w14:textId="56B2021F" w:rsidR="003B775C" w:rsidRPr="000773CC" w:rsidRDefault="00A80FD8" w:rsidP="000773CC">
      <w:pPr>
        <w:pStyle w:val="NormalHanging12a"/>
        <w:rPr>
          <w:bCs/>
          <w:iCs/>
          <w:szCs w:val="24"/>
        </w:rPr>
      </w:pPr>
      <w:r>
        <w:rPr>
          <w:szCs w:val="24"/>
        </w:rPr>
        <w:t>A</w:t>
      </w:r>
      <w:r w:rsidR="003B775C" w:rsidRPr="000773CC">
        <w:rPr>
          <w:szCs w:val="24"/>
        </w:rPr>
        <w:t>E.</w:t>
      </w:r>
      <w:r w:rsidR="003B775C" w:rsidRPr="000773CC">
        <w:rPr>
          <w:szCs w:val="24"/>
        </w:rPr>
        <w:tab/>
        <w:t>vzhledem k tomu, že článek 20 nařízení o společných ustanoveních již umožňuje aktivaci dočasných opatření z důvodu výjimečných nebo neobvyklých okolností;</w:t>
      </w:r>
    </w:p>
    <w:p w14:paraId="5EE8B3D3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1.</w:t>
      </w:r>
      <w:r w:rsidRPr="000773CC">
        <w:rPr>
          <w:szCs w:val="24"/>
        </w:rPr>
        <w:tab/>
        <w:t xml:space="preserve">zdůrazňuje klíčovou úlohu, kterou politika soudržnosti plnila v posledních pěti letech při řešení vícerozměrných mimořádných událostí a socioekonomických výzev, a to způsobem, který je flexibilní a posiluje solidaritu mezi členskými státy; domnívá se však, že neustálé změny regulačního rámce oslabují její strategické zaměření; </w:t>
      </w:r>
      <w:r w:rsidRPr="000773CC">
        <w:rPr>
          <w:szCs w:val="24"/>
        </w:rPr>
        <w:lastRenderedPageBreak/>
        <w:t>zdůrazňuje, že je třeba zachovat vysoké ambice, pokud jde o dlouhodobé investice, a místně orientované zaměření a priority, dodržovat zásadu „nepoškozovat soudržnost“ a zaměřit se na růst, tvorbu pracovních míst a sociální služby, aby bylo možné čelit výzvám spojeným s nerovnostmi mezi regiony EU, na zlepšení kvality života, spravedlivou, ekologickou a digitální transformací, vytváření kvalitních pracovních míst, vymýcení chudoby, se zaměřením na dětskou chudobu, a krizi v oblasti bydlení;</w:t>
      </w:r>
    </w:p>
    <w:p w14:paraId="20478B8F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2.</w:t>
      </w:r>
      <w:r w:rsidRPr="000773CC">
        <w:rPr>
          <w:szCs w:val="24"/>
        </w:rPr>
        <w:tab/>
        <w:t>varuje před systematickým přesměrováváním finančních prostředků z politiky soudržnosti na reakci na krize, neboť to podkopává jejich hlavní cíl, kterým je posílení hospodářské, územní a sociální soudržnosti EU, snižování regionálních rozdílů a podpora udržitelného rozvoje, neboť finanční prostředky jsou pro tento účel omezené; vyzývá k tomu, aby byl v rámci rozpočtu EU vytvořen stálý, posílený a specializovaný nástroj pro mimořádné situace, který by zajistil rychlou a koordinovanou reakci na budoucí krize, aniž by byla ohrožena strukturální integrita politiky soudržnosti, a zajistilo, že tato politika bude využívána pro účel jejích hlavních cílů;</w:t>
      </w:r>
    </w:p>
    <w:p w14:paraId="73C1A19F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3.</w:t>
      </w:r>
      <w:r w:rsidRPr="000773CC">
        <w:rPr>
          <w:szCs w:val="24"/>
        </w:rPr>
        <w:tab/>
        <w:t>trvá na tom, že veškeré budoucí reformy musí podporovat sdílené řízení, víceúrovňovou správu a místně orientované zaměření, aby byla zajištěna účinnost; dále vyzývá k vytvoření moderní, decentralizované a posílené politiky soudržnosti, která by se zaměřovala především na lidi a byla podpořena silnými partnerstvími na všech úrovních, neboť je to s ohledem na rostoucí geopolitické výzvy nezbytné pro zachování a podporu jednoty EU; trvá na závazném uplatňování zásady partnerské spolupráce, jak je uvedeno v článku 8 nařízení o společných ustanoveních, a na důsledném ověřování tohoto jejího uplatňování ze strany Komise;</w:t>
      </w:r>
    </w:p>
    <w:p w14:paraId="66624533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4.</w:t>
      </w:r>
      <w:r w:rsidRPr="000773CC">
        <w:rPr>
          <w:szCs w:val="24"/>
        </w:rPr>
        <w:tab/>
        <w:t>bere na vědomí důležitá zjednodušující opatření, která již byla zavedena v programovém období 2021–2027, a to zejména posílené digitální nástroje pro elektronickou soudržnost, širší harmonizaci pravidel napříč více fondy, větší flexibilitu při řízení programů a zjednodušení pravidel způsobilosti; zdůrazňuje, že je třeba přejít od hybridní a papírové administrativy k plně digitálním procesům, čím se posílí efektivita a usnadní elektronická komunikace mezi příjemci a řídicími orgány; domnívá se, že několik faktorů, včetně pracovní zátěže vyplývající ze zpoždění v plánování finančního období 2021–2027, častých změn předpisů v průběhu tohoto období, složitých víceúrovňových nařízení o auditu a kontrolách, a </w:t>
      </w:r>
      <w:proofErr w:type="spellStart"/>
      <w:r w:rsidRPr="000773CC">
        <w:rPr>
          <w:szCs w:val="24"/>
        </w:rPr>
        <w:t>gold-platingu</w:t>
      </w:r>
      <w:proofErr w:type="spellEnd"/>
      <w:r w:rsidRPr="000773CC">
        <w:rPr>
          <w:szCs w:val="24"/>
        </w:rPr>
        <w:t>, kdy jsou příjemci zatěžování nad rámec požadavků EU, toto úsilí o zjednodušení brzdilo;</w:t>
      </w:r>
    </w:p>
    <w:p w14:paraId="630599DB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5.</w:t>
      </w:r>
      <w:r w:rsidRPr="000773CC">
        <w:rPr>
          <w:szCs w:val="24"/>
        </w:rPr>
        <w:tab/>
        <w:t>zdůrazňuje, že digitalizace řízení, podávání zpráv, monitorování a auditu finančních prostředků EU má zásadní význam pro zlepšení přístupu potenciálních příjemců a zefektivnění a zprůhlednění řízení těchto prostředků;</w:t>
      </w:r>
    </w:p>
    <w:p w14:paraId="68EC48B6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6.</w:t>
      </w:r>
      <w:r w:rsidRPr="000773CC">
        <w:rPr>
          <w:szCs w:val="24"/>
        </w:rPr>
        <w:tab/>
        <w:t>zdůrazňuje, že zjednodušení by mělo být v politice soudržnosti jednou z hlavních zásad; zdůrazňuje, že úsilí o zjednodušení se musí zaměřit především na snížení zátěže příjemců, usnadnění jejich přístupu k finančním prostředkům, snížení administrativní práce a odstranění zbytečné duplicity procesů; v této souvislosti vyzývá členské státy, aby zabránily „</w:t>
      </w:r>
      <w:proofErr w:type="spellStart"/>
      <w:r w:rsidRPr="000773CC">
        <w:rPr>
          <w:szCs w:val="24"/>
        </w:rPr>
        <w:t>gold-platingu</w:t>
      </w:r>
      <w:proofErr w:type="spellEnd"/>
      <w:r w:rsidRPr="000773CC">
        <w:rPr>
          <w:szCs w:val="24"/>
        </w:rPr>
        <w:t>“ – přidávání zbytečných vnitrostátních pravidel k požadavkům EU – vedoucímu k další zátěži pro příjemce; konstatuje, že provádění pravidel týkajících se státní podpory ve všech členských státech může v některých případech dále zvýšit složitost, a zdůrazňuje, že dalšími faktory, jež přispěly ke zpožděním, bylo překrývání programových období 2014–2020 a 2021–2027, jakož i zřízení Nástroje pro oživení a odolnost;</w:t>
      </w:r>
    </w:p>
    <w:p w14:paraId="4BAE6C5F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lastRenderedPageBreak/>
        <w:t>7.</w:t>
      </w:r>
      <w:r w:rsidRPr="000773CC">
        <w:rPr>
          <w:szCs w:val="24"/>
        </w:rPr>
        <w:tab/>
        <w:t>zdůrazňuje, že klíčem k zajištění lepšího provádění politiky soudržnosti je její zjednodušená regulace; domnívá se, že pozdní přijetí odvětvových právních předpisů a zdlouhavý proces přijímání programových dokumentů vedly v předchozích programových obdobích ke zpožděním při provádění, a vyzývá proto Komisi, aby včas předložila návrhy na období financování 2028–2034, aby tak mohly být regionální programy schváleny neprodleně po zahájení příštího VFR; doporučuje prověřit, zda by bylo možné z nařízení o společných ustanoveních odstranit některé technické předpisy a požadavky a začlenit je do souboru pokynů nebo do příručky, aby se tak na straně řídících orgánů a příjemců vytvořila jistota a zažily běžně postupy; připomíná, že nedostatek jistoty, pokud jde o provádění nástrojů financování, často vede správní orgány v souladu se zásadou obezřetnosti k tomu, že se přiklánějí k restriktivnějšímu výkladu nejasných ustanovení;</w:t>
      </w:r>
    </w:p>
    <w:p w14:paraId="7D8054D2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8.</w:t>
      </w:r>
      <w:r w:rsidRPr="000773CC">
        <w:rPr>
          <w:szCs w:val="24"/>
        </w:rPr>
        <w:tab/>
        <w:t>vyjadřuje znepokojení nad nedostatečnou doplňkovostí ve financování EU, kdy období 2021–2027 existovalo více než 50 víceletých programů, a nad rostoucím podílem – v současné době 40 % – programů, které jsou centrálně řízeny v rámci stávajícího VFR, a domnívá se, že celkový rozpočet určený na politiku soudržnosti by měl být zachován nebo dokonce navýšen, aby bylo možné odpovídajícím způsobem uspokojit budoucí investiční potřeby; zdůrazňuje, že je třeba účinně koordinovat financování poskytované EU a členskými státy, a poukazuje na to, že jakýkoli budoucí regulační rámec musí zahrnovat důkladné posouzení jeho administrativního dopadu; vyzývá Komisi, aby podporovala osvědčené postupy a posuzovala vnitrostátní systémy členských států a aby přijala opatření k odstranění postupů, které vedou ke zbytečné složitosti; znovu potvrzuje zásadní úlohu evropských strukturálních a investičních fondů při snižování regionálních rozdílů a zlepšování územní dostupnosti a propojení, zejména ve znevýhodněných oblastech, jako jsou venkovské, ostrovní, horské, nejvzdálenější a východní příhraniční regiony;</w:t>
      </w:r>
    </w:p>
    <w:p w14:paraId="3F42F41A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9.</w:t>
      </w:r>
      <w:r w:rsidRPr="000773CC">
        <w:rPr>
          <w:szCs w:val="24"/>
        </w:rPr>
        <w:tab/>
        <w:t>vyzývá Komisi, aby v nadcházejících návrzích na zjednodušení koncepce nové politiky soudržnosti prosazovala a uplatňovala decentralizovaný přístup zdola nahoru a zajistila povinné konzultace a zapojení místních a regionálních orgánů a partnerů, jak stanoví články 3 a 4 evropského kodexu chování pro partnerskou spolupráci, a to i pokud jde o organizace občanské společností a malé a střední podniky;</w:t>
      </w:r>
    </w:p>
    <w:p w14:paraId="069B4E02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10.</w:t>
      </w:r>
      <w:r w:rsidRPr="000773CC">
        <w:rPr>
          <w:szCs w:val="24"/>
        </w:rPr>
        <w:tab/>
        <w:t xml:space="preserve">domnívá se, že lepší koordinace mezi finančními prostředky, které by byly spravovány pomocí jasnějšího, soudržnějšího, koordinovanějšího a harmonizovanějšího rámce pro různé prostředky v rámci politiky soudržnosti, by mohla připravit podmínky pro účinnější a flexibilnější politiku soudržnosti, včetně jednotného souboru pravidel a jedné auditní stopy pro provádění, monitorování a kontrolu; domnívá se, že jednotné a integrované IT rozhraní pro příjemce v každém členském státě, které by pokrývalo všechny fáze programového cyklu a umožňovalo by jednoduchou elektronickou výměnu údajů a dokumentů za podpory automatizovaného nástroje pro podávání zpráv a na základě důkladného posouzení dopadů, by mohlo v tomto ohledu přinést přidanou hodnotu a zvýšit transparentnost tím, že bude poskytovat pravidelné a snadno dostupné aktualizace výsledků projektů v rámci politiky soudržnosti; domnívá se, že je třeba se vyhnout vytváření nových, malých samostatných fondů, aby se nepodporovala další roztříštěnost nástrojů financování a vytváření paralelních struktur; domnívá se, že fondy, </w:t>
      </w:r>
      <w:proofErr w:type="spellStart"/>
      <w:r w:rsidRPr="000773CC">
        <w:rPr>
          <w:szCs w:val="24"/>
        </w:rPr>
        <w:t>defragmentované</w:t>
      </w:r>
      <w:proofErr w:type="spellEnd"/>
      <w:r w:rsidRPr="000773CC">
        <w:rPr>
          <w:szCs w:val="24"/>
        </w:rPr>
        <w:t xml:space="preserve"> co do působnosti a rozsahu, mohou být v některých případech účinnější při provádění řešení strategických výzev EU;</w:t>
      </w:r>
    </w:p>
    <w:p w14:paraId="0F0C5DEC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11.</w:t>
      </w:r>
      <w:r w:rsidRPr="000773CC">
        <w:rPr>
          <w:szCs w:val="24"/>
        </w:rPr>
        <w:tab/>
        <w:t xml:space="preserve">uznává potenciál, který by v rámci příští revize po roce 2027 mělo vytvoření jednotné </w:t>
      </w:r>
      <w:r w:rsidRPr="000773CC">
        <w:rPr>
          <w:szCs w:val="24"/>
        </w:rPr>
        <w:lastRenderedPageBreak/>
        <w:t>evropské platformy, jež by byla integrována s národními platformami a umožnila by příjemcům, zejména malým příjemcům, rychlý přístup k různým finančním prostředkům EU; je přesvědčen, že Komise a členské státy by měly prostřednictvím této platformy příjemcům poskytovat veškeré informace nezbytné pro přístup k finančním prostředkům EU, přičemž tato platforma současně zajistí výměnu údajů o konečných příjemcích finančních prostředků v reálném čase, včetně lepšího shromažďování údajů a vytvoření společných monitorovacích přehledů napříč programy politiky soudržnosti; domnívá se, že to může být nezbytné pro zlepšení přijetí na straně příjemců a jejich informovanosti a že platforma by mohla mít potenciál, pokud jde o zvýšení transparentnosti, předcházení dvojímu financování a posílení finanční kontroly, včetně odhalování podvodů;</w:t>
      </w:r>
    </w:p>
    <w:p w14:paraId="687BED3D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12.</w:t>
      </w:r>
      <w:r w:rsidRPr="000773CC">
        <w:rPr>
          <w:szCs w:val="24"/>
        </w:rPr>
        <w:tab/>
        <w:t>trvá na tom, že všechny nové informační systémy nebo jiné digitální platformy zavedené v programovém období po roce 2027 by měly přispět ke zefektivnění žádostí o shromažďování údajů a neměly by pro žadatele vytvářet další nebo opakované požadavky na údaje;</w:t>
      </w:r>
    </w:p>
    <w:p w14:paraId="75493A70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13.</w:t>
      </w:r>
      <w:r w:rsidRPr="000773CC">
        <w:rPr>
          <w:szCs w:val="24"/>
        </w:rPr>
        <w:tab/>
        <w:t>zdůrazňuje však, že větší flexibilita by neměla být na úkor dlouhodobého strategického plánování a stability investic do soudržnosti a neměla by vést k finanční nejistotě a větší složitosti pro konečné příjemce; vyzývá k zajištění toho, aby veškeré úpravy priorit financování v během programového období po roce 2027 zůstaly v souladu s cíli regionálního rozvoje;</w:t>
      </w:r>
    </w:p>
    <w:p w14:paraId="1553CF81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14.</w:t>
      </w:r>
      <w:r w:rsidRPr="000773CC">
        <w:rPr>
          <w:szCs w:val="24"/>
        </w:rPr>
        <w:tab/>
        <w:t xml:space="preserve">znovu vyjadřuje podporu novému nařízení </w:t>
      </w:r>
      <w:proofErr w:type="spellStart"/>
      <w:r w:rsidRPr="000773CC">
        <w:rPr>
          <w:szCs w:val="24"/>
        </w:rPr>
        <w:t>BRIDGEforEU</w:t>
      </w:r>
      <w:proofErr w:type="spellEnd"/>
      <w:r w:rsidRPr="000773CC">
        <w:rPr>
          <w:szCs w:val="24"/>
        </w:rPr>
        <w:t xml:space="preserve"> a zdůrazňuje, že je třeba dosáhnout dalšího zjednodušení, zejména v přeshraničních programech, a to pomocí řešení uzpůsobených konkrétním potřebám, která zohledňují specifické hospodářské, sociální a geopolitické výzvy, jimž přeshraniční regiony čelí; zdůrazňuje, že politika soudržnosti musí nadále podporovat a zjednodušovat přeshraniční, nadnárodní a meziregionální spolupráci;</w:t>
      </w:r>
    </w:p>
    <w:p w14:paraId="4B4C423B" w14:textId="06085102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15.</w:t>
      </w:r>
      <w:r w:rsidRPr="000773CC">
        <w:rPr>
          <w:szCs w:val="24"/>
        </w:rPr>
        <w:tab/>
        <w:t>domnívá se, že začleňování genderového hlediska a jeho integraci je třeba v příštím rámci politiky soudržnosti podporovat v průběhu všech fází navrhování programů a jejich provádění; vyzývá k tomu, aby všechny členské státy důsledněji používaly nástroj pro sledování genderového rozpočtování, a zdůrazňuje, že zjednodušující opatření nesmí oslabit úsilí o začleňování genderového hlediska;</w:t>
      </w:r>
    </w:p>
    <w:p w14:paraId="4795BE61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16.</w:t>
      </w:r>
      <w:r w:rsidRPr="000773CC">
        <w:rPr>
          <w:szCs w:val="24"/>
        </w:rPr>
        <w:tab/>
        <w:t>domnívá se, že stávající definice „podniku v obtížích“ vytváří pro organizace nepřiměřenou zátěž a představuje zbytečnou komplikaci pro inovace a konkurenceschopnost, jakož i pro potenciální konečné příjemce prostředků z fondů soudržnosti, a proto by měla být revidována;</w:t>
      </w:r>
    </w:p>
    <w:p w14:paraId="56B56D1F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17.</w:t>
      </w:r>
      <w:r w:rsidRPr="000773CC">
        <w:rPr>
          <w:szCs w:val="24"/>
        </w:rPr>
        <w:tab/>
        <w:t>poukazuje na to, že aktivní a povinné zapojení místních a regionálních orgánů do přípravy, plánování, provádění, monitorování a hodnocení projektů v oblastech, které spravují, je základním předpokladem úspěšného a odpovídajícího zjednodušení; zdůrazňuje, že hrozí, že bez silného partnerství s místní a regionální úrovní a bez posílení její správní kapacity se politika soudržnosti stane příliš centralizovaným procesem, který bude mít jen velmi malý dopad na vyvážený rozvoj evropských regionů;</w:t>
      </w:r>
    </w:p>
    <w:p w14:paraId="09282EF5" w14:textId="081862DE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18.</w:t>
      </w:r>
      <w:r w:rsidRPr="000773CC">
        <w:rPr>
          <w:szCs w:val="24"/>
        </w:rPr>
        <w:tab/>
        <w:t xml:space="preserve">vyzývá Komisi, aby zvážila možnost začlenit posouzení územního a správního dopadu do evropského semestru; zdůrazňuje, že evropský semestr by měl být v souladu s cíli </w:t>
      </w:r>
      <w:r w:rsidRPr="000773CC">
        <w:rPr>
          <w:szCs w:val="24"/>
        </w:rPr>
        <w:lastRenderedPageBreak/>
        <w:t>politiky soudržnosti podle článků 174 a 175 S</w:t>
      </w:r>
      <w:r w:rsidR="000773CC">
        <w:rPr>
          <w:szCs w:val="24"/>
        </w:rPr>
        <w:t xml:space="preserve">mlouvy o fungování </w:t>
      </w:r>
      <w:r w:rsidRPr="000773CC">
        <w:rPr>
          <w:szCs w:val="24"/>
        </w:rPr>
        <w:t>EU, a vyzývá k účasti regionů na plnění těchto cílů a k důraznějšímu územnímu přístupu; zdůrazňuje, že regionální HDP na obyvatele musí zůstat hlavním kritériem pro určení přídělů členských států v rámci politiky soudržnosti, a domnívá se, že regionální HDP na obyvatele by mohl být případně doplněn dalšími regionálními socioekonomickými ukazateli (např. sociálními, demografickými atd.), které by přesněji odrážely sociálně-ekonomickou situaci regionů, a to s cílem dále snižovat sociální a územní rozdíly – mj.</w:t>
      </w:r>
      <w:r w:rsidR="000773CC" w:rsidRPr="000773CC">
        <w:rPr>
          <w:szCs w:val="24"/>
        </w:rPr>
        <w:t> </w:t>
      </w:r>
      <w:r w:rsidRPr="000773CC">
        <w:rPr>
          <w:szCs w:val="24"/>
        </w:rPr>
        <w:t>i</w:t>
      </w:r>
      <w:r w:rsidR="000773CC" w:rsidRPr="000773CC">
        <w:rPr>
          <w:szCs w:val="24"/>
        </w:rPr>
        <w:t> </w:t>
      </w:r>
      <w:r w:rsidRPr="000773CC">
        <w:rPr>
          <w:szCs w:val="24"/>
        </w:rPr>
        <w:t>v rámci regionů – a umožnit účinnější cílené investice tam, kde jsou nejvíce zapotřebí;</w:t>
      </w:r>
    </w:p>
    <w:p w14:paraId="659E27AC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19.</w:t>
      </w:r>
      <w:r w:rsidRPr="000773CC">
        <w:rPr>
          <w:szCs w:val="24"/>
        </w:rPr>
        <w:tab/>
        <w:t>domnívá se, že vnitrostátní kontaktní místa (NKM) z programů přímého řízení by měla být začleněna do vnitrostátního a regionálního plánovaní prostředků z politiky soudržnosti a rozvoje venkova, aby se tak podpořila součinnost a posílilo budování kapacit napříč centrálně a společně řízenými programy fungujícími na stejných územích a ve stejných oblastech politiky;</w:t>
      </w:r>
    </w:p>
    <w:p w14:paraId="7F64D3F0" w14:textId="10832684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20.</w:t>
      </w:r>
      <w:r w:rsidRPr="000773CC">
        <w:rPr>
          <w:szCs w:val="24"/>
        </w:rPr>
        <w:tab/>
        <w:t>vybízí k využívání nástrojů integrovaného regionálního rozvoje, jako jsou integrované územní investice a komunitně vedený místní rozvoj, a navrhuje prozkoumat možnosti, jak zvýšit rozpočtový příděl politiky soudržnosti na integrované územní investice, komunitně vedený místní rozvoj nebo jiné územní nástroje pro všechny regiony, mj.</w:t>
      </w:r>
      <w:r w:rsidR="000773CC" w:rsidRPr="000773CC">
        <w:rPr>
          <w:szCs w:val="24"/>
        </w:rPr>
        <w:t> </w:t>
      </w:r>
      <w:r w:rsidRPr="000773CC">
        <w:rPr>
          <w:szCs w:val="24"/>
        </w:rPr>
        <w:t>s přihlédnutím ke specifickým potřebám venkovských a odlehlých oblastí a východních příhraničních regionů EU, se zaměřením na projekty schopné účinně řešit skutečné územní potřeby; doporučuje prozkoumat návrhy na řešení problémů a technickou pomoc při provádění strategií a zrání studií; domnívá se, že rostoucí počet iniciativ integrovaného územního rozvoje – v rámci politiky soudržnosti a politiky rozvoje venkova i mimo ně – často postrádá konkrétní vazby na evropské strukturální a investiční fondy, což může omezovat jejich trvalý dopad;</w:t>
      </w:r>
    </w:p>
    <w:p w14:paraId="5A2391F3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21.</w:t>
      </w:r>
      <w:r w:rsidRPr="000773CC">
        <w:rPr>
          <w:szCs w:val="24"/>
        </w:rPr>
        <w:tab/>
        <w:t>staví se proti jakékoli formě centralizace plánování politiky soudržnosti shora dolů nebo reformě spočívající v přenesení této politiky na národní úroveň a znovu opakuje, že jejími základními hlavními zásadami by měly zůstat víceúrovňová správa, subsidiarita, sdílené řízení a místně orientovaný přístup; domnívá se, že ačkoli byl Nástroj pro oživení a odolnost navržen tak, aby poskytoval rychlou reakci na hospodářské problémy, jeho provádění se potýkalo se značnými obtížemi, včetně nízké míry čerpání, zpoždění při vyplácení prostředků a nedostatečné transparentnosti procesu přidělování; uznává nicméně, že v rámci Nástroje pro oživení a odolnost bylo dosaženo určitého pozitivního vývoje, zejména pokud jde o zavedení ekologických investičních standardů a zásady „významně nepoškozovat“; poukazuje na skutečnost, že v případě programů v rámci přímého řízení finanční prostředky, které jsou členským státům vypláceny, neodráží nutně množství a význam stanovených milníků a cílů;</w:t>
      </w:r>
    </w:p>
    <w:p w14:paraId="21A3098C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22.</w:t>
      </w:r>
      <w:r w:rsidRPr="000773CC">
        <w:rPr>
          <w:szCs w:val="24"/>
        </w:rPr>
        <w:tab/>
        <w:t>zdůrazňuje, že centralizovaný model odhalil několik nedostatků, zejména pokud jde o sledovatelnost, odpovědnost, účinnost a dlouhodobý dopad financování EU</w:t>
      </w:r>
      <w:r w:rsidRPr="000773CC">
        <w:rPr>
          <w:bCs/>
          <w:iCs/>
          <w:szCs w:val="24"/>
          <w:vertAlign w:val="superscript"/>
        </w:rPr>
        <w:footnoteReference w:id="15"/>
      </w:r>
      <w:r w:rsidRPr="000773CC">
        <w:rPr>
          <w:szCs w:val="24"/>
        </w:rPr>
        <w:t xml:space="preserve">; zdůrazňuje, že mezi tyto nedostatky patří nedostatečné zapojení místních a regionálních orgánů a občanské společnosti, zpoždění, omezená transparentnost a riziko nedokončení opatření; varuje, že neexistence spolehlivých monitorovacích mechanismů a jasných požadavků na audit může ohrozit důvěryhodnost a dlouhodobý dopad finančních nástrojů EU; požaduje přísnější dohled nad vyplácením prostředků a ověřenými </w:t>
      </w:r>
      <w:r w:rsidRPr="000773CC">
        <w:rPr>
          <w:szCs w:val="24"/>
        </w:rPr>
        <w:lastRenderedPageBreak/>
        <w:t>výsledky a jejich větší provázanost, aby se zajistilo, že finanční prostředky EU přinesou občanům a sociálním a hospodářským subjektům hmatatelný prospěch; zdůrazňuje, že víceúrovňová správa umožňuje rozvoj řešení přizpůsobených konkrétním potřebám pro všechny regiony, a zdůrazňuje význam inkluzivních procesů společného navrhování, do nichž jsou zapojeny místní a regionální orgány;</w:t>
      </w:r>
    </w:p>
    <w:p w14:paraId="06B1F36A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23.</w:t>
      </w:r>
      <w:r w:rsidRPr="000773CC">
        <w:rPr>
          <w:szCs w:val="24"/>
        </w:rPr>
        <w:tab/>
        <w:t xml:space="preserve">nesouhlasí s myšlenkou jednotného vnitrostátního programu, protože dostatečně nezapojuje místní a regionální orgány a je vzdálen realitě v terénu a protože by ohrozil nebo dokonce vyloučil schopnost politiky soudržnosti zohlednit rozdílné potřeby odvětvových politik a cíle a zvláštnosti </w:t>
      </w:r>
      <w:proofErr w:type="spellStart"/>
      <w:r w:rsidRPr="000773CC">
        <w:rPr>
          <w:szCs w:val="24"/>
        </w:rPr>
        <w:t>makroregionálních</w:t>
      </w:r>
      <w:proofErr w:type="spellEnd"/>
      <w:r w:rsidRPr="000773CC">
        <w:rPr>
          <w:szCs w:val="24"/>
        </w:rPr>
        <w:t>, celostátních, regionálních nebo místních nástrojů; trvá na tom, že využívání místně orientovaných programů řízených z regionální úrovně NUTS 2</w:t>
      </w:r>
      <w:r w:rsidRPr="000773CC">
        <w:rPr>
          <w:rStyle w:val="FootnoteReference"/>
          <w:bCs/>
          <w:iCs/>
          <w:szCs w:val="24"/>
        </w:rPr>
        <w:footnoteReference w:id="16"/>
      </w:r>
      <w:r w:rsidRPr="000773CC">
        <w:rPr>
          <w:szCs w:val="24"/>
        </w:rPr>
        <w:t xml:space="preserve"> bylo v minulosti klíčové pro řešení skutečných potřeb v terénu a účinné snižování regionálních sociálně-ekonomických rozdílů, a proto musí být i v budoucnu základem politiky soudržnosti;</w:t>
      </w:r>
    </w:p>
    <w:p w14:paraId="73D3DBC8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24.</w:t>
      </w:r>
      <w:r w:rsidRPr="000773CC">
        <w:rPr>
          <w:szCs w:val="24"/>
        </w:rPr>
        <w:tab/>
        <w:t xml:space="preserve">zdůrazňuje význam spolupráce, výměny znalostí a budování kapacit místních a regionálních orgánů, včetně investic do jejich technických a administrativních kapacit; upozorňuje na to, že bez silného partnerství s místními a regionálními orgány hrozí, že se politika soudržnosti stane příliš centralizovanou a méně účinnou při podpoře vyváženého regionálního rozvoje; zdůrazňuje, že úsilí o zjednodušení by mělo podporovat úlohu místních a regionálních orgánů, které mají zásadní význam pro úspěšné provádění projektů financovaných EU, zejména v rámci Evropského fondu pro regionální rozvoj (EFRR), Fondu soudržnosti a programů </w:t>
      </w:r>
      <w:proofErr w:type="spellStart"/>
      <w:r w:rsidRPr="000773CC">
        <w:rPr>
          <w:szCs w:val="24"/>
        </w:rPr>
        <w:t>Interreg</w:t>
      </w:r>
      <w:proofErr w:type="spellEnd"/>
      <w:r w:rsidRPr="000773CC">
        <w:rPr>
          <w:szCs w:val="24"/>
        </w:rPr>
        <w:t>; zdůrazňuje, že posílení zapojení místních a regionálních orgánů, a to i ve fázi plánování, je klíčem k zajištění účinnosti, územního vlivu a odolnosti politiky soudržnosti; vyzývá k vyváženému přístupu, který zjednoduší postupy a zároveň zachová víceúrovňovou správu a územní přidanou hodnotu zapojení místních a regionálních orgánů;</w:t>
      </w:r>
    </w:p>
    <w:p w14:paraId="21A3834A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25.</w:t>
      </w:r>
      <w:r w:rsidRPr="000773CC">
        <w:rPr>
          <w:szCs w:val="24"/>
        </w:rPr>
        <w:tab/>
        <w:t>uznává, že mechanismy založené na výkonnosti mohou napomáhat zefektivnění politiky soudržnosti a jejímu většímu zaměření na výsledky; varuje však před striktním nebo univerzálním zavedením tohoto modelu v souvislosti s programovým obdobím 2028–2034; zdůrazňuje, že tyto mechanismy sice mohou zlepšovat účinnost, zároveň však musí zohledňovat specifika různých výdajových odvětví a různorodost konečných příjemců, zejména v oblastech, jako je výzkum, sociální politika a místní infrastruktura, kde krátkodobé měřitelné výsledky nemusí plně odpovídat tomu, jaký bude dlouhodobý dopad;</w:t>
      </w:r>
    </w:p>
    <w:p w14:paraId="18F07CA3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26.</w:t>
      </w:r>
      <w:r w:rsidRPr="000773CC">
        <w:rPr>
          <w:szCs w:val="24"/>
        </w:rPr>
        <w:tab/>
        <w:t>zdůrazňuje, že stávající modely založené na výkonnosti se často opírají o centralizované řídící struktury, což může bránit schopnosti regionálních a místních orgánů účinně řešit konkrétní územní potřeby; zdůrazňuje, že budoucí uplatňování modelů založených na výkonnosti by v žádném případě nemělo být na úkor hlavních zásad politiky soudržnosti, jako je víceúrovňová správa, subsidiarita a místně orientovaný přístup, a musí být doprovázeno výrazně silnějšími zárukami pro zajištění řádného řízení finančních prostředků EU;</w:t>
      </w:r>
    </w:p>
    <w:p w14:paraId="5CEA2905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27.</w:t>
      </w:r>
      <w:r w:rsidRPr="000773CC">
        <w:rPr>
          <w:szCs w:val="24"/>
        </w:rPr>
        <w:tab/>
        <w:t xml:space="preserve">vyzývá Komisi, aby přijala flexibilní a vyvážený rámec financování, který bude kombinovat financování založené na výsledcích a tradiční financování založené na </w:t>
      </w:r>
      <w:r w:rsidRPr="000773CC">
        <w:rPr>
          <w:szCs w:val="24"/>
        </w:rPr>
        <w:lastRenderedPageBreak/>
        <w:t>nákladech a který umožní řešení přizpůsobená místním podmínkám; podporuje větší využívání paušálních plateb na základě milníků, jako je tomu v rámci programu Kreativní Evropa, přičemž je třeba zajistit, aby si regionální a místní orgány zachovaly autonomii potřebnou k provádění politiky soudržnosti;</w:t>
      </w:r>
    </w:p>
    <w:p w14:paraId="1E347A50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28.</w:t>
      </w:r>
      <w:r w:rsidRPr="000773CC">
        <w:rPr>
          <w:szCs w:val="24"/>
        </w:rPr>
        <w:tab/>
        <w:t>domnívá se, že zaváděním modelů založených na výkonnosti by neměly být poškozeny zejména orgány, organizace občanské společnosti a malé a střední podniky, a to hlavně kvůli jejich omezeným finančním zdrojům, které mají v průměru k dispozici na předběžné financování opatření nebo na vyrovnání případných ztrát v případě nedosažení cílů;</w:t>
      </w:r>
    </w:p>
    <w:p w14:paraId="5E450C34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29.</w:t>
      </w:r>
      <w:r w:rsidRPr="000773CC">
        <w:rPr>
          <w:szCs w:val="24"/>
        </w:rPr>
        <w:tab/>
        <w:t>uvědomuje si, že problémy s likviditou odrazují potenciální příjemce, včetně místních orgánů, kteří v některých členských státech trpí nedostatkem fiskální a rozpočtové autonomie, od podávání žádostí o projekty financované v rámci politiky soudržnosti; vyzývá proto k tomu, aby bylo v zájmu rychlého vyplácení prostředků z fondů politiky soudržnost předběžné financování v takových případech a také ve venkovských, přeshraničních a ostrovních oblastech výrazně a </w:t>
      </w:r>
      <w:proofErr w:type="spellStart"/>
      <w:r w:rsidRPr="000773CC">
        <w:rPr>
          <w:szCs w:val="24"/>
        </w:rPr>
        <w:t>individualizovaně</w:t>
      </w:r>
      <w:proofErr w:type="spellEnd"/>
      <w:r w:rsidRPr="000773CC">
        <w:rPr>
          <w:szCs w:val="24"/>
        </w:rPr>
        <w:t xml:space="preserve"> navýšeno a aby se rovněž zjednodušila pravidla spolufinancování;</w:t>
      </w:r>
    </w:p>
    <w:p w14:paraId="19F20920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30.</w:t>
      </w:r>
      <w:r w:rsidRPr="000773CC">
        <w:rPr>
          <w:szCs w:val="24"/>
        </w:rPr>
        <w:tab/>
        <w:t>vítá návrh Komise předložený v návaznosti na přezkum v polovině období týkající se politiky soudržnosti na období 2021–2027, aby programy v rámci cíle „Investice pro zaměstnanost a růst“ realizované v regionech NUTS 2, které mají hranice s Ruskem, Běloruskem nebo Ukrajinou, mohly využít možnosti jednorázového 9,5% předběžného financování prostředků přidělených z programu a 100% financování ze strany EU; naléhavě vyzývá Komisi, aby navrhla další opatření na řešení potřeb východních pohraničních regionů EU;</w:t>
      </w:r>
    </w:p>
    <w:p w14:paraId="37FD6E0A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31.</w:t>
      </w:r>
      <w:r w:rsidRPr="000773CC">
        <w:rPr>
          <w:szCs w:val="24"/>
        </w:rPr>
        <w:tab/>
        <w:t>vyjadřuje znepokojení nad pravidelnými zprávami zúčastněných stran o nedostatečném uplatňování horizontálních zásad členskými státy při přípravě dohod o partnerství; navrhuje začlenit revidovaný evropský kodex chování pro partnerskou spolupráci přímo do nařízení o společných ustanoveních, aby byla zajištěna jeho závazná povaha a aby se vztahoval na programy přímého řízení s územním dopadem; vyzývá Komisi, aby důsledně prosazovala uplatňování zásady partnerství a prozkoumala opatření k posílení pravomocí Parlamentu v oblasti dohledu a monitorování dohod o partnerství a programů; vyzývá Komisi k zajištění toho, aby členské státy vykonávaly pravidelný dohled, a to i nad partnery během monitorování a výběru odborníků, s cílem zaručit způsobilost a předcházet podvodům;</w:t>
      </w:r>
    </w:p>
    <w:p w14:paraId="16946C03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32.</w:t>
      </w:r>
      <w:r w:rsidRPr="000773CC">
        <w:rPr>
          <w:szCs w:val="24"/>
        </w:rPr>
        <w:tab/>
        <w:t xml:space="preserve">připomíná, že je důležité důsledně uplatňovat finanční pravidla EU ve všech programech a na všechny příjemce, aby se zabránilo veškerým formám podvodů, střetů zájmů, korupce, dvojího financování a praní peněz; vyzývá Komisi a členské státy, aby navrhly další opatření, která by předcházela a zabránila dvojímu financování, poskytla více příležitostí pro integrované projekty, zajistila interoperabilitu nástrojů pro vytěžování údajů a minimalizovala povinnosti řídicích orgánů týkající se uchovávání údajů; znovu vyzývá Komisi, aby učinila používání nástrojů IT, jako je systém včasného odhalování rizik a vylučování hospodářských subjektů (EDES) a ARACHNE, povinným pro všechny fondy EU, včetně těch se sdíleným řízením, a aby zajistila lepší využívání nových technologií s cílem rozšířit kontroly a chránit rozpočet EU před podvody a zneužíváním finančních prostředků; zdůrazňuje, že je nezbytné zajistit rovnováhu mezi zjednodušením a ochranou rozpočtu EU; připomíná, že úsilí o zjednodušení musí být v souladu se zásadami řádné správy, zadávání veřejných </w:t>
      </w:r>
      <w:r w:rsidRPr="000773CC">
        <w:rPr>
          <w:szCs w:val="24"/>
        </w:rPr>
        <w:lastRenderedPageBreak/>
        <w:t>zakázek a kontroly, které jsou zásadní pro zajištění dodržování sociálních a environmentálních podmínek, a také se zásadou právního státu;</w:t>
      </w:r>
    </w:p>
    <w:p w14:paraId="57007080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33.</w:t>
      </w:r>
      <w:r w:rsidRPr="000773CC">
        <w:rPr>
          <w:szCs w:val="24"/>
        </w:rPr>
        <w:tab/>
        <w:t>žádá, aby Komise zadala studie o synergii mezi fondy soudržnosti a odvětvovými programy, jak to učinila v případě programu Horizont Evropa;</w:t>
      </w:r>
    </w:p>
    <w:p w14:paraId="46E8CE4B" w14:textId="457899CA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34.</w:t>
      </w:r>
      <w:r w:rsidRPr="000773CC">
        <w:rPr>
          <w:szCs w:val="24"/>
        </w:rPr>
        <w:tab/>
        <w:t>vyzývá k zajištění toho, aby regionální a místní orgány a také města a městské orgány měly k finančním prostředkům EU přímější přístup, mimo jiné tím, že se rozšíří využívání integrovaných územních investic a i nadále budou podporovány projekty zaměřené na sociální a hospodářské partnery; vyzývá Komisi, aby prozkoumala další možnosti, jak zajistit, aby místní a regionální orgány, občanská společnost a další příjemci mohli i nadále využívat finanční prostředky EU v případech porušování zásad právního státu vládou příslušného státu, aniž by bylo oslabeno uplatňování nařízení o podmíněnosti dodržováním zásad právního státu</w:t>
      </w:r>
      <w:r w:rsidRPr="000773CC">
        <w:rPr>
          <w:rStyle w:val="FootnoteReference"/>
          <w:bCs/>
          <w:iCs/>
          <w:szCs w:val="24"/>
        </w:rPr>
        <w:footnoteReference w:id="17"/>
      </w:r>
      <w:r w:rsidRPr="000773CC">
        <w:rPr>
          <w:szCs w:val="24"/>
        </w:rPr>
        <w:t>; zdůrazňuje, že finanční prostředky nesmí být přerozdělovány na jiné programy, aby byla zachována integrita rozhodnutí o pozastavení, dokud nebude dosaženo jeho cílů a dokud nebudou splněny všechny podmínky přístupu k financování;</w:t>
      </w:r>
    </w:p>
    <w:p w14:paraId="6C3EED62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35.</w:t>
      </w:r>
      <w:r w:rsidRPr="000773CC">
        <w:rPr>
          <w:szCs w:val="24"/>
        </w:rPr>
        <w:tab/>
        <w:t>dále vybízí ke zřízení stálé poradenské sítě, která by ve spolupráci s již existujícími programy a strukturami obcím pomáhala orientovat se ve složitostech provádění politiky soudržnosti;</w:t>
      </w:r>
    </w:p>
    <w:p w14:paraId="4525B626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36.</w:t>
      </w:r>
      <w:r w:rsidRPr="000773CC">
        <w:rPr>
          <w:szCs w:val="24"/>
        </w:rPr>
        <w:tab/>
        <w:t>vítá nástroje, jako je evropský soubor nástrojů pro venkovské oblasti, jehož cílem je provést příjemce dostupnými programy; zdůrazňuje však, že potřeba těchto jednotných kontaktních míst poukazuje na přílišnou složitost současných struktur, které zůstávají pro mnoho příjemců, zejména pro malé orgány veřejné správy, nedostupné;</w:t>
      </w:r>
    </w:p>
    <w:p w14:paraId="52C998DC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37.</w:t>
      </w:r>
      <w:r w:rsidRPr="000773CC">
        <w:rPr>
          <w:szCs w:val="24"/>
        </w:rPr>
        <w:tab/>
        <w:t>zdůrazňuje, že je naléhavě nutné zvýšit investice do budování účinné a přiměřené administrativní kapacity, a to prostřednictvím vyčleněných finančních zdrojů a technické pomoci, zejména pro místní a regionální orgány – včetně těch v ostrovních a odlehlých oblastech – se zvláštním zaměřením na regiony s historicky nízkou mírou čerpání, s cílem podpořit decentralizované a účinné řízení a provádění fondů EU;</w:t>
      </w:r>
    </w:p>
    <w:p w14:paraId="1AFA0D96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38.</w:t>
      </w:r>
      <w:r w:rsidRPr="000773CC">
        <w:rPr>
          <w:szCs w:val="24"/>
        </w:rPr>
        <w:tab/>
        <w:t>vyzývá k posílení nástrojů technické pomoci v rámci politiky soudržnosti, jako jsou nástroje vyvinuté ve spolupráci mezi Evropskou investiční bankou a Komisí na podporu kapacit strategického plánování územních investic, jakož i cílené poradenské podpory pro stanovování, plánování a přípravu projektů; uznává stěžejní úlohu finančních nástrojů, pokud jde o podporu konkurenceschopnosti ve všech regionech EU a využití soukromých i veřejných prostředků;</w:t>
      </w:r>
    </w:p>
    <w:p w14:paraId="05E7E8EC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39.</w:t>
      </w:r>
      <w:r w:rsidRPr="000773CC">
        <w:rPr>
          <w:szCs w:val="24"/>
        </w:rPr>
        <w:tab/>
        <w:t xml:space="preserve">zdůrazňuje, že úspěch politiky soudržnosti závisí na progresivních a inkluzivních strategiích, řádném zapojení zúčastněných stran a občanské společnosti a řádné správě věcí veřejných; uvědomuje si, že je třeba podporovat přístupy k řízení založené na výsledcích, včetně používání měřitelných ukazatelů a modelů teorie změn pro hodnocení programů; zdůrazňuje, že je důležité vyčlenit zvláštní zdroje na budování kapacit sociálních partnerů a na posílení úlohy organizací občanské společnosti při </w:t>
      </w:r>
      <w:r w:rsidRPr="000773CC">
        <w:rPr>
          <w:szCs w:val="24"/>
        </w:rPr>
        <w:lastRenderedPageBreak/>
        <w:t>řádné správě a provádění fondů EU;</w:t>
      </w:r>
    </w:p>
    <w:p w14:paraId="2CDF4668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40.</w:t>
      </w:r>
      <w:r w:rsidRPr="000773CC">
        <w:rPr>
          <w:szCs w:val="24"/>
        </w:rPr>
        <w:tab/>
        <w:t>žádá Komisi, aby v novém rámci státní podpory navrhla další zjednodušení uplatňování pravidel státní podpory v případě meziodvětvového financování souvisejícího se soudržností, které kombinuje finanční prostředky EU a vnitrostátní finanční prostředky (např. při vícezdrojovém financování v rámci Evropského sociálního fondu plus a EFRR), s cílem snížit chybovost a administrativní zátěž na celostátní a regionální úrovni a zároveň zvýšit účinnost investic v rámci politiky soudržnosti v praxi a zabránit narušení trhu; vyzývá Komisi, aby prozkoumala, zda programy se sdíleným řízením by v jistých případech mohly využívat podobných výjimek z pravidel státní podpory jako programy v rámci přímého řízení, jako je Horizont Evropa nebo Nástroj pro propojení Evropy;</w:t>
      </w:r>
    </w:p>
    <w:p w14:paraId="0C9CBEC1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41.</w:t>
      </w:r>
      <w:r w:rsidRPr="000773CC">
        <w:rPr>
          <w:szCs w:val="24"/>
        </w:rPr>
        <w:tab/>
        <w:t>naléhavě vyzývá Komisi, aby v souvislosti s nadcházející revizí evropské směrnice o veřejných zakázkách</w:t>
      </w:r>
      <w:r w:rsidRPr="000773CC">
        <w:rPr>
          <w:rStyle w:val="FootnoteReference"/>
          <w:bCs/>
          <w:iCs/>
          <w:szCs w:val="24"/>
        </w:rPr>
        <w:footnoteReference w:id="18"/>
      </w:r>
      <w:r w:rsidRPr="000773CC">
        <w:rPr>
          <w:szCs w:val="24"/>
        </w:rPr>
        <w:t xml:space="preserve"> dále podporovala využívání sociální doložky a kolektivního vyjednávání; zdůrazňuje, že veřejní zadavatelé musí z veřejných zakázek vyloučit hospodářské subjekty, které se zapojily do trestné činnosti; vyzývá k tomu, aby pravidla upravující politiku soudržnosti umožňovala přidělování veřejných prostředků pouze těm podnikům, které dodržují práva pracovníků a platná pravidla upravující pracovní podmínky;</w:t>
      </w:r>
    </w:p>
    <w:p w14:paraId="744EA3B7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42.</w:t>
      </w:r>
      <w:r w:rsidRPr="000773CC">
        <w:rPr>
          <w:szCs w:val="24"/>
        </w:rPr>
        <w:tab/>
        <w:t>domnívá se, že by měla být posílena zásada jednotného auditu, a připomíná, že v praxi závisí uplatňování přístupu jednotného auditu na důkladné a spolehlivé auditní práci prováděné auditními orgány v členských státech; zdůrazňuje, že v příští politice soudržnosti by měl být zaveden revidovaný, posílený a jednotný přístup k auditům a kontrolám a že tento přístup by měl usilovat o snížení míry chyb i podvodů posílením preventivních kontrol (ex ante) na začátku rozpočtového období, aby se snížily nedostatky a rizika kontrol; zdůrazňuje, že je důležité sladit tento přístup s doporučeními Evropského účetního dvora, zejména pokud jde o posílení finančního řízení, zlepšení účinnosti výdajů a zajištění toho, aby se neopakovaly chyby zjištěné v předchozích programových obdobích;</w:t>
      </w:r>
    </w:p>
    <w:p w14:paraId="07EB86C4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43.</w:t>
      </w:r>
      <w:r w:rsidRPr="000773CC">
        <w:rPr>
          <w:szCs w:val="24"/>
        </w:rPr>
        <w:tab/>
        <w:t>vyzývá k jednotnějšímu výkladu předpisů ze strany auditních orgánů v celé EU a ve všech fondech a zasazuje se o auditní strategii více založenou na rizicích s cílem zabránit zbytečnému zdvojování a zároveň zajistit účinný finanční dohled a předcházení podvodům; zdůrazňuje, že programy prováděné členskými státy, na které se vztahuje mechanismus podmíněnosti dodržováním zásad právního státu nebo postup podle článku 7 nebo které se neúčastní spolupráce s Úřadem evropského veřejného žalobce, musí být podrobeny přísnější kontrole;</w:t>
      </w:r>
    </w:p>
    <w:p w14:paraId="719DB43D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44.</w:t>
      </w:r>
      <w:r w:rsidRPr="000773CC">
        <w:rPr>
          <w:szCs w:val="24"/>
        </w:rPr>
        <w:tab/>
        <w:t xml:space="preserve">vyzývá Komisi, aby navrhla standardizaci a širší využívání zjednodušeného vykazování nákladů a financování, které není spojeno s náklady, a zdůrazňuje jejich klíčovou úlohu při snižování administrativní zátěže, snižování míry chyb a zlepšování plnění; doporučuje rozšířit tyto mechanismy, zejména tím, že se zjednoduší požadavky na zadávání veřejných zakázek, ověřování a audit; zdůrazňuje jejich užitečnost v situacích, kdy jsou cíle jasně ověřitelné, zejména pro menší příjemce, jako jsou místní orgány, organizace občanské společnosti a místní akční skupiny, nebo v rámci projektů </w:t>
      </w:r>
      <w:r w:rsidRPr="000773CC">
        <w:rPr>
          <w:szCs w:val="24"/>
        </w:rPr>
        <w:lastRenderedPageBreak/>
        <w:t>zahrnujících mikropodniky a subjekty sociální ekonomiky, pokud jde o snižování byrokracie a urychlení provádění; vyzývá Komisi, aby prozkoumala možnosti zavedení zjednodušených postupů podávání zpráv a auditů pro místní orgány s méně než 100 000 obyvateli a pro příjemce, kteří se nacházejí ve venkovských oblastech, na ostrovech a v nejvzdálenějších regionech EU, s cílem dosáhnout rovnováhy mezi zjednodušením a řádným finančním řízením;</w:t>
      </w:r>
    </w:p>
    <w:p w14:paraId="4A187A5A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45.</w:t>
      </w:r>
      <w:r w:rsidRPr="000773CC">
        <w:rPr>
          <w:szCs w:val="24"/>
        </w:rPr>
        <w:tab/>
        <w:t>domnívá se, že je nezbytné změnit přístup k auditům a kontrolám tím, že se u finančních oprav upustí od používání statistické extrapolace s cílem jasně rozlišovat mezi neúmyslnými chybami a podvody, aby se zajistilo, že se tyto opravy zaměří pouze na případy systémových nesrovnalostí a úmyslného podvodu, a aby se zabránilo nadměrné pracovní zátěži nebo finanční zátěži pro příjemce a řídicí orgány; zdůrazňuje, že administrativní a finanční zátěž spojená s finanční kontrolou a auditní činností, jakož i následná opatření by měly být vždy úměrné objemu finančních prostředků a souvisejícím rizikům;</w:t>
      </w:r>
    </w:p>
    <w:p w14:paraId="281AA1A5" w14:textId="77777777" w:rsidR="003B775C" w:rsidRPr="000773CC" w:rsidRDefault="003B775C" w:rsidP="000773CC">
      <w:pPr>
        <w:pStyle w:val="NormalHanging12a"/>
        <w:rPr>
          <w:bCs/>
          <w:iCs/>
          <w:szCs w:val="24"/>
        </w:rPr>
      </w:pPr>
      <w:r w:rsidRPr="000773CC">
        <w:rPr>
          <w:szCs w:val="24"/>
        </w:rPr>
        <w:t>46.</w:t>
      </w:r>
      <w:r w:rsidRPr="000773CC">
        <w:rPr>
          <w:szCs w:val="24"/>
        </w:rPr>
        <w:tab/>
        <w:t>vyzývá Komisi, aby prozkoumala různé možnosti zvýšení doplňkovosti mezi fondy EU, mimo jiné prostřednictvím opětovného začlenění intervencí EZFRV v oblasti komunitního a místního rozvoje do nařízení o společných ustanoveních;</w:t>
      </w:r>
    </w:p>
    <w:p w14:paraId="20B7ED57" w14:textId="7F78B360" w:rsidR="00A777B8" w:rsidRPr="000773CC" w:rsidRDefault="003B775C" w:rsidP="000773CC">
      <w:pPr>
        <w:pStyle w:val="NormalHanging12a"/>
        <w:rPr>
          <w:szCs w:val="24"/>
        </w:rPr>
      </w:pPr>
      <w:r w:rsidRPr="000773CC">
        <w:rPr>
          <w:szCs w:val="24"/>
        </w:rPr>
        <w:t>47.</w:t>
      </w:r>
      <w:r w:rsidRPr="000773CC">
        <w:rPr>
          <w:szCs w:val="24"/>
        </w:rPr>
        <w:tab/>
        <w:t>pověřuje svou předsedkyni, aby předala toto usnesení Radě, Komisi, Evropskému účetnímu dvoru, Evropskému hospodářskému a sociálnímu výboru, Výboru regionů a vnitrostátním a regionálním parlamentům členských států.</w:t>
      </w:r>
    </w:p>
    <w:p w14:paraId="12940AF4" w14:textId="273CE07C" w:rsidR="00E365E1" w:rsidRPr="000773CC" w:rsidRDefault="00E365E1" w:rsidP="00B01E01">
      <w:pPr>
        <w:spacing w:after="240"/>
        <w:ind w:left="567" w:hanging="567"/>
        <w:rPr>
          <w:szCs w:val="24"/>
        </w:rPr>
      </w:pPr>
    </w:p>
    <w:sectPr w:rsidR="00E365E1" w:rsidRPr="000773CC" w:rsidSect="00A777B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37F341" w14:textId="77777777" w:rsidR="006924BE" w:rsidRPr="00A777B8" w:rsidRDefault="006924BE">
      <w:r w:rsidRPr="00A777B8">
        <w:separator/>
      </w:r>
    </w:p>
  </w:endnote>
  <w:endnote w:type="continuationSeparator" w:id="0">
    <w:p w14:paraId="06D29CA9" w14:textId="77777777" w:rsidR="006924BE" w:rsidRPr="00A777B8" w:rsidRDefault="006924BE">
      <w:r w:rsidRPr="00A777B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65C9C" w14:textId="77777777" w:rsidR="00064002" w:rsidRPr="00A777B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CD00AC" w14:textId="77777777" w:rsidR="00064002" w:rsidRPr="00A777B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A8A7" w14:textId="77777777" w:rsidR="00064002" w:rsidRPr="00A777B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1FFB87" w14:textId="77777777" w:rsidR="006924BE" w:rsidRPr="00A777B8" w:rsidRDefault="006924BE">
      <w:r w:rsidRPr="00A777B8">
        <w:separator/>
      </w:r>
    </w:p>
  </w:footnote>
  <w:footnote w:type="continuationSeparator" w:id="0">
    <w:p w14:paraId="26EF4E47" w14:textId="77777777" w:rsidR="006924BE" w:rsidRPr="00A777B8" w:rsidRDefault="006924BE">
      <w:r w:rsidRPr="00A777B8">
        <w:continuationSeparator/>
      </w:r>
    </w:p>
  </w:footnote>
  <w:footnote w:id="1">
    <w:p w14:paraId="17DBBBA0" w14:textId="0DCD19DA" w:rsidR="003B775C" w:rsidRPr="00A80FD8" w:rsidRDefault="003B775C" w:rsidP="00A777B8">
      <w:pPr>
        <w:pStyle w:val="FootnoteText"/>
        <w:ind w:left="567" w:hanging="567"/>
        <w:rPr>
          <w:sz w:val="24"/>
          <w:szCs w:val="24"/>
          <w:lang w:val="cs-CZ"/>
        </w:rPr>
      </w:pPr>
      <w:r w:rsidRPr="00A80FD8">
        <w:rPr>
          <w:rStyle w:val="FootnoteReference"/>
          <w:sz w:val="24"/>
          <w:szCs w:val="24"/>
          <w:lang w:val="cs-CZ"/>
        </w:rPr>
        <w:footnoteRef/>
      </w:r>
      <w:r w:rsidR="00A777B8" w:rsidRPr="00A80FD8">
        <w:rPr>
          <w:sz w:val="24"/>
          <w:szCs w:val="24"/>
          <w:lang w:val="cs-CZ"/>
        </w:rPr>
        <w:t xml:space="preserve"> </w:t>
      </w:r>
      <w:r w:rsidR="00A777B8" w:rsidRPr="00A80FD8">
        <w:rPr>
          <w:sz w:val="24"/>
          <w:szCs w:val="24"/>
          <w:lang w:val="cs-CZ"/>
        </w:rPr>
        <w:tab/>
      </w:r>
      <w:proofErr w:type="spellStart"/>
      <w:r w:rsidRPr="00A80FD8">
        <w:rPr>
          <w:sz w:val="24"/>
          <w:szCs w:val="24"/>
          <w:lang w:val="cs-CZ"/>
        </w:rPr>
        <w:t>Úř</w:t>
      </w:r>
      <w:proofErr w:type="spellEnd"/>
      <w:r w:rsidRPr="00A80FD8">
        <w:rPr>
          <w:sz w:val="24"/>
          <w:szCs w:val="24"/>
          <w:lang w:val="cs-CZ"/>
        </w:rPr>
        <w:t xml:space="preserve">. </w:t>
      </w:r>
      <w:proofErr w:type="spellStart"/>
      <w:r w:rsidRPr="00A80FD8">
        <w:rPr>
          <w:sz w:val="24"/>
          <w:szCs w:val="24"/>
          <w:lang w:val="cs-CZ"/>
        </w:rPr>
        <w:t>věst</w:t>
      </w:r>
      <w:proofErr w:type="spellEnd"/>
      <w:r w:rsidRPr="00A80FD8">
        <w:rPr>
          <w:sz w:val="24"/>
          <w:szCs w:val="24"/>
          <w:lang w:val="cs-CZ"/>
        </w:rPr>
        <w:t xml:space="preserve">. L 231, 30.6.2021, s. 159, ELI: </w:t>
      </w:r>
      <w:hyperlink r:id="rId1" w:history="1">
        <w:r w:rsidRPr="00A80FD8">
          <w:rPr>
            <w:rStyle w:val="Hyperlink"/>
            <w:sz w:val="24"/>
            <w:szCs w:val="24"/>
            <w:lang w:val="cs-CZ"/>
          </w:rPr>
          <w:t>http://data.europa.eu/eli/reg/2021/1060/oj</w:t>
        </w:r>
      </w:hyperlink>
      <w:r w:rsidRPr="00A80FD8">
        <w:rPr>
          <w:sz w:val="24"/>
          <w:szCs w:val="24"/>
          <w:lang w:val="cs-CZ"/>
        </w:rPr>
        <w:t>.</w:t>
      </w:r>
    </w:p>
  </w:footnote>
  <w:footnote w:id="2">
    <w:p w14:paraId="63B99F99" w14:textId="1EC002E9" w:rsidR="003B775C" w:rsidRPr="00A80FD8" w:rsidRDefault="003B775C" w:rsidP="00A777B8">
      <w:pPr>
        <w:pStyle w:val="FootnoteText"/>
        <w:ind w:left="567" w:hanging="567"/>
        <w:rPr>
          <w:sz w:val="24"/>
          <w:szCs w:val="24"/>
          <w:lang w:val="cs-CZ"/>
        </w:rPr>
      </w:pPr>
      <w:r w:rsidRPr="00A80FD8">
        <w:rPr>
          <w:rStyle w:val="FootnoteReference"/>
          <w:sz w:val="24"/>
          <w:szCs w:val="24"/>
          <w:lang w:val="cs-CZ"/>
        </w:rPr>
        <w:footnoteRef/>
      </w:r>
      <w:r w:rsidR="00A777B8" w:rsidRPr="00A80FD8">
        <w:rPr>
          <w:sz w:val="24"/>
          <w:szCs w:val="24"/>
          <w:lang w:val="cs-CZ"/>
        </w:rPr>
        <w:t xml:space="preserve"> </w:t>
      </w:r>
      <w:r w:rsidR="00A777B8" w:rsidRPr="00A80FD8">
        <w:rPr>
          <w:sz w:val="24"/>
          <w:szCs w:val="24"/>
          <w:lang w:val="cs-CZ"/>
        </w:rPr>
        <w:tab/>
      </w:r>
      <w:proofErr w:type="spellStart"/>
      <w:r w:rsidRPr="00A80FD8">
        <w:rPr>
          <w:sz w:val="24"/>
          <w:szCs w:val="24"/>
          <w:lang w:val="cs-CZ"/>
        </w:rPr>
        <w:t>Úř</w:t>
      </w:r>
      <w:proofErr w:type="spellEnd"/>
      <w:r w:rsidRPr="00A80FD8">
        <w:rPr>
          <w:sz w:val="24"/>
          <w:szCs w:val="24"/>
          <w:lang w:val="cs-CZ"/>
        </w:rPr>
        <w:t xml:space="preserve">. </w:t>
      </w:r>
      <w:proofErr w:type="spellStart"/>
      <w:r w:rsidRPr="00A80FD8">
        <w:rPr>
          <w:sz w:val="24"/>
          <w:szCs w:val="24"/>
          <w:lang w:val="cs-CZ"/>
        </w:rPr>
        <w:t>věst</w:t>
      </w:r>
      <w:proofErr w:type="spellEnd"/>
      <w:r w:rsidRPr="00A80FD8">
        <w:rPr>
          <w:sz w:val="24"/>
          <w:szCs w:val="24"/>
          <w:lang w:val="cs-CZ"/>
        </w:rPr>
        <w:t xml:space="preserve">. L 231, 30.6.2021, s. 60, ELI: </w:t>
      </w:r>
      <w:hyperlink r:id="rId2" w:history="1">
        <w:r w:rsidRPr="00A80FD8">
          <w:rPr>
            <w:rStyle w:val="Hyperlink"/>
            <w:sz w:val="24"/>
            <w:szCs w:val="24"/>
            <w:lang w:val="cs-CZ"/>
          </w:rPr>
          <w:t>http://data.europa.eu/eli/reg/2021/1058/oj</w:t>
        </w:r>
      </w:hyperlink>
      <w:r w:rsidRPr="00A80FD8">
        <w:rPr>
          <w:sz w:val="24"/>
          <w:szCs w:val="24"/>
          <w:lang w:val="cs-CZ"/>
        </w:rPr>
        <w:t>.</w:t>
      </w:r>
    </w:p>
  </w:footnote>
  <w:footnote w:id="3">
    <w:p w14:paraId="632C8C71" w14:textId="71A5C814" w:rsidR="003B775C" w:rsidRPr="00A80FD8" w:rsidRDefault="003B775C" w:rsidP="00A777B8">
      <w:pPr>
        <w:pStyle w:val="FootnoteText"/>
        <w:ind w:left="567" w:hanging="567"/>
        <w:rPr>
          <w:sz w:val="24"/>
          <w:szCs w:val="24"/>
          <w:lang w:val="cs-CZ"/>
        </w:rPr>
      </w:pPr>
      <w:r w:rsidRPr="00A80FD8">
        <w:rPr>
          <w:rStyle w:val="FootnoteReference"/>
          <w:sz w:val="24"/>
          <w:szCs w:val="24"/>
          <w:lang w:val="cs-CZ"/>
        </w:rPr>
        <w:footnoteRef/>
      </w:r>
      <w:r w:rsidR="00A777B8" w:rsidRPr="00A80FD8">
        <w:rPr>
          <w:sz w:val="24"/>
          <w:szCs w:val="24"/>
          <w:lang w:val="cs-CZ"/>
        </w:rPr>
        <w:t xml:space="preserve"> </w:t>
      </w:r>
      <w:r w:rsidR="00A777B8" w:rsidRPr="00A80FD8">
        <w:rPr>
          <w:sz w:val="24"/>
          <w:szCs w:val="24"/>
          <w:lang w:val="cs-CZ"/>
        </w:rPr>
        <w:tab/>
      </w:r>
      <w:proofErr w:type="spellStart"/>
      <w:r w:rsidRPr="00A80FD8">
        <w:rPr>
          <w:sz w:val="24"/>
          <w:szCs w:val="24"/>
          <w:lang w:val="cs-CZ"/>
        </w:rPr>
        <w:t>Úř</w:t>
      </w:r>
      <w:proofErr w:type="spellEnd"/>
      <w:r w:rsidRPr="00A80FD8">
        <w:rPr>
          <w:sz w:val="24"/>
          <w:szCs w:val="24"/>
          <w:lang w:val="cs-CZ"/>
        </w:rPr>
        <w:t xml:space="preserve">. </w:t>
      </w:r>
      <w:proofErr w:type="spellStart"/>
      <w:r w:rsidRPr="00A80FD8">
        <w:rPr>
          <w:sz w:val="24"/>
          <w:szCs w:val="24"/>
          <w:lang w:val="cs-CZ"/>
        </w:rPr>
        <w:t>věst</w:t>
      </w:r>
      <w:proofErr w:type="spellEnd"/>
      <w:r w:rsidRPr="00A80FD8">
        <w:rPr>
          <w:sz w:val="24"/>
          <w:szCs w:val="24"/>
          <w:lang w:val="cs-CZ"/>
        </w:rPr>
        <w:t xml:space="preserve">. L 231, 30.6.2021, s. 1, ELI: </w:t>
      </w:r>
      <w:hyperlink r:id="rId3" w:history="1">
        <w:r w:rsidRPr="00A80FD8">
          <w:rPr>
            <w:rStyle w:val="Hyperlink"/>
            <w:sz w:val="24"/>
            <w:szCs w:val="24"/>
            <w:lang w:val="cs-CZ"/>
          </w:rPr>
          <w:t>http://data.europa.eu/eli/reg/2021/1056/oj</w:t>
        </w:r>
      </w:hyperlink>
      <w:r w:rsidRPr="00A80FD8">
        <w:rPr>
          <w:sz w:val="24"/>
          <w:szCs w:val="24"/>
          <w:lang w:val="cs-CZ"/>
        </w:rPr>
        <w:t>.</w:t>
      </w:r>
    </w:p>
  </w:footnote>
  <w:footnote w:id="4">
    <w:p w14:paraId="3F14BF6A" w14:textId="238CC71B" w:rsidR="003B775C" w:rsidRPr="00A80FD8" w:rsidRDefault="003B775C" w:rsidP="00A777B8">
      <w:pPr>
        <w:pStyle w:val="FootnoteText"/>
        <w:ind w:left="567" w:hanging="567"/>
        <w:rPr>
          <w:sz w:val="24"/>
          <w:szCs w:val="24"/>
          <w:lang w:val="cs-CZ"/>
        </w:rPr>
      </w:pPr>
      <w:r w:rsidRPr="00A80FD8">
        <w:rPr>
          <w:rStyle w:val="FootnoteReference"/>
          <w:sz w:val="24"/>
          <w:szCs w:val="24"/>
          <w:lang w:val="cs-CZ"/>
        </w:rPr>
        <w:footnoteRef/>
      </w:r>
      <w:r w:rsidR="00A777B8" w:rsidRPr="00A80FD8">
        <w:rPr>
          <w:sz w:val="24"/>
          <w:szCs w:val="24"/>
          <w:lang w:val="cs-CZ"/>
        </w:rPr>
        <w:t xml:space="preserve"> </w:t>
      </w:r>
      <w:r w:rsidR="00A777B8" w:rsidRPr="00A80FD8">
        <w:rPr>
          <w:sz w:val="24"/>
          <w:szCs w:val="24"/>
          <w:lang w:val="cs-CZ"/>
        </w:rPr>
        <w:tab/>
      </w:r>
      <w:proofErr w:type="spellStart"/>
      <w:r w:rsidRPr="00A80FD8">
        <w:rPr>
          <w:sz w:val="24"/>
          <w:szCs w:val="24"/>
          <w:lang w:val="cs-CZ"/>
        </w:rPr>
        <w:t>Úř</w:t>
      </w:r>
      <w:proofErr w:type="spellEnd"/>
      <w:r w:rsidRPr="00A80FD8">
        <w:rPr>
          <w:sz w:val="24"/>
          <w:szCs w:val="24"/>
          <w:lang w:val="cs-CZ"/>
        </w:rPr>
        <w:t xml:space="preserve">. </w:t>
      </w:r>
      <w:proofErr w:type="spellStart"/>
      <w:r w:rsidRPr="00A80FD8">
        <w:rPr>
          <w:sz w:val="24"/>
          <w:szCs w:val="24"/>
          <w:lang w:val="cs-CZ"/>
        </w:rPr>
        <w:t>věst</w:t>
      </w:r>
      <w:proofErr w:type="spellEnd"/>
      <w:r w:rsidRPr="00A80FD8">
        <w:rPr>
          <w:sz w:val="24"/>
          <w:szCs w:val="24"/>
          <w:lang w:val="cs-CZ"/>
        </w:rPr>
        <w:t xml:space="preserve">. L 231, 30.6.2021, s. 94, ELI: </w:t>
      </w:r>
      <w:hyperlink r:id="rId4" w:history="1">
        <w:r w:rsidRPr="00A80FD8">
          <w:rPr>
            <w:rStyle w:val="Hyperlink"/>
            <w:sz w:val="24"/>
            <w:szCs w:val="24"/>
            <w:lang w:val="cs-CZ"/>
          </w:rPr>
          <w:t>http://data.europa.eu/eli/reg/2021/1059/oj</w:t>
        </w:r>
      </w:hyperlink>
      <w:r w:rsidRPr="00A80FD8">
        <w:rPr>
          <w:sz w:val="24"/>
          <w:szCs w:val="24"/>
          <w:lang w:val="cs-CZ"/>
        </w:rPr>
        <w:t>.</w:t>
      </w:r>
    </w:p>
  </w:footnote>
  <w:footnote w:id="5">
    <w:p w14:paraId="1A0022B9" w14:textId="3EBDDB66" w:rsidR="003B775C" w:rsidRPr="00A80FD8" w:rsidRDefault="003B775C" w:rsidP="00A777B8">
      <w:pPr>
        <w:pStyle w:val="FootnoteText"/>
        <w:ind w:left="567" w:hanging="567"/>
        <w:rPr>
          <w:sz w:val="24"/>
          <w:szCs w:val="24"/>
          <w:lang w:val="cs-CZ"/>
        </w:rPr>
      </w:pPr>
      <w:r w:rsidRPr="00A80FD8">
        <w:rPr>
          <w:rStyle w:val="FootnoteReference"/>
          <w:sz w:val="24"/>
          <w:szCs w:val="24"/>
          <w:lang w:val="cs-CZ"/>
        </w:rPr>
        <w:footnoteRef/>
      </w:r>
      <w:r w:rsidR="00A777B8" w:rsidRPr="00A80FD8">
        <w:rPr>
          <w:sz w:val="24"/>
          <w:szCs w:val="24"/>
          <w:lang w:val="cs-CZ"/>
        </w:rPr>
        <w:t xml:space="preserve"> </w:t>
      </w:r>
      <w:r w:rsidR="00A777B8" w:rsidRPr="00A80FD8">
        <w:rPr>
          <w:sz w:val="24"/>
          <w:szCs w:val="24"/>
          <w:lang w:val="cs-CZ"/>
        </w:rPr>
        <w:tab/>
      </w:r>
      <w:proofErr w:type="spellStart"/>
      <w:r w:rsidRPr="00A80FD8">
        <w:rPr>
          <w:sz w:val="24"/>
          <w:szCs w:val="24"/>
          <w:lang w:val="cs-CZ"/>
        </w:rPr>
        <w:t>Úř</w:t>
      </w:r>
      <w:proofErr w:type="spellEnd"/>
      <w:r w:rsidRPr="00A80FD8">
        <w:rPr>
          <w:sz w:val="24"/>
          <w:szCs w:val="24"/>
          <w:lang w:val="cs-CZ"/>
        </w:rPr>
        <w:t xml:space="preserve">. </w:t>
      </w:r>
      <w:proofErr w:type="spellStart"/>
      <w:r w:rsidRPr="00A80FD8">
        <w:rPr>
          <w:sz w:val="24"/>
          <w:szCs w:val="24"/>
          <w:lang w:val="cs-CZ"/>
        </w:rPr>
        <w:t>věst</w:t>
      </w:r>
      <w:proofErr w:type="spellEnd"/>
      <w:r w:rsidRPr="00A80FD8">
        <w:rPr>
          <w:sz w:val="24"/>
          <w:szCs w:val="24"/>
          <w:lang w:val="cs-CZ"/>
        </w:rPr>
        <w:t xml:space="preserve">. L 231, 30.6.2021, s. 21, ELI: </w:t>
      </w:r>
      <w:hyperlink r:id="rId5" w:history="1">
        <w:r w:rsidRPr="00A80FD8">
          <w:rPr>
            <w:rStyle w:val="Hyperlink"/>
            <w:sz w:val="24"/>
            <w:szCs w:val="24"/>
            <w:lang w:val="cs-CZ"/>
          </w:rPr>
          <w:t>http://data.europa.eu/eli/reg/2021/1057/oj</w:t>
        </w:r>
      </w:hyperlink>
      <w:r w:rsidRPr="00A80FD8">
        <w:rPr>
          <w:sz w:val="24"/>
          <w:szCs w:val="24"/>
          <w:lang w:val="cs-CZ"/>
        </w:rPr>
        <w:t>.</w:t>
      </w:r>
    </w:p>
  </w:footnote>
  <w:footnote w:id="6">
    <w:p w14:paraId="1240C530" w14:textId="7261C4D0" w:rsidR="003B775C" w:rsidRPr="00A80FD8" w:rsidRDefault="003B775C" w:rsidP="00A777B8">
      <w:pPr>
        <w:pStyle w:val="FootnoteText"/>
        <w:ind w:left="567" w:hanging="567"/>
        <w:rPr>
          <w:sz w:val="24"/>
          <w:szCs w:val="24"/>
          <w:lang w:val="cs-CZ"/>
        </w:rPr>
      </w:pPr>
      <w:r w:rsidRPr="00A80FD8">
        <w:rPr>
          <w:rStyle w:val="FootnoteReference"/>
          <w:sz w:val="24"/>
          <w:szCs w:val="24"/>
          <w:lang w:val="cs-CZ"/>
        </w:rPr>
        <w:footnoteRef/>
      </w:r>
      <w:r w:rsidR="00A777B8" w:rsidRPr="00A80FD8">
        <w:rPr>
          <w:sz w:val="24"/>
          <w:szCs w:val="24"/>
          <w:lang w:val="cs-CZ"/>
        </w:rPr>
        <w:t xml:space="preserve"> </w:t>
      </w:r>
      <w:r w:rsidR="00A777B8" w:rsidRPr="00A80FD8">
        <w:rPr>
          <w:sz w:val="24"/>
          <w:szCs w:val="24"/>
          <w:lang w:val="cs-CZ"/>
        </w:rPr>
        <w:tab/>
      </w:r>
      <w:proofErr w:type="spellStart"/>
      <w:r w:rsidRPr="00A80FD8">
        <w:rPr>
          <w:sz w:val="24"/>
          <w:szCs w:val="24"/>
          <w:lang w:val="cs-CZ"/>
        </w:rPr>
        <w:t>Úř</w:t>
      </w:r>
      <w:proofErr w:type="spellEnd"/>
      <w:r w:rsidRPr="00A80FD8">
        <w:rPr>
          <w:sz w:val="24"/>
          <w:szCs w:val="24"/>
          <w:lang w:val="cs-CZ"/>
        </w:rPr>
        <w:t xml:space="preserve">. </w:t>
      </w:r>
      <w:proofErr w:type="spellStart"/>
      <w:r w:rsidRPr="00A80FD8">
        <w:rPr>
          <w:sz w:val="24"/>
          <w:szCs w:val="24"/>
          <w:lang w:val="cs-CZ"/>
        </w:rPr>
        <w:t>věst</w:t>
      </w:r>
      <w:proofErr w:type="spellEnd"/>
      <w:r w:rsidRPr="00A80FD8">
        <w:rPr>
          <w:sz w:val="24"/>
          <w:szCs w:val="24"/>
          <w:lang w:val="cs-CZ"/>
        </w:rPr>
        <w:t xml:space="preserve">. L 99, 31.3.2020, s. 5, ELI: </w:t>
      </w:r>
      <w:hyperlink r:id="rId6" w:history="1">
        <w:r w:rsidRPr="00A80FD8">
          <w:rPr>
            <w:rStyle w:val="Hyperlink"/>
            <w:sz w:val="24"/>
            <w:szCs w:val="24"/>
            <w:lang w:val="cs-CZ"/>
          </w:rPr>
          <w:t>http://data.europa.eu/eli/reg/2020/460/oj</w:t>
        </w:r>
      </w:hyperlink>
      <w:r w:rsidRPr="00A80FD8">
        <w:rPr>
          <w:sz w:val="24"/>
          <w:szCs w:val="24"/>
          <w:lang w:val="cs-CZ"/>
        </w:rPr>
        <w:t>.</w:t>
      </w:r>
    </w:p>
  </w:footnote>
  <w:footnote w:id="7">
    <w:p w14:paraId="59D97BD5" w14:textId="3903C780" w:rsidR="003B775C" w:rsidRPr="00A80FD8" w:rsidRDefault="003B775C" w:rsidP="00A777B8">
      <w:pPr>
        <w:pStyle w:val="FootnoteText"/>
        <w:ind w:left="567" w:hanging="567"/>
        <w:rPr>
          <w:sz w:val="24"/>
          <w:szCs w:val="24"/>
          <w:lang w:val="cs-CZ"/>
        </w:rPr>
      </w:pPr>
      <w:r w:rsidRPr="00A80FD8">
        <w:rPr>
          <w:rStyle w:val="FootnoteReference"/>
          <w:sz w:val="24"/>
          <w:szCs w:val="24"/>
          <w:lang w:val="cs-CZ"/>
        </w:rPr>
        <w:footnoteRef/>
      </w:r>
      <w:r w:rsidR="00A777B8" w:rsidRPr="00A80FD8">
        <w:rPr>
          <w:sz w:val="24"/>
          <w:szCs w:val="24"/>
          <w:lang w:val="cs-CZ"/>
        </w:rPr>
        <w:t xml:space="preserve"> </w:t>
      </w:r>
      <w:r w:rsidR="00A777B8" w:rsidRPr="00A80FD8">
        <w:rPr>
          <w:sz w:val="24"/>
          <w:szCs w:val="24"/>
          <w:lang w:val="cs-CZ"/>
        </w:rPr>
        <w:tab/>
      </w:r>
      <w:proofErr w:type="spellStart"/>
      <w:r w:rsidR="00EB6045">
        <w:rPr>
          <w:sz w:val="24"/>
          <w:szCs w:val="24"/>
          <w:lang w:val="cs-CZ"/>
        </w:rPr>
        <w:t>Úř</w:t>
      </w:r>
      <w:proofErr w:type="spellEnd"/>
      <w:r w:rsidR="00EB6045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="00EB6045">
        <w:rPr>
          <w:sz w:val="24"/>
          <w:szCs w:val="24"/>
          <w:lang w:val="cs-CZ"/>
        </w:rPr>
        <w:t>věst</w:t>
      </w:r>
      <w:proofErr w:type="spellEnd"/>
      <w:proofErr w:type="gramEnd"/>
      <w:r w:rsidR="00EB6045">
        <w:rPr>
          <w:sz w:val="24"/>
          <w:szCs w:val="24"/>
          <w:lang w:val="cs-CZ"/>
        </w:rPr>
        <w:t xml:space="preserve">. </w:t>
      </w:r>
      <w:r w:rsidR="00EB6045" w:rsidRPr="00A80FD8">
        <w:rPr>
          <w:sz w:val="24"/>
          <w:szCs w:val="24"/>
          <w:lang w:val="cs-CZ"/>
        </w:rPr>
        <w:t>L</w:t>
      </w:r>
      <w:r w:rsidRPr="00A80FD8">
        <w:rPr>
          <w:sz w:val="24"/>
          <w:szCs w:val="24"/>
          <w:lang w:val="cs-CZ"/>
        </w:rPr>
        <w:t xml:space="preserve"> 2025/925, </w:t>
      </w:r>
      <w:proofErr w:type="gramStart"/>
      <w:r w:rsidRPr="00A80FD8">
        <w:rPr>
          <w:sz w:val="24"/>
          <w:szCs w:val="24"/>
          <w:lang w:val="cs-CZ"/>
        </w:rPr>
        <w:t>19.5.2025</w:t>
      </w:r>
      <w:proofErr w:type="gramEnd"/>
      <w:r w:rsidRPr="00A80FD8">
        <w:rPr>
          <w:sz w:val="24"/>
          <w:szCs w:val="24"/>
          <w:lang w:val="cs-CZ"/>
        </w:rPr>
        <w:t xml:space="preserve">, ELI: </w:t>
      </w:r>
      <w:hyperlink r:id="rId7" w:history="1">
        <w:r w:rsidRPr="00A80FD8">
          <w:rPr>
            <w:rStyle w:val="Hyperlink"/>
            <w:sz w:val="24"/>
            <w:szCs w:val="24"/>
            <w:lang w:val="cs-CZ"/>
          </w:rPr>
          <w:t>http://data.europa.eu/eli/reg/2025/925/oj</w:t>
        </w:r>
      </w:hyperlink>
      <w:r w:rsidRPr="00A80FD8">
        <w:rPr>
          <w:sz w:val="24"/>
          <w:szCs w:val="24"/>
          <w:lang w:val="cs-CZ"/>
        </w:rPr>
        <w:t>.</w:t>
      </w:r>
    </w:p>
  </w:footnote>
  <w:footnote w:id="8">
    <w:p w14:paraId="07707977" w14:textId="43B8E50E" w:rsidR="003B775C" w:rsidRPr="00A80FD8" w:rsidRDefault="003B775C" w:rsidP="00A777B8">
      <w:pPr>
        <w:pStyle w:val="FootnoteText"/>
        <w:ind w:left="567" w:hanging="567"/>
        <w:rPr>
          <w:sz w:val="24"/>
          <w:szCs w:val="24"/>
          <w:lang w:val="cs-CZ"/>
        </w:rPr>
      </w:pPr>
      <w:r w:rsidRPr="00A80FD8">
        <w:rPr>
          <w:rStyle w:val="FootnoteReference"/>
          <w:sz w:val="24"/>
          <w:szCs w:val="24"/>
          <w:lang w:val="cs-CZ"/>
        </w:rPr>
        <w:footnoteRef/>
      </w:r>
      <w:r w:rsidR="00A777B8" w:rsidRPr="00A80FD8">
        <w:rPr>
          <w:sz w:val="24"/>
          <w:szCs w:val="24"/>
          <w:lang w:val="cs-CZ"/>
        </w:rPr>
        <w:t xml:space="preserve"> </w:t>
      </w:r>
      <w:r w:rsidR="00A777B8" w:rsidRPr="00A80FD8">
        <w:rPr>
          <w:sz w:val="24"/>
          <w:szCs w:val="24"/>
          <w:lang w:val="cs-CZ"/>
        </w:rPr>
        <w:tab/>
      </w:r>
      <w:proofErr w:type="spellStart"/>
      <w:r w:rsidRPr="00A80FD8">
        <w:rPr>
          <w:sz w:val="24"/>
          <w:szCs w:val="24"/>
          <w:lang w:val="cs-CZ"/>
        </w:rPr>
        <w:t>Úř</w:t>
      </w:r>
      <w:proofErr w:type="spellEnd"/>
      <w:r w:rsidRPr="00A80FD8">
        <w:rPr>
          <w:sz w:val="24"/>
          <w:szCs w:val="24"/>
          <w:lang w:val="cs-CZ"/>
        </w:rPr>
        <w:t xml:space="preserve">. </w:t>
      </w:r>
      <w:proofErr w:type="spellStart"/>
      <w:r w:rsidRPr="00A80FD8">
        <w:rPr>
          <w:sz w:val="24"/>
          <w:szCs w:val="24"/>
          <w:lang w:val="cs-CZ"/>
        </w:rPr>
        <w:t>věst</w:t>
      </w:r>
      <w:proofErr w:type="spellEnd"/>
      <w:r w:rsidRPr="00A80FD8">
        <w:rPr>
          <w:sz w:val="24"/>
          <w:szCs w:val="24"/>
          <w:lang w:val="cs-CZ"/>
        </w:rPr>
        <w:t xml:space="preserve">. L 347, 20.12.2013, s. 487, ELI: </w:t>
      </w:r>
      <w:hyperlink r:id="rId8" w:history="1">
        <w:r w:rsidRPr="00A80FD8">
          <w:rPr>
            <w:rStyle w:val="Hyperlink"/>
            <w:sz w:val="24"/>
            <w:szCs w:val="24"/>
            <w:lang w:val="cs-CZ"/>
          </w:rPr>
          <w:t>http://data.europa.eu/eli/reg/2013/1305/oj</w:t>
        </w:r>
      </w:hyperlink>
      <w:r w:rsidRPr="00A80FD8">
        <w:rPr>
          <w:sz w:val="24"/>
          <w:szCs w:val="24"/>
          <w:lang w:val="cs-CZ"/>
        </w:rPr>
        <w:t>.</w:t>
      </w:r>
    </w:p>
  </w:footnote>
  <w:footnote w:id="9">
    <w:p w14:paraId="00F090F8" w14:textId="3167DA05" w:rsidR="003B775C" w:rsidRPr="00A80FD8" w:rsidRDefault="003B775C" w:rsidP="00A777B8">
      <w:pPr>
        <w:pStyle w:val="FootnoteText"/>
        <w:ind w:left="567" w:hanging="567"/>
        <w:rPr>
          <w:sz w:val="24"/>
          <w:szCs w:val="24"/>
          <w:lang w:val="cs-CZ"/>
        </w:rPr>
      </w:pPr>
      <w:r w:rsidRPr="00A80FD8">
        <w:rPr>
          <w:rStyle w:val="FootnoteReference"/>
          <w:sz w:val="24"/>
          <w:szCs w:val="24"/>
          <w:lang w:val="cs-CZ"/>
        </w:rPr>
        <w:footnoteRef/>
      </w:r>
      <w:r w:rsidR="00A777B8" w:rsidRPr="00A80FD8">
        <w:rPr>
          <w:sz w:val="24"/>
          <w:szCs w:val="24"/>
          <w:lang w:val="cs-CZ"/>
        </w:rPr>
        <w:t xml:space="preserve"> </w:t>
      </w:r>
      <w:r w:rsidR="00A777B8" w:rsidRPr="00A80FD8">
        <w:rPr>
          <w:sz w:val="24"/>
          <w:szCs w:val="24"/>
          <w:lang w:val="cs-CZ"/>
        </w:rPr>
        <w:tab/>
      </w:r>
      <w:proofErr w:type="spellStart"/>
      <w:r w:rsidRPr="00A80FD8">
        <w:rPr>
          <w:sz w:val="24"/>
          <w:szCs w:val="24"/>
          <w:lang w:val="cs-CZ"/>
        </w:rPr>
        <w:t>Úř</w:t>
      </w:r>
      <w:proofErr w:type="spellEnd"/>
      <w:r w:rsidRPr="00A80FD8">
        <w:rPr>
          <w:sz w:val="24"/>
          <w:szCs w:val="24"/>
          <w:lang w:val="cs-CZ"/>
        </w:rPr>
        <w:t xml:space="preserve">. </w:t>
      </w:r>
      <w:proofErr w:type="spellStart"/>
      <w:r w:rsidRPr="00A80FD8">
        <w:rPr>
          <w:sz w:val="24"/>
          <w:szCs w:val="24"/>
          <w:lang w:val="cs-CZ"/>
        </w:rPr>
        <w:t>věst</w:t>
      </w:r>
      <w:proofErr w:type="spellEnd"/>
      <w:r w:rsidRPr="00A80FD8">
        <w:rPr>
          <w:sz w:val="24"/>
          <w:szCs w:val="24"/>
          <w:lang w:val="cs-CZ"/>
        </w:rPr>
        <w:t xml:space="preserve">. L 74, 14.3.2014, s. 1, ELI: </w:t>
      </w:r>
      <w:hyperlink r:id="rId9" w:history="1">
        <w:r w:rsidRPr="00A80FD8">
          <w:rPr>
            <w:rStyle w:val="Hyperlink"/>
            <w:sz w:val="24"/>
            <w:szCs w:val="24"/>
            <w:lang w:val="cs-CZ"/>
          </w:rPr>
          <w:t>http://data.europa.eu/eli/reg_del/2014/240/oj</w:t>
        </w:r>
      </w:hyperlink>
      <w:r w:rsidRPr="00A80FD8">
        <w:rPr>
          <w:sz w:val="24"/>
          <w:szCs w:val="24"/>
          <w:lang w:val="cs-CZ"/>
        </w:rPr>
        <w:t>.</w:t>
      </w:r>
    </w:p>
  </w:footnote>
  <w:footnote w:id="10">
    <w:p w14:paraId="27F61931" w14:textId="17F0C9E9" w:rsidR="003B775C" w:rsidRPr="00A80FD8" w:rsidRDefault="003B775C" w:rsidP="00A777B8">
      <w:pPr>
        <w:pStyle w:val="FootnoteText"/>
        <w:ind w:left="567" w:hanging="567"/>
        <w:rPr>
          <w:sz w:val="24"/>
          <w:szCs w:val="24"/>
          <w:lang w:val="cs-CZ"/>
        </w:rPr>
      </w:pPr>
      <w:r w:rsidRPr="00A80FD8">
        <w:rPr>
          <w:rStyle w:val="FootnoteReference"/>
          <w:sz w:val="24"/>
          <w:szCs w:val="24"/>
          <w:lang w:val="cs-CZ"/>
        </w:rPr>
        <w:footnoteRef/>
      </w:r>
      <w:r w:rsidR="00A777B8" w:rsidRPr="00A80FD8">
        <w:rPr>
          <w:sz w:val="24"/>
          <w:szCs w:val="24"/>
          <w:lang w:val="cs-CZ"/>
        </w:rPr>
        <w:t xml:space="preserve"> </w:t>
      </w:r>
      <w:r w:rsidR="00A777B8" w:rsidRPr="00A80FD8">
        <w:rPr>
          <w:sz w:val="24"/>
          <w:szCs w:val="24"/>
          <w:lang w:val="cs-CZ"/>
        </w:rPr>
        <w:tab/>
      </w:r>
      <w:proofErr w:type="spellStart"/>
      <w:r w:rsidRPr="00A80FD8">
        <w:rPr>
          <w:sz w:val="24"/>
          <w:szCs w:val="24"/>
          <w:lang w:val="cs-CZ"/>
        </w:rPr>
        <w:t>Úř</w:t>
      </w:r>
      <w:proofErr w:type="spellEnd"/>
      <w:r w:rsidRPr="00A80FD8">
        <w:rPr>
          <w:sz w:val="24"/>
          <w:szCs w:val="24"/>
          <w:lang w:val="cs-CZ"/>
        </w:rPr>
        <w:t xml:space="preserve">. </w:t>
      </w:r>
      <w:proofErr w:type="spellStart"/>
      <w:r w:rsidRPr="00A80FD8">
        <w:rPr>
          <w:sz w:val="24"/>
          <w:szCs w:val="24"/>
          <w:lang w:val="cs-CZ"/>
        </w:rPr>
        <w:t>věst</w:t>
      </w:r>
      <w:proofErr w:type="spellEnd"/>
      <w:r w:rsidR="00EB6045">
        <w:rPr>
          <w:sz w:val="24"/>
          <w:szCs w:val="24"/>
          <w:lang w:val="cs-CZ"/>
        </w:rPr>
        <w:t xml:space="preserve">. C, </w:t>
      </w:r>
      <w:r w:rsidRPr="00A80FD8">
        <w:rPr>
          <w:sz w:val="24"/>
          <w:szCs w:val="24"/>
          <w:lang w:val="cs-CZ"/>
        </w:rPr>
        <w:t xml:space="preserve">C/2024/5704, </w:t>
      </w:r>
      <w:proofErr w:type="gramStart"/>
      <w:r w:rsidRPr="00A80FD8">
        <w:rPr>
          <w:sz w:val="24"/>
          <w:szCs w:val="24"/>
          <w:lang w:val="cs-CZ"/>
        </w:rPr>
        <w:t>17.10.2024</w:t>
      </w:r>
      <w:proofErr w:type="gramEnd"/>
      <w:r w:rsidRPr="00A80FD8">
        <w:rPr>
          <w:sz w:val="24"/>
          <w:szCs w:val="24"/>
          <w:lang w:val="cs-CZ"/>
        </w:rPr>
        <w:t xml:space="preserve">, ELI: </w:t>
      </w:r>
      <w:hyperlink r:id="rId10" w:history="1">
        <w:r w:rsidRPr="00A80FD8">
          <w:rPr>
            <w:rStyle w:val="Hyperlink"/>
            <w:sz w:val="24"/>
            <w:szCs w:val="24"/>
            <w:lang w:val="cs-CZ"/>
          </w:rPr>
          <w:t>http://data.europa.eu/eli/C/2024/5704/oj</w:t>
        </w:r>
      </w:hyperlink>
      <w:r w:rsidRPr="00A80FD8">
        <w:rPr>
          <w:sz w:val="24"/>
          <w:szCs w:val="24"/>
          <w:lang w:val="cs-CZ"/>
        </w:rPr>
        <w:t>.</w:t>
      </w:r>
    </w:p>
  </w:footnote>
  <w:footnote w:id="11">
    <w:p w14:paraId="27312EE4" w14:textId="0B7EB8B4" w:rsidR="003B775C" w:rsidRPr="00A80FD8" w:rsidRDefault="003B775C" w:rsidP="00A777B8">
      <w:pPr>
        <w:pStyle w:val="FootnoteText"/>
        <w:ind w:left="567" w:hanging="567"/>
        <w:rPr>
          <w:sz w:val="24"/>
          <w:szCs w:val="24"/>
          <w:lang w:val="cs-CZ"/>
        </w:rPr>
      </w:pPr>
      <w:r w:rsidRPr="00A80FD8">
        <w:rPr>
          <w:rStyle w:val="FootnoteReference"/>
          <w:sz w:val="24"/>
          <w:szCs w:val="24"/>
          <w:lang w:val="cs-CZ"/>
        </w:rPr>
        <w:footnoteRef/>
      </w:r>
      <w:r w:rsidR="00A777B8" w:rsidRPr="00A80FD8">
        <w:rPr>
          <w:sz w:val="24"/>
          <w:szCs w:val="24"/>
          <w:lang w:val="cs-CZ"/>
        </w:rPr>
        <w:t xml:space="preserve"> </w:t>
      </w:r>
      <w:r w:rsidR="00A777B8" w:rsidRPr="00A80FD8">
        <w:rPr>
          <w:sz w:val="24"/>
          <w:szCs w:val="24"/>
          <w:lang w:val="cs-CZ"/>
        </w:rPr>
        <w:tab/>
      </w:r>
      <w:proofErr w:type="spellStart"/>
      <w:r w:rsidR="00EB6045">
        <w:rPr>
          <w:sz w:val="24"/>
          <w:szCs w:val="24"/>
          <w:lang w:val="cs-CZ"/>
        </w:rPr>
        <w:t>Úř</w:t>
      </w:r>
      <w:proofErr w:type="spellEnd"/>
      <w:r w:rsidR="00EB6045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="00EB6045">
        <w:rPr>
          <w:sz w:val="24"/>
          <w:szCs w:val="24"/>
          <w:lang w:val="cs-CZ"/>
        </w:rPr>
        <w:t>věst</w:t>
      </w:r>
      <w:proofErr w:type="spellEnd"/>
      <w:proofErr w:type="gramEnd"/>
      <w:r w:rsidR="00EB6045">
        <w:rPr>
          <w:sz w:val="24"/>
          <w:szCs w:val="24"/>
          <w:lang w:val="cs-CZ"/>
        </w:rPr>
        <w:t>.</w:t>
      </w:r>
      <w:r w:rsidRPr="00A80FD8">
        <w:rPr>
          <w:sz w:val="24"/>
          <w:szCs w:val="24"/>
          <w:lang w:val="cs-CZ"/>
        </w:rPr>
        <w:t xml:space="preserve"> </w:t>
      </w:r>
      <w:r w:rsidR="00EB6045">
        <w:rPr>
          <w:sz w:val="24"/>
          <w:szCs w:val="24"/>
          <w:lang w:val="cs-CZ"/>
        </w:rPr>
        <w:t xml:space="preserve">C, </w:t>
      </w:r>
      <w:r w:rsidRPr="00A80FD8">
        <w:rPr>
          <w:sz w:val="24"/>
          <w:szCs w:val="24"/>
          <w:lang w:val="cs-CZ"/>
        </w:rPr>
        <w:t xml:space="preserve">C/2025/2018, </w:t>
      </w:r>
      <w:proofErr w:type="gramStart"/>
      <w:r w:rsidRPr="00A80FD8">
        <w:rPr>
          <w:sz w:val="24"/>
          <w:szCs w:val="24"/>
          <w:lang w:val="cs-CZ"/>
        </w:rPr>
        <w:t>30.4.2025</w:t>
      </w:r>
      <w:proofErr w:type="gramEnd"/>
      <w:r w:rsidRPr="00A80FD8">
        <w:rPr>
          <w:sz w:val="24"/>
          <w:szCs w:val="24"/>
          <w:lang w:val="cs-CZ"/>
        </w:rPr>
        <w:t xml:space="preserve">, ELI: </w:t>
      </w:r>
      <w:hyperlink r:id="rId11" w:history="1">
        <w:r w:rsidRPr="00A80FD8">
          <w:rPr>
            <w:rStyle w:val="Hyperlink"/>
            <w:sz w:val="24"/>
            <w:szCs w:val="24"/>
            <w:lang w:val="cs-CZ"/>
          </w:rPr>
          <w:t>http://data.europa.eu/eli/C/2025/2018/oj</w:t>
        </w:r>
      </w:hyperlink>
      <w:r w:rsidRPr="00A80FD8">
        <w:rPr>
          <w:sz w:val="24"/>
          <w:szCs w:val="24"/>
          <w:lang w:val="cs-CZ"/>
        </w:rPr>
        <w:t>.</w:t>
      </w:r>
    </w:p>
  </w:footnote>
  <w:footnote w:id="12">
    <w:p w14:paraId="24E0A7C0" w14:textId="178088B1" w:rsidR="003B775C" w:rsidRPr="00A80FD8" w:rsidRDefault="003B775C" w:rsidP="00A777B8">
      <w:pPr>
        <w:pStyle w:val="FootnoteText"/>
        <w:ind w:left="567" w:hanging="567"/>
        <w:rPr>
          <w:sz w:val="24"/>
          <w:szCs w:val="24"/>
          <w:lang w:val="cs-CZ"/>
        </w:rPr>
      </w:pPr>
      <w:r w:rsidRPr="00A80FD8">
        <w:rPr>
          <w:rStyle w:val="FootnoteReference"/>
          <w:sz w:val="24"/>
          <w:szCs w:val="24"/>
          <w:lang w:val="cs-CZ"/>
        </w:rPr>
        <w:footnoteRef/>
      </w:r>
      <w:r w:rsidR="00A777B8" w:rsidRPr="00A80FD8">
        <w:rPr>
          <w:sz w:val="24"/>
          <w:szCs w:val="24"/>
          <w:lang w:val="cs-CZ"/>
        </w:rPr>
        <w:t xml:space="preserve"> </w:t>
      </w:r>
      <w:r w:rsidR="00A777B8" w:rsidRPr="00A80FD8">
        <w:rPr>
          <w:sz w:val="24"/>
          <w:szCs w:val="24"/>
          <w:lang w:val="cs-CZ"/>
        </w:rPr>
        <w:tab/>
      </w:r>
      <w:proofErr w:type="spellStart"/>
      <w:r w:rsidR="00EB6045">
        <w:rPr>
          <w:sz w:val="24"/>
          <w:szCs w:val="24"/>
          <w:lang w:val="cs-CZ"/>
        </w:rPr>
        <w:t>Úř</w:t>
      </w:r>
      <w:proofErr w:type="spellEnd"/>
      <w:r w:rsidR="00EB6045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="00EB6045">
        <w:rPr>
          <w:sz w:val="24"/>
          <w:szCs w:val="24"/>
          <w:lang w:val="cs-CZ"/>
        </w:rPr>
        <w:t>věst</w:t>
      </w:r>
      <w:proofErr w:type="spellEnd"/>
      <w:proofErr w:type="gramEnd"/>
      <w:r w:rsidR="00EB6045">
        <w:rPr>
          <w:sz w:val="24"/>
          <w:szCs w:val="24"/>
          <w:lang w:val="cs-CZ"/>
        </w:rPr>
        <w:t>.</w:t>
      </w:r>
      <w:r w:rsidRPr="00A80FD8">
        <w:rPr>
          <w:sz w:val="24"/>
          <w:szCs w:val="24"/>
          <w:lang w:val="cs-CZ"/>
        </w:rPr>
        <w:t xml:space="preserve"> </w:t>
      </w:r>
      <w:r w:rsidR="00EB6045">
        <w:rPr>
          <w:sz w:val="24"/>
          <w:szCs w:val="24"/>
          <w:lang w:val="cs-CZ"/>
        </w:rPr>
        <w:t>C,</w:t>
      </w:r>
      <w:bookmarkStart w:id="7" w:name="_GoBack"/>
      <w:bookmarkEnd w:id="7"/>
      <w:r w:rsidR="00EB6045">
        <w:rPr>
          <w:sz w:val="24"/>
          <w:szCs w:val="24"/>
          <w:lang w:val="cs-CZ"/>
        </w:rPr>
        <w:t xml:space="preserve"> </w:t>
      </w:r>
      <w:r w:rsidRPr="00A80FD8">
        <w:rPr>
          <w:sz w:val="24"/>
          <w:szCs w:val="24"/>
          <w:lang w:val="cs-CZ"/>
        </w:rPr>
        <w:t xml:space="preserve">C/2025/773, </w:t>
      </w:r>
      <w:proofErr w:type="gramStart"/>
      <w:r w:rsidRPr="00A80FD8">
        <w:rPr>
          <w:sz w:val="24"/>
          <w:szCs w:val="24"/>
          <w:lang w:val="cs-CZ"/>
        </w:rPr>
        <w:t>11.2.2025</w:t>
      </w:r>
      <w:proofErr w:type="gramEnd"/>
      <w:r w:rsidRPr="00A80FD8">
        <w:rPr>
          <w:sz w:val="24"/>
          <w:szCs w:val="24"/>
          <w:lang w:val="cs-CZ"/>
        </w:rPr>
        <w:t xml:space="preserve">, ELI: </w:t>
      </w:r>
      <w:hyperlink r:id="rId12" w:history="1">
        <w:r w:rsidRPr="00A80FD8">
          <w:rPr>
            <w:rStyle w:val="Hyperlink"/>
            <w:sz w:val="24"/>
            <w:szCs w:val="24"/>
            <w:lang w:val="cs-CZ"/>
          </w:rPr>
          <w:t>http://data.europa.eu/eli/C/2025/773/oj</w:t>
        </w:r>
      </w:hyperlink>
      <w:r w:rsidRPr="00A80FD8">
        <w:rPr>
          <w:sz w:val="24"/>
          <w:szCs w:val="24"/>
          <w:lang w:val="cs-CZ"/>
        </w:rPr>
        <w:t>.</w:t>
      </w:r>
    </w:p>
  </w:footnote>
  <w:footnote w:id="13">
    <w:p w14:paraId="59903472" w14:textId="05687775" w:rsidR="003B775C" w:rsidRPr="00A80FD8" w:rsidRDefault="003B775C" w:rsidP="00A777B8">
      <w:pPr>
        <w:pStyle w:val="FootnoteText"/>
        <w:ind w:left="567" w:hanging="567"/>
        <w:rPr>
          <w:sz w:val="24"/>
          <w:szCs w:val="24"/>
          <w:lang w:val="cs-CZ"/>
        </w:rPr>
      </w:pPr>
      <w:r w:rsidRPr="00A80FD8">
        <w:rPr>
          <w:rStyle w:val="FootnoteReference"/>
          <w:sz w:val="24"/>
          <w:szCs w:val="24"/>
          <w:lang w:val="cs-CZ"/>
        </w:rPr>
        <w:footnoteRef/>
      </w:r>
      <w:r w:rsidR="00A777B8" w:rsidRPr="00A80FD8">
        <w:rPr>
          <w:sz w:val="24"/>
          <w:szCs w:val="24"/>
          <w:lang w:val="cs-CZ"/>
        </w:rPr>
        <w:t xml:space="preserve"> </w:t>
      </w:r>
      <w:r w:rsidR="00A777B8" w:rsidRPr="00A80FD8">
        <w:rPr>
          <w:sz w:val="24"/>
          <w:szCs w:val="24"/>
          <w:lang w:val="cs-CZ"/>
        </w:rPr>
        <w:tab/>
      </w:r>
      <w:r w:rsidRPr="00A80FD8">
        <w:rPr>
          <w:sz w:val="24"/>
          <w:szCs w:val="24"/>
          <w:lang w:val="cs-CZ"/>
        </w:rPr>
        <w:t>Nařízení Komise (EU) č. 651/2014 ze dne 17. června 2014, kterým se v souladu s články 107 a 108 Smlouvy prohlašují určité kategorie podpory za slučitelné s vnitřním trhem (</w:t>
      </w:r>
      <w:proofErr w:type="spellStart"/>
      <w:r w:rsidRPr="00A80FD8">
        <w:rPr>
          <w:sz w:val="24"/>
          <w:szCs w:val="24"/>
          <w:lang w:val="cs-CZ"/>
        </w:rPr>
        <w:t>Úř</w:t>
      </w:r>
      <w:proofErr w:type="spellEnd"/>
      <w:r w:rsidRPr="00A80FD8">
        <w:rPr>
          <w:sz w:val="24"/>
          <w:szCs w:val="24"/>
          <w:lang w:val="cs-CZ"/>
        </w:rPr>
        <w:t>. </w:t>
      </w:r>
      <w:proofErr w:type="spellStart"/>
      <w:r w:rsidRPr="00A80FD8">
        <w:rPr>
          <w:sz w:val="24"/>
          <w:szCs w:val="24"/>
          <w:lang w:val="cs-CZ"/>
        </w:rPr>
        <w:t>věst</w:t>
      </w:r>
      <w:proofErr w:type="spellEnd"/>
      <w:r w:rsidRPr="00A80FD8">
        <w:rPr>
          <w:sz w:val="24"/>
          <w:szCs w:val="24"/>
          <w:lang w:val="cs-CZ"/>
        </w:rPr>
        <w:t xml:space="preserve">. L 187, 26.6.2014, s. 1, ELI: </w:t>
      </w:r>
      <w:hyperlink r:id="rId13" w:history="1">
        <w:r w:rsidRPr="00A80FD8">
          <w:rPr>
            <w:rStyle w:val="Hyperlink"/>
            <w:sz w:val="24"/>
            <w:szCs w:val="24"/>
            <w:lang w:val="cs-CZ"/>
          </w:rPr>
          <w:t>http://data.europa.eu/eli/reg/2014/651/oj</w:t>
        </w:r>
      </w:hyperlink>
      <w:r w:rsidRPr="00A80FD8">
        <w:rPr>
          <w:sz w:val="24"/>
          <w:szCs w:val="24"/>
          <w:lang w:val="cs-CZ"/>
        </w:rPr>
        <w:t>).</w:t>
      </w:r>
    </w:p>
  </w:footnote>
  <w:footnote w:id="14">
    <w:p w14:paraId="0C38EABF" w14:textId="18FB966E" w:rsidR="003B775C" w:rsidRPr="00A80FD8" w:rsidRDefault="003B775C" w:rsidP="00A777B8">
      <w:pPr>
        <w:pStyle w:val="FootnoteText"/>
        <w:ind w:left="567" w:hanging="567"/>
        <w:rPr>
          <w:sz w:val="24"/>
          <w:szCs w:val="24"/>
          <w:lang w:val="cs-CZ"/>
        </w:rPr>
      </w:pPr>
      <w:r w:rsidRPr="00A80FD8">
        <w:rPr>
          <w:rStyle w:val="FootnoteReference"/>
          <w:sz w:val="24"/>
          <w:szCs w:val="24"/>
          <w:lang w:val="cs-CZ"/>
        </w:rPr>
        <w:footnoteRef/>
      </w:r>
      <w:r w:rsidR="00A777B8" w:rsidRPr="00A80FD8">
        <w:rPr>
          <w:sz w:val="24"/>
          <w:szCs w:val="24"/>
          <w:lang w:val="cs-CZ"/>
        </w:rPr>
        <w:t xml:space="preserve"> </w:t>
      </w:r>
      <w:r w:rsidR="00A777B8" w:rsidRPr="00A80FD8">
        <w:rPr>
          <w:sz w:val="24"/>
          <w:szCs w:val="24"/>
          <w:lang w:val="cs-CZ"/>
        </w:rPr>
        <w:tab/>
      </w:r>
      <w:r w:rsidRPr="00A80FD8">
        <w:rPr>
          <w:sz w:val="24"/>
          <w:szCs w:val="24"/>
          <w:lang w:val="cs-CZ"/>
        </w:rPr>
        <w:t>Nařízení Evropského parlamentu a Rady (EU, Euratom) 2024/2509 ze dne 23. září 2024, kterým se stanoví finanční pravidla pro souhrnný rozpočet Unie (</w:t>
      </w:r>
      <w:proofErr w:type="spellStart"/>
      <w:r w:rsidRPr="00A80FD8">
        <w:rPr>
          <w:sz w:val="24"/>
          <w:szCs w:val="24"/>
          <w:lang w:val="cs-CZ"/>
        </w:rPr>
        <w:t>Úř</w:t>
      </w:r>
      <w:proofErr w:type="spellEnd"/>
      <w:r w:rsidRPr="00A80FD8">
        <w:rPr>
          <w:sz w:val="24"/>
          <w:szCs w:val="24"/>
          <w:lang w:val="cs-CZ"/>
        </w:rPr>
        <w:t>. </w:t>
      </w:r>
      <w:proofErr w:type="spellStart"/>
      <w:r w:rsidRPr="00A80FD8">
        <w:rPr>
          <w:sz w:val="24"/>
          <w:szCs w:val="24"/>
          <w:lang w:val="cs-CZ"/>
        </w:rPr>
        <w:t>věst</w:t>
      </w:r>
      <w:proofErr w:type="spellEnd"/>
      <w:r w:rsidRPr="00A80FD8">
        <w:rPr>
          <w:sz w:val="24"/>
          <w:szCs w:val="24"/>
          <w:lang w:val="cs-CZ"/>
        </w:rPr>
        <w:t xml:space="preserve">. L, 2024/2509, 26.9.2024, ELI: </w:t>
      </w:r>
      <w:hyperlink r:id="rId14" w:history="1">
        <w:r w:rsidRPr="00A80FD8">
          <w:rPr>
            <w:rStyle w:val="Hyperlink"/>
            <w:sz w:val="24"/>
            <w:szCs w:val="24"/>
            <w:lang w:val="cs-CZ"/>
          </w:rPr>
          <w:t>http://data.europa.eu/eli/reg/2024/2509/oj</w:t>
        </w:r>
      </w:hyperlink>
      <w:r w:rsidRPr="00A80FD8">
        <w:rPr>
          <w:sz w:val="24"/>
          <w:szCs w:val="24"/>
          <w:lang w:val="cs-CZ"/>
        </w:rPr>
        <w:t>).</w:t>
      </w:r>
    </w:p>
  </w:footnote>
  <w:footnote w:id="15">
    <w:p w14:paraId="7E925DC7" w14:textId="428B7207" w:rsidR="003B775C" w:rsidRPr="00A80FD8" w:rsidRDefault="003B775C" w:rsidP="00A777B8">
      <w:pPr>
        <w:pStyle w:val="FootnoteText"/>
        <w:ind w:left="567" w:hanging="567"/>
        <w:rPr>
          <w:sz w:val="24"/>
          <w:szCs w:val="24"/>
          <w:lang w:val="cs-CZ"/>
        </w:rPr>
      </w:pPr>
      <w:r w:rsidRPr="00A80FD8">
        <w:rPr>
          <w:rStyle w:val="FootnoteReference"/>
          <w:sz w:val="24"/>
          <w:szCs w:val="24"/>
          <w:lang w:val="cs-CZ"/>
        </w:rPr>
        <w:footnoteRef/>
      </w:r>
      <w:r w:rsidR="00A777B8" w:rsidRPr="00A80FD8">
        <w:rPr>
          <w:sz w:val="24"/>
          <w:szCs w:val="24"/>
          <w:lang w:val="cs-CZ"/>
        </w:rPr>
        <w:t xml:space="preserve"> </w:t>
      </w:r>
      <w:r w:rsidR="00A777B8" w:rsidRPr="00A80FD8">
        <w:rPr>
          <w:sz w:val="24"/>
          <w:szCs w:val="24"/>
          <w:lang w:val="cs-CZ"/>
        </w:rPr>
        <w:tab/>
      </w:r>
      <w:proofErr w:type="spellStart"/>
      <w:r w:rsidR="000773CC" w:rsidRPr="004041D8">
        <w:rPr>
          <w:sz w:val="24"/>
          <w:szCs w:val="24"/>
          <w:lang w:val="cs-CZ"/>
        </w:rPr>
        <w:t>Úř</w:t>
      </w:r>
      <w:proofErr w:type="spellEnd"/>
      <w:r w:rsidR="000773CC" w:rsidRPr="004041D8">
        <w:rPr>
          <w:sz w:val="24"/>
          <w:szCs w:val="24"/>
          <w:lang w:val="cs-CZ"/>
        </w:rPr>
        <w:t xml:space="preserve">. </w:t>
      </w:r>
      <w:proofErr w:type="spellStart"/>
      <w:r w:rsidR="000773CC" w:rsidRPr="004041D8">
        <w:rPr>
          <w:sz w:val="24"/>
          <w:szCs w:val="24"/>
          <w:lang w:val="cs-CZ"/>
        </w:rPr>
        <w:t>věst</w:t>
      </w:r>
      <w:proofErr w:type="spellEnd"/>
      <w:r w:rsidR="000773CC" w:rsidRPr="004041D8">
        <w:rPr>
          <w:sz w:val="24"/>
          <w:szCs w:val="24"/>
          <w:lang w:val="cs-CZ"/>
        </w:rPr>
        <w:t>.</w:t>
      </w:r>
      <w:r w:rsidRPr="004041D8">
        <w:rPr>
          <w:sz w:val="24"/>
          <w:szCs w:val="24"/>
          <w:lang w:val="cs-CZ"/>
        </w:rPr>
        <w:t xml:space="preserve"> C 114, 29.3.2023, </w:t>
      </w:r>
      <w:r w:rsidR="004041D8">
        <w:rPr>
          <w:sz w:val="24"/>
          <w:szCs w:val="24"/>
          <w:lang w:val="cs-CZ"/>
        </w:rPr>
        <w:t>s</w:t>
      </w:r>
      <w:r w:rsidRPr="004041D8">
        <w:rPr>
          <w:sz w:val="24"/>
          <w:szCs w:val="24"/>
          <w:lang w:val="cs-CZ"/>
        </w:rPr>
        <w:t xml:space="preserve">. 5; </w:t>
      </w:r>
      <w:proofErr w:type="spellStart"/>
      <w:r w:rsidRPr="004041D8">
        <w:rPr>
          <w:sz w:val="24"/>
          <w:szCs w:val="24"/>
          <w:lang w:val="cs-CZ"/>
        </w:rPr>
        <w:t>Úř</w:t>
      </w:r>
      <w:proofErr w:type="spellEnd"/>
      <w:r w:rsidRPr="004041D8">
        <w:rPr>
          <w:sz w:val="24"/>
          <w:szCs w:val="24"/>
          <w:lang w:val="cs-CZ"/>
        </w:rPr>
        <w:t xml:space="preserve">. </w:t>
      </w:r>
      <w:proofErr w:type="spellStart"/>
      <w:r w:rsidRPr="004041D8">
        <w:rPr>
          <w:sz w:val="24"/>
          <w:szCs w:val="24"/>
          <w:lang w:val="cs-CZ"/>
        </w:rPr>
        <w:t>věst</w:t>
      </w:r>
      <w:proofErr w:type="spellEnd"/>
      <w:r w:rsidRPr="004041D8">
        <w:rPr>
          <w:sz w:val="24"/>
          <w:szCs w:val="24"/>
          <w:lang w:val="cs-CZ"/>
        </w:rPr>
        <w:t xml:space="preserve">. </w:t>
      </w:r>
      <w:r w:rsidR="004041D8">
        <w:rPr>
          <w:sz w:val="24"/>
          <w:szCs w:val="24"/>
          <w:lang w:val="cs-CZ"/>
        </w:rPr>
        <w:t xml:space="preserve">C, </w:t>
      </w:r>
      <w:r w:rsidRPr="004041D8">
        <w:rPr>
          <w:sz w:val="24"/>
          <w:szCs w:val="24"/>
          <w:lang w:val="cs-CZ"/>
        </w:rPr>
        <w:t xml:space="preserve">C/2024/5471, </w:t>
      </w:r>
      <w:proofErr w:type="gramStart"/>
      <w:r w:rsidRPr="004041D8">
        <w:rPr>
          <w:sz w:val="24"/>
          <w:szCs w:val="24"/>
          <w:lang w:val="cs-CZ"/>
        </w:rPr>
        <w:t>10.9.2024</w:t>
      </w:r>
      <w:proofErr w:type="gramEnd"/>
      <w:r w:rsidRPr="004041D8">
        <w:rPr>
          <w:sz w:val="24"/>
          <w:szCs w:val="24"/>
          <w:lang w:val="cs-CZ"/>
        </w:rPr>
        <w:t xml:space="preserve">, ELI: </w:t>
      </w:r>
      <w:hyperlink r:id="rId15" w:history="1">
        <w:r w:rsidRPr="004041D8">
          <w:rPr>
            <w:rStyle w:val="Hyperlink"/>
            <w:sz w:val="24"/>
            <w:szCs w:val="24"/>
            <w:lang w:val="cs-CZ"/>
          </w:rPr>
          <w:t>http://data.europa.eu/eli/C/2024/5471/oj</w:t>
        </w:r>
      </w:hyperlink>
      <w:r w:rsidRPr="004041D8">
        <w:rPr>
          <w:sz w:val="24"/>
          <w:szCs w:val="24"/>
          <w:lang w:val="cs-CZ"/>
        </w:rPr>
        <w:t>, (odst. 53 až 56).</w:t>
      </w:r>
    </w:p>
  </w:footnote>
  <w:footnote w:id="16">
    <w:p w14:paraId="50248491" w14:textId="7954184C" w:rsidR="003B775C" w:rsidRPr="00A80FD8" w:rsidRDefault="003B775C" w:rsidP="00A777B8">
      <w:pPr>
        <w:pStyle w:val="FootnoteText"/>
        <w:ind w:left="567" w:hanging="567"/>
        <w:rPr>
          <w:sz w:val="24"/>
          <w:szCs w:val="24"/>
          <w:lang w:val="cs-CZ"/>
        </w:rPr>
      </w:pPr>
      <w:r w:rsidRPr="00A80FD8">
        <w:rPr>
          <w:rStyle w:val="FootnoteReference"/>
          <w:sz w:val="24"/>
          <w:szCs w:val="24"/>
          <w:lang w:val="cs-CZ"/>
        </w:rPr>
        <w:footnoteRef/>
      </w:r>
      <w:r w:rsidR="00A777B8" w:rsidRPr="00A80FD8">
        <w:rPr>
          <w:sz w:val="24"/>
          <w:szCs w:val="24"/>
          <w:lang w:val="cs-CZ"/>
        </w:rPr>
        <w:t xml:space="preserve"> </w:t>
      </w:r>
      <w:r w:rsidR="00A777B8" w:rsidRPr="00A80FD8">
        <w:rPr>
          <w:sz w:val="24"/>
          <w:szCs w:val="24"/>
          <w:lang w:val="cs-CZ"/>
        </w:rPr>
        <w:tab/>
      </w:r>
      <w:r w:rsidRPr="00A80FD8">
        <w:rPr>
          <w:sz w:val="24"/>
          <w:szCs w:val="24"/>
          <w:lang w:val="cs-CZ"/>
        </w:rPr>
        <w:t>NUTS (společná klasifikace územních statistických jednotek) je klasifikační systém EU uplatňovaný na regiony zemí pro statistické účely. „NUTS 2“ označuje základní regiony (pro regionální politiku).</w:t>
      </w:r>
    </w:p>
  </w:footnote>
  <w:footnote w:id="17">
    <w:p w14:paraId="23FE9076" w14:textId="09EE012B" w:rsidR="003B775C" w:rsidRPr="00A80FD8" w:rsidRDefault="003B775C" w:rsidP="00A777B8">
      <w:pPr>
        <w:ind w:left="567" w:hanging="567"/>
        <w:rPr>
          <w:szCs w:val="24"/>
        </w:rPr>
      </w:pPr>
      <w:r w:rsidRPr="00A80FD8">
        <w:rPr>
          <w:rStyle w:val="FootnoteReference"/>
          <w:szCs w:val="24"/>
        </w:rPr>
        <w:footnoteRef/>
      </w:r>
      <w:r w:rsidR="00A777B8" w:rsidRPr="00A80FD8">
        <w:rPr>
          <w:szCs w:val="24"/>
        </w:rPr>
        <w:t xml:space="preserve"> </w:t>
      </w:r>
      <w:r w:rsidR="00A777B8" w:rsidRPr="00A80FD8">
        <w:rPr>
          <w:szCs w:val="24"/>
        </w:rPr>
        <w:tab/>
      </w:r>
      <w:r w:rsidRPr="00A80FD8">
        <w:rPr>
          <w:szCs w:val="24"/>
        </w:rPr>
        <w:t>Nařízení Evropského parlamentu a Rady (EU, Euratom) 2020/2092 ze dne 16. prosince 2020 o obecném režimu podmíněnosti na ochranu rozpočtu Unie (</w:t>
      </w:r>
      <w:proofErr w:type="spellStart"/>
      <w:r w:rsidRPr="00A80FD8">
        <w:rPr>
          <w:szCs w:val="24"/>
        </w:rPr>
        <w:t>Úř</w:t>
      </w:r>
      <w:proofErr w:type="spellEnd"/>
      <w:r w:rsidRPr="00A80FD8">
        <w:rPr>
          <w:szCs w:val="24"/>
        </w:rPr>
        <w:t xml:space="preserve">. </w:t>
      </w:r>
      <w:proofErr w:type="spellStart"/>
      <w:r w:rsidRPr="00A80FD8">
        <w:rPr>
          <w:szCs w:val="24"/>
        </w:rPr>
        <w:t>věst</w:t>
      </w:r>
      <w:proofErr w:type="spellEnd"/>
      <w:r w:rsidRPr="00A80FD8">
        <w:rPr>
          <w:szCs w:val="24"/>
        </w:rPr>
        <w:t>. L 433</w:t>
      </w:r>
      <w:r w:rsidR="000773CC" w:rsidRPr="00A80FD8">
        <w:rPr>
          <w:szCs w:val="24"/>
        </w:rPr>
        <w:t xml:space="preserve"> </w:t>
      </w:r>
      <w:r w:rsidRPr="00A80FD8">
        <w:rPr>
          <w:szCs w:val="24"/>
        </w:rPr>
        <w:t xml:space="preserve">I, 22.12.2020, s. 1, ELI: </w:t>
      </w:r>
      <w:hyperlink r:id="rId16" w:history="1">
        <w:r w:rsidRPr="00A80FD8">
          <w:rPr>
            <w:rStyle w:val="Hyperlink"/>
            <w:szCs w:val="24"/>
          </w:rPr>
          <w:t>http://data.europa.eu/eli/reg/2020/2092/oj</w:t>
        </w:r>
      </w:hyperlink>
      <w:r w:rsidRPr="00A80FD8">
        <w:rPr>
          <w:szCs w:val="24"/>
        </w:rPr>
        <w:t>).</w:t>
      </w:r>
    </w:p>
  </w:footnote>
  <w:footnote w:id="18">
    <w:p w14:paraId="77F8B3EA" w14:textId="7AA24D75" w:rsidR="003B775C" w:rsidRPr="00A80FD8" w:rsidRDefault="003B775C" w:rsidP="00A777B8">
      <w:pPr>
        <w:pStyle w:val="FootnoteText"/>
        <w:ind w:left="567" w:hanging="567"/>
        <w:rPr>
          <w:sz w:val="24"/>
          <w:szCs w:val="24"/>
          <w:lang w:val="cs-CZ"/>
        </w:rPr>
      </w:pPr>
      <w:r w:rsidRPr="00A80FD8">
        <w:rPr>
          <w:rStyle w:val="FootnoteReference"/>
          <w:sz w:val="24"/>
          <w:szCs w:val="24"/>
          <w:lang w:val="cs-CZ"/>
        </w:rPr>
        <w:footnoteRef/>
      </w:r>
      <w:r w:rsidR="00A777B8" w:rsidRPr="00A80FD8">
        <w:rPr>
          <w:sz w:val="24"/>
          <w:szCs w:val="24"/>
          <w:lang w:val="cs-CZ"/>
        </w:rPr>
        <w:t xml:space="preserve"> </w:t>
      </w:r>
      <w:r w:rsidR="00A777B8" w:rsidRPr="00A80FD8">
        <w:rPr>
          <w:sz w:val="24"/>
          <w:szCs w:val="24"/>
          <w:lang w:val="cs-CZ"/>
        </w:rPr>
        <w:tab/>
      </w:r>
      <w:r w:rsidRPr="00A80FD8">
        <w:rPr>
          <w:sz w:val="24"/>
          <w:szCs w:val="24"/>
          <w:lang w:val="cs-CZ"/>
        </w:rPr>
        <w:t>Směrnice Evropského parlamentu a Rady 2014/24/EU ze dne 26. února 2014 o zadávání veřejných zakázek a o zrušení směrnice 2004/18/ES (</w:t>
      </w:r>
      <w:proofErr w:type="spellStart"/>
      <w:r w:rsidRPr="00A80FD8">
        <w:rPr>
          <w:sz w:val="24"/>
          <w:szCs w:val="24"/>
          <w:lang w:val="cs-CZ"/>
        </w:rPr>
        <w:t>Úř</w:t>
      </w:r>
      <w:proofErr w:type="spellEnd"/>
      <w:r w:rsidRPr="00A80FD8">
        <w:rPr>
          <w:sz w:val="24"/>
          <w:szCs w:val="24"/>
          <w:lang w:val="cs-CZ"/>
        </w:rPr>
        <w:t xml:space="preserve">. </w:t>
      </w:r>
      <w:proofErr w:type="spellStart"/>
      <w:r w:rsidRPr="00A80FD8">
        <w:rPr>
          <w:sz w:val="24"/>
          <w:szCs w:val="24"/>
          <w:lang w:val="cs-CZ"/>
        </w:rPr>
        <w:t>věst</w:t>
      </w:r>
      <w:proofErr w:type="spellEnd"/>
      <w:r w:rsidRPr="00A80FD8">
        <w:rPr>
          <w:sz w:val="24"/>
          <w:szCs w:val="24"/>
          <w:lang w:val="cs-CZ"/>
        </w:rPr>
        <w:t xml:space="preserve">. L 94, 28.3.2014, s. 65, ELI: </w:t>
      </w:r>
      <w:hyperlink r:id="rId17" w:history="1">
        <w:r w:rsidRPr="00A80FD8">
          <w:rPr>
            <w:rStyle w:val="Hyperlink"/>
            <w:sz w:val="24"/>
            <w:szCs w:val="24"/>
            <w:lang w:val="cs-CZ"/>
          </w:rPr>
          <w:t>http://data.europa.eu/eli/dir/2014/24/oj</w:t>
        </w:r>
      </w:hyperlink>
      <w:r w:rsidRPr="00A80FD8">
        <w:rPr>
          <w:sz w:val="24"/>
          <w:szCs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704F67" w14:textId="77777777" w:rsidR="00064002" w:rsidRPr="00A777B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745674" w14:textId="77777777" w:rsidR="00064002" w:rsidRPr="00A777B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79E396" w14:textId="77777777" w:rsidR="00064002" w:rsidRPr="00A777B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B7D48CB"/>
    <w:multiLevelType w:val="hybridMultilevel"/>
    <w:tmpl w:val="B67A1D9A"/>
    <w:lvl w:ilvl="0" w:tplc="426469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12D2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FC6E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2C6C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0211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FCA1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D24B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409C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7C6E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38/2025"/>
    <w:docVar w:name="dvlangue" w:val="CS"/>
    <w:docVar w:name="dvnumam" w:val="72"/>
    <w:docVar w:name="dvpe" w:val="769.947"/>
    <w:docVar w:name="dvrapporteur" w:val="Zpravodaj: "/>
    <w:docVar w:name="dvtitre" w:val="Usnesení Evropského parlamentu ze dne 9. září 2025 o možnostech zjednodušení fondů soudržnosti(2024/2106(INI))"/>
  </w:docVars>
  <w:rsids>
    <w:rsidRoot w:val="006924BE"/>
    <w:rsid w:val="00002272"/>
    <w:rsid w:val="00004321"/>
    <w:rsid w:val="00064002"/>
    <w:rsid w:val="000677B9"/>
    <w:rsid w:val="000773CC"/>
    <w:rsid w:val="000831BA"/>
    <w:rsid w:val="000A42CC"/>
    <w:rsid w:val="000E7DD9"/>
    <w:rsid w:val="0010095E"/>
    <w:rsid w:val="00125B37"/>
    <w:rsid w:val="00187494"/>
    <w:rsid w:val="001F32AE"/>
    <w:rsid w:val="00217BAD"/>
    <w:rsid w:val="002767FF"/>
    <w:rsid w:val="002B18FE"/>
    <w:rsid w:val="002B5493"/>
    <w:rsid w:val="00343214"/>
    <w:rsid w:val="00361C00"/>
    <w:rsid w:val="00395FA1"/>
    <w:rsid w:val="003B775C"/>
    <w:rsid w:val="003E15D4"/>
    <w:rsid w:val="004041D8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02EA"/>
    <w:rsid w:val="00514517"/>
    <w:rsid w:val="00545827"/>
    <w:rsid w:val="00560270"/>
    <w:rsid w:val="005C2568"/>
    <w:rsid w:val="005F1B17"/>
    <w:rsid w:val="006037C0"/>
    <w:rsid w:val="0063257F"/>
    <w:rsid w:val="006631B6"/>
    <w:rsid w:val="00680577"/>
    <w:rsid w:val="006924BE"/>
    <w:rsid w:val="006F74FA"/>
    <w:rsid w:val="00731ADD"/>
    <w:rsid w:val="00734777"/>
    <w:rsid w:val="00747932"/>
    <w:rsid w:val="00751A4A"/>
    <w:rsid w:val="0075395F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037E"/>
    <w:rsid w:val="00A777B8"/>
    <w:rsid w:val="00A778C7"/>
    <w:rsid w:val="00A80FD8"/>
    <w:rsid w:val="00AB441E"/>
    <w:rsid w:val="00AB6293"/>
    <w:rsid w:val="00AE0928"/>
    <w:rsid w:val="00AF3B82"/>
    <w:rsid w:val="00B01E01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6045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F5ECF7"/>
  <w15:chartTrackingRefBased/>
  <w15:docId w15:val="{FF29F56B-5C98-4618-A037-1A993566A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3B775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3B775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3B775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3B775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3B775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3B775C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3B775C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3B775C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3B775C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3B775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B775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B775C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link w:val="PageHeadingChar"/>
    <w:rsid w:val="003B775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B775C"/>
    <w:rPr>
      <w:b/>
    </w:rPr>
  </w:style>
  <w:style w:type="paragraph" w:customStyle="1" w:styleId="NormalHanging12a">
    <w:name w:val="NormalHanging12a"/>
    <w:basedOn w:val="Normal"/>
    <w:link w:val="NormalHanging12aChar"/>
    <w:rsid w:val="003B775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B775C"/>
    <w:pPr>
      <w:spacing w:after="480"/>
      <w:ind w:left="1417"/>
    </w:pPr>
  </w:style>
  <w:style w:type="paragraph" w:customStyle="1" w:styleId="CoverNormal">
    <w:name w:val="CoverNormal"/>
    <w:basedOn w:val="Normal"/>
    <w:rsid w:val="003B775C"/>
    <w:pPr>
      <w:ind w:left="1418"/>
    </w:pPr>
  </w:style>
  <w:style w:type="paragraph" w:customStyle="1" w:styleId="CoverReference">
    <w:name w:val="CoverReference"/>
    <w:basedOn w:val="Normal"/>
    <w:rsid w:val="003B775C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3B775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B775C"/>
    <w:pPr>
      <w:spacing w:before="240" w:after="1200"/>
    </w:pPr>
  </w:style>
  <w:style w:type="paragraph" w:styleId="Header">
    <w:name w:val="header"/>
    <w:basedOn w:val="Normal"/>
    <w:link w:val="HeaderChar"/>
    <w:rsid w:val="003B775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B775C"/>
    <w:rPr>
      <w:sz w:val="24"/>
      <w:lang w:val="cs-CZ"/>
    </w:rPr>
  </w:style>
  <w:style w:type="paragraph" w:customStyle="1" w:styleId="EPBody">
    <w:name w:val="EPBody"/>
    <w:basedOn w:val="Normal"/>
    <w:rsid w:val="003B775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B775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B775C"/>
    <w:pPr>
      <w:spacing w:before="480" w:after="240"/>
    </w:pPr>
  </w:style>
  <w:style w:type="paragraph" w:customStyle="1" w:styleId="Normal12a">
    <w:name w:val="Normal12a"/>
    <w:basedOn w:val="Normal"/>
    <w:rsid w:val="003B775C"/>
    <w:pPr>
      <w:spacing w:after="240"/>
    </w:pPr>
  </w:style>
  <w:style w:type="paragraph" w:customStyle="1" w:styleId="CoverNormal12a">
    <w:name w:val="CoverNormal12a"/>
    <w:basedOn w:val="Normal"/>
    <w:rsid w:val="003B775C"/>
    <w:pPr>
      <w:spacing w:after="240"/>
      <w:ind w:left="1418"/>
    </w:pPr>
  </w:style>
  <w:style w:type="paragraph" w:customStyle="1" w:styleId="Normal24a">
    <w:name w:val="Normal24a"/>
    <w:basedOn w:val="Normal"/>
    <w:rsid w:val="003B775C"/>
    <w:pPr>
      <w:spacing w:after="480"/>
    </w:pPr>
  </w:style>
  <w:style w:type="paragraph" w:customStyle="1" w:styleId="NormalBoldCenter">
    <w:name w:val="NormalBoldCenter"/>
    <w:basedOn w:val="Normal"/>
    <w:rsid w:val="003B775C"/>
    <w:pPr>
      <w:jc w:val="center"/>
    </w:pPr>
    <w:rPr>
      <w:b/>
    </w:rPr>
  </w:style>
  <w:style w:type="paragraph" w:customStyle="1" w:styleId="Footprint12b">
    <w:name w:val="Footprint12b"/>
    <w:basedOn w:val="Normal"/>
    <w:rsid w:val="003B775C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3B775C"/>
    <w:rPr>
      <w:szCs w:val="24"/>
    </w:rPr>
  </w:style>
  <w:style w:type="character" w:styleId="Hyperlink">
    <w:name w:val="Hyperlink"/>
    <w:basedOn w:val="DefaultParagraphFont"/>
    <w:rsid w:val="003B775C"/>
    <w:rPr>
      <w:color w:val="0563C1" w:themeColor="hyperlink"/>
      <w:u w:val="single"/>
    </w:rPr>
  </w:style>
  <w:style w:type="paragraph" w:customStyle="1" w:styleId="AmDocTypeTab">
    <w:name w:val="AmDocTypeTab"/>
    <w:basedOn w:val="Normal"/>
    <w:rsid w:val="003B775C"/>
    <w:pPr>
      <w:tabs>
        <w:tab w:val="right" w:pos="9071"/>
      </w:tabs>
    </w:pPr>
    <w:rPr>
      <w:b/>
    </w:rPr>
  </w:style>
  <w:style w:type="paragraph" w:customStyle="1" w:styleId="AmOrLang">
    <w:name w:val="AmOrLang"/>
    <w:basedOn w:val="Normal"/>
    <w:rsid w:val="003B775C"/>
    <w:pPr>
      <w:spacing w:before="240" w:after="240"/>
      <w:jc w:val="right"/>
    </w:pPr>
  </w:style>
  <w:style w:type="character" w:customStyle="1" w:styleId="NormalHanging12aChar">
    <w:name w:val="NormalHanging12a Char"/>
    <w:basedOn w:val="DefaultParagraphFont"/>
    <w:link w:val="NormalHanging12a"/>
    <w:rsid w:val="003B775C"/>
    <w:rPr>
      <w:sz w:val="24"/>
      <w:lang w:val="cs-CZ"/>
    </w:rPr>
  </w:style>
  <w:style w:type="paragraph" w:customStyle="1" w:styleId="PageHeadingNotTOC">
    <w:name w:val="PageHeadingNotTOC"/>
    <w:basedOn w:val="Normal"/>
    <w:rsid w:val="003B775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6a">
    <w:name w:val="Normal6a"/>
    <w:basedOn w:val="Normal"/>
    <w:rsid w:val="003B775C"/>
    <w:pPr>
      <w:spacing w:after="120"/>
    </w:pPr>
  </w:style>
  <w:style w:type="paragraph" w:customStyle="1" w:styleId="AmColumnHeading">
    <w:name w:val="AmColumnHeading"/>
    <w:basedOn w:val="Normal"/>
    <w:rsid w:val="003B775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3B775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3B775C"/>
    <w:pPr>
      <w:spacing w:before="240"/>
    </w:pPr>
    <w:rPr>
      <w:b/>
    </w:rPr>
  </w:style>
  <w:style w:type="paragraph" w:customStyle="1" w:styleId="title-bold">
    <w:name w:val="title-bold"/>
    <w:basedOn w:val="Normal"/>
    <w:rsid w:val="003B775C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3B775C"/>
    <w:pPr>
      <w:widowControl/>
      <w:spacing w:before="100" w:beforeAutospacing="1" w:after="100" w:afterAutospacing="1"/>
    </w:pPr>
    <w:rPr>
      <w:szCs w:val="24"/>
    </w:rPr>
  </w:style>
  <w:style w:type="paragraph" w:customStyle="1" w:styleId="RollCallSymbols14pt">
    <w:name w:val="RollCallSymbols14pt"/>
    <w:basedOn w:val="Normal"/>
    <w:rsid w:val="003B775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3B775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3B775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3B775C"/>
    <w:pPr>
      <w:spacing w:before="120" w:after="120"/>
    </w:pPr>
    <w:rPr>
      <w:snapToGrid w:val="0"/>
      <w:sz w:val="16"/>
      <w:lang w:eastAsia="en-US"/>
    </w:rPr>
  </w:style>
  <w:style w:type="paragraph" w:customStyle="1" w:styleId="AmDateTab">
    <w:name w:val="AmDateTab"/>
    <w:basedOn w:val="Normal"/>
    <w:rsid w:val="003B775C"/>
    <w:pPr>
      <w:tabs>
        <w:tab w:val="right" w:pos="9071"/>
      </w:tabs>
    </w:pPr>
  </w:style>
  <w:style w:type="paragraph" w:customStyle="1" w:styleId="AmJustText">
    <w:name w:val="AmJustText"/>
    <w:basedOn w:val="Normal"/>
    <w:rsid w:val="003B775C"/>
    <w:pPr>
      <w:spacing w:after="240"/>
    </w:pPr>
    <w:rPr>
      <w:i/>
    </w:rPr>
  </w:style>
  <w:style w:type="paragraph" w:customStyle="1" w:styleId="AmCrossRef">
    <w:name w:val="AmCrossRef"/>
    <w:basedOn w:val="Normal"/>
    <w:rsid w:val="003B775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B775C"/>
    <w:pPr>
      <w:keepNext/>
      <w:spacing w:before="240" w:after="240"/>
      <w:jc w:val="center"/>
    </w:pPr>
    <w:rPr>
      <w:i/>
    </w:rPr>
  </w:style>
  <w:style w:type="character" w:customStyle="1" w:styleId="Normal6Char">
    <w:name w:val="Normal6 Char"/>
    <w:basedOn w:val="DefaultParagraphFont"/>
    <w:link w:val="Normal6"/>
    <w:locked/>
    <w:rsid w:val="003B775C"/>
    <w:rPr>
      <w:sz w:val="24"/>
    </w:rPr>
  </w:style>
  <w:style w:type="paragraph" w:customStyle="1" w:styleId="Normal6">
    <w:name w:val="Normal6"/>
    <w:basedOn w:val="Normal"/>
    <w:link w:val="Normal6Char"/>
    <w:rsid w:val="003B775C"/>
    <w:pPr>
      <w:spacing w:after="120"/>
    </w:pPr>
    <w:rPr>
      <w:lang w:val="en-GB"/>
    </w:rPr>
  </w:style>
  <w:style w:type="character" w:customStyle="1" w:styleId="NormalBoldChar">
    <w:name w:val="NormalBold Char"/>
    <w:basedOn w:val="DefaultParagraphFont"/>
    <w:link w:val="NormalBold"/>
    <w:locked/>
    <w:rsid w:val="003B775C"/>
    <w:rPr>
      <w:b/>
      <w:sz w:val="24"/>
      <w:lang w:val="cs-CZ"/>
    </w:rPr>
  </w:style>
  <w:style w:type="paragraph" w:customStyle="1" w:styleId="ColumnHeading">
    <w:name w:val="ColumnHeading"/>
    <w:basedOn w:val="Normal"/>
    <w:rsid w:val="003B775C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3B775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3B775C"/>
    <w:pPr>
      <w:jc w:val="right"/>
    </w:pPr>
    <w:rPr>
      <w:lang w:val="cs-CZ"/>
    </w:rPr>
  </w:style>
  <w:style w:type="paragraph" w:styleId="Footer">
    <w:name w:val="footer"/>
    <w:basedOn w:val="Normal"/>
    <w:link w:val="FooterChar"/>
    <w:rsid w:val="003B775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B775C"/>
    <w:rPr>
      <w:sz w:val="24"/>
      <w:lang w:val="cs-CZ"/>
    </w:rPr>
  </w:style>
  <w:style w:type="paragraph" w:customStyle="1" w:styleId="LetterSalutation">
    <w:name w:val="LetterSalutation"/>
    <w:basedOn w:val="Normal"/>
    <w:rsid w:val="003B775C"/>
    <w:pPr>
      <w:spacing w:before="600" w:after="360"/>
    </w:pPr>
  </w:style>
  <w:style w:type="paragraph" w:styleId="BalloonText">
    <w:name w:val="Balloon Text"/>
    <w:basedOn w:val="Normal"/>
    <w:link w:val="BalloonTextChar"/>
    <w:unhideWhenUsed/>
    <w:rsid w:val="003B77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B775C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rsid w:val="003B775C"/>
    <w:rPr>
      <w:sz w:val="16"/>
      <w:szCs w:val="16"/>
    </w:rPr>
  </w:style>
  <w:style w:type="paragraph" w:styleId="CommentText">
    <w:name w:val="annotation text"/>
    <w:basedOn w:val="Normal"/>
    <w:link w:val="CommentTextChar"/>
    <w:rsid w:val="003B775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B775C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B77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B775C"/>
    <w:rPr>
      <w:b/>
      <w:bCs/>
      <w:lang w:val="cs-CZ"/>
    </w:rPr>
  </w:style>
  <w:style w:type="paragraph" w:styleId="Revision">
    <w:name w:val="Revision"/>
    <w:hidden/>
    <w:uiPriority w:val="99"/>
    <w:semiHidden/>
    <w:rsid w:val="003B775C"/>
    <w:rPr>
      <w:sz w:val="24"/>
      <w:lang w:val="cs-CZ"/>
    </w:rPr>
  </w:style>
  <w:style w:type="character" w:customStyle="1" w:styleId="AmNumberTabsChar">
    <w:name w:val="AmNumberTabs Char"/>
    <w:basedOn w:val="DefaultParagraphFont"/>
    <w:link w:val="AmNumberTabs"/>
    <w:rsid w:val="003B775C"/>
    <w:rPr>
      <w:b/>
      <w:sz w:val="24"/>
      <w:lang w:val="cs-CZ"/>
    </w:rPr>
  </w:style>
  <w:style w:type="character" w:customStyle="1" w:styleId="NormalBold12bChar">
    <w:name w:val="NormalBold12b Char"/>
    <w:basedOn w:val="AmNumberTabsChar"/>
    <w:link w:val="NormalBold12b"/>
    <w:rsid w:val="003B775C"/>
    <w:rPr>
      <w:b/>
      <w:sz w:val="24"/>
      <w:lang w:val="cs-CZ"/>
    </w:rPr>
  </w:style>
  <w:style w:type="character" w:styleId="FollowedHyperlink">
    <w:name w:val="FollowedHyperlink"/>
    <w:basedOn w:val="DefaultParagraphFont"/>
    <w:rsid w:val="003B775C"/>
    <w:rPr>
      <w:color w:val="954F72" w:themeColor="followedHyperlink"/>
      <w:u w:val="single"/>
    </w:rPr>
  </w:style>
  <w:style w:type="paragraph" w:customStyle="1" w:styleId="LetterSubject">
    <w:name w:val="LetterSubject"/>
    <w:basedOn w:val="Normal"/>
    <w:rsid w:val="003B775C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3B775C"/>
    <w:pPr>
      <w:spacing w:before="1320"/>
    </w:pPr>
  </w:style>
  <w:style w:type="paragraph" w:customStyle="1" w:styleId="Normal12">
    <w:name w:val="Normal12"/>
    <w:basedOn w:val="Normal"/>
    <w:link w:val="Normal12Char"/>
    <w:rsid w:val="003B775C"/>
    <w:pPr>
      <w:spacing w:after="240"/>
    </w:pPr>
    <w:rPr>
      <w:rFonts w:ascii="Arial" w:hAnsi="Arial" w:cs="Arial"/>
    </w:rPr>
  </w:style>
  <w:style w:type="character" w:customStyle="1" w:styleId="PageHeadingChar">
    <w:name w:val="PageHeading Char"/>
    <w:basedOn w:val="DefaultParagraphFont"/>
    <w:link w:val="PageHeading"/>
    <w:rsid w:val="003B775C"/>
    <w:rPr>
      <w:rFonts w:ascii="Arial" w:hAnsi="Arial" w:cs="Arial"/>
      <w:b/>
      <w:sz w:val="24"/>
      <w:lang w:val="cs-CZ"/>
    </w:rPr>
  </w:style>
  <w:style w:type="character" w:customStyle="1" w:styleId="Normal12Char">
    <w:name w:val="Normal12 Char"/>
    <w:basedOn w:val="PageHeadingChar"/>
    <w:link w:val="Normal12"/>
    <w:rsid w:val="003B775C"/>
    <w:rPr>
      <w:rFonts w:ascii="Arial" w:hAnsi="Arial" w:cs="Arial"/>
      <w:b w:val="0"/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13/1305/oj" TargetMode="External"/><Relationship Id="rId13" Type="http://schemas.openxmlformats.org/officeDocument/2006/relationships/hyperlink" Target="http://data.europa.eu/eli/reg/2014/651/oj" TargetMode="External"/><Relationship Id="rId3" Type="http://schemas.openxmlformats.org/officeDocument/2006/relationships/hyperlink" Target="http://data.europa.eu/eli/reg/2021/1056/oj" TargetMode="External"/><Relationship Id="rId7" Type="http://schemas.openxmlformats.org/officeDocument/2006/relationships/hyperlink" Target="http://data.europa.eu/eli/reg/2025/925/oj" TargetMode="External"/><Relationship Id="rId12" Type="http://schemas.openxmlformats.org/officeDocument/2006/relationships/hyperlink" Target="http://data.europa.eu/eli/C/2025/773/oj" TargetMode="External"/><Relationship Id="rId17" Type="http://schemas.openxmlformats.org/officeDocument/2006/relationships/hyperlink" Target="http://data.europa.eu/eli/dir/2014/24/oj." TargetMode="External"/><Relationship Id="rId2" Type="http://schemas.openxmlformats.org/officeDocument/2006/relationships/hyperlink" Target="http://data.europa.eu/eli/reg/2021/1058/oj" TargetMode="External"/><Relationship Id="rId16" Type="http://schemas.openxmlformats.org/officeDocument/2006/relationships/hyperlink" Target="http://data.europa.eu/eli/reg/2020/2092/oj" TargetMode="External"/><Relationship Id="rId1" Type="http://schemas.openxmlformats.org/officeDocument/2006/relationships/hyperlink" Target="http://data.europa.eu/eli/reg/2021/1060/oj" TargetMode="External"/><Relationship Id="rId6" Type="http://schemas.openxmlformats.org/officeDocument/2006/relationships/hyperlink" Target="http://data.europa.eu/eli/reg/2020/460/oj" TargetMode="External"/><Relationship Id="rId11" Type="http://schemas.openxmlformats.org/officeDocument/2006/relationships/hyperlink" Target="http://data.europa.eu/eli/C/2025/2018/oj" TargetMode="External"/><Relationship Id="rId5" Type="http://schemas.openxmlformats.org/officeDocument/2006/relationships/hyperlink" Target="http://data.europa.eu/eli/reg/2021/1057/oj" TargetMode="External"/><Relationship Id="rId15" Type="http://schemas.openxmlformats.org/officeDocument/2006/relationships/hyperlink" Target="http://data.europa.eu/eli/C/2024/5471/oj" TargetMode="External"/><Relationship Id="rId10" Type="http://schemas.openxmlformats.org/officeDocument/2006/relationships/hyperlink" Target="http://data.europa.eu/eli/C/2024/5704/oj" TargetMode="External"/><Relationship Id="rId4" Type="http://schemas.openxmlformats.org/officeDocument/2006/relationships/hyperlink" Target="http://data.europa.eu/eli/reg/2021/1059/oj" TargetMode="External"/><Relationship Id="rId9" Type="http://schemas.openxmlformats.org/officeDocument/2006/relationships/hyperlink" Target="http://data.europa.eu/eli/reg_del/2014/240/oj" TargetMode="External"/><Relationship Id="rId14" Type="http://schemas.openxmlformats.org/officeDocument/2006/relationships/hyperlink" Target="http://data.europa.eu/eli/reg/2024/250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6B81BF-0C8D-4675-B991-EE943328D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6274</Words>
  <Characters>38818</Characters>
  <Application>Microsoft Office Word</Application>
  <DocSecurity>0</DocSecurity>
  <Lines>732</Lines>
  <Paragraphs>273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SOCHOROVA Lenka</cp:lastModifiedBy>
  <cp:revision>2</cp:revision>
  <cp:lastPrinted>2004-11-19T15:42:00Z</cp:lastPrinted>
  <dcterms:created xsi:type="dcterms:W3CDTF">2025-10-16T13:06:00Z</dcterms:created>
  <dcterms:modified xsi:type="dcterms:W3CDTF">2025-10-16T13:06:00Z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A10-0138/2025</vt:lpwstr>
  </property>
  <property fmtid="{D5CDD505-2E9C-101B-9397-08002B2CF9AE}" pid="4" name="&lt;Type&gt;">
    <vt:lpwstr>RR</vt:lpwstr>
  </property>
</Properties>
</file>