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062B5" w14:paraId="7A6B761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DC9761" w14:textId="17B5F9F7" w:rsidR="00751A4A" w:rsidRPr="00F062B5" w:rsidRDefault="000F5C4A" w:rsidP="0010095E">
            <w:pPr>
              <w:pStyle w:val="EPName"/>
            </w:pPr>
            <w:r w:rsidRPr="00F062B5">
              <w:t>Parlament Europejski</w:t>
            </w:r>
          </w:p>
          <w:p w14:paraId="4FA852FB" w14:textId="77777777" w:rsidR="00751A4A" w:rsidRPr="00F062B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062B5">
              <w:t>2024</w:t>
            </w:r>
            <w:r w:rsidR="00817416" w:rsidRPr="00F062B5">
              <w:t>-202</w:t>
            </w:r>
            <w:r w:rsidRPr="00F062B5">
              <w:t>9</w:t>
            </w:r>
          </w:p>
        </w:tc>
        <w:tc>
          <w:tcPr>
            <w:tcW w:w="2268" w:type="dxa"/>
            <w:shd w:val="clear" w:color="auto" w:fill="auto"/>
          </w:tcPr>
          <w:p w14:paraId="078452DC" w14:textId="77777777" w:rsidR="00751A4A" w:rsidRPr="00F062B5" w:rsidRDefault="00187494" w:rsidP="0010095E">
            <w:pPr>
              <w:pStyle w:val="EPLogo"/>
            </w:pPr>
            <w:r w:rsidRPr="00F062B5">
              <w:rPr>
                <w:noProof/>
                <w:lang w:eastAsia="ja-JP"/>
              </w:rPr>
              <w:drawing>
                <wp:inline distT="0" distB="0" distL="0" distR="0" wp14:anchorId="52C6C2BD" wp14:editId="2E299E1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9D7A91" w14:textId="77777777" w:rsidR="00D058B8" w:rsidRPr="00F062B5" w:rsidRDefault="00D058B8" w:rsidP="004C5D52">
      <w:pPr>
        <w:pStyle w:val="LineTop"/>
      </w:pPr>
    </w:p>
    <w:p w14:paraId="3F73C10D" w14:textId="1E39D9F1" w:rsidR="00680577" w:rsidRPr="00F062B5" w:rsidRDefault="000F5C4A" w:rsidP="00680577">
      <w:pPr>
        <w:pStyle w:val="EPBodyTA1"/>
      </w:pPr>
      <w:r w:rsidRPr="00F062B5">
        <w:t>TEKSTY PRZYJĘTE</w:t>
      </w:r>
    </w:p>
    <w:p w14:paraId="56C1E849" w14:textId="77777777" w:rsidR="00D058B8" w:rsidRPr="00F062B5" w:rsidRDefault="00D058B8" w:rsidP="00D058B8">
      <w:pPr>
        <w:pStyle w:val="LineBottom"/>
      </w:pPr>
    </w:p>
    <w:p w14:paraId="09C55481" w14:textId="30ABA454" w:rsidR="000F5C4A" w:rsidRPr="00F062B5" w:rsidRDefault="000F5C4A" w:rsidP="000F5C4A">
      <w:pPr>
        <w:pStyle w:val="ATHeading1"/>
      </w:pPr>
      <w:bookmarkStart w:id="0" w:name="TANumber"/>
      <w:r w:rsidRPr="00F062B5">
        <w:t>P10_TA(2025)0</w:t>
      </w:r>
      <w:bookmarkEnd w:id="0"/>
      <w:r w:rsidR="00E452A4">
        <w:t>188</w:t>
      </w:r>
    </w:p>
    <w:p w14:paraId="641A58D6" w14:textId="77777777" w:rsidR="000F5C4A" w:rsidRPr="00F062B5" w:rsidRDefault="000F5C4A" w:rsidP="000F5C4A">
      <w:pPr>
        <w:pStyle w:val="ATHeading2"/>
      </w:pPr>
      <w:bookmarkStart w:id="1" w:name="title"/>
      <w:r w:rsidRPr="00F062B5">
        <w:t>Możliwości uproszczenia funduszy spójności</w:t>
      </w:r>
      <w:bookmarkEnd w:id="1"/>
    </w:p>
    <w:p w14:paraId="367EDAD1" w14:textId="77777777" w:rsidR="000F5C4A" w:rsidRPr="00F062B5" w:rsidRDefault="000F5C4A" w:rsidP="000F5C4A">
      <w:pPr>
        <w:rPr>
          <w:i/>
          <w:vanish/>
        </w:rPr>
      </w:pPr>
      <w:r w:rsidRPr="00F062B5">
        <w:rPr>
          <w:i/>
        </w:rPr>
        <w:fldChar w:fldCharType="begin"/>
      </w:r>
      <w:r w:rsidRPr="00F062B5">
        <w:rPr>
          <w:i/>
        </w:rPr>
        <w:instrText xml:space="preserve"> TC"(</w:instrText>
      </w:r>
      <w:bookmarkStart w:id="2" w:name="DocNumber"/>
      <w:r w:rsidRPr="00F062B5">
        <w:rPr>
          <w:i/>
        </w:rPr>
        <w:instrText>A10-0138/2025</w:instrText>
      </w:r>
      <w:bookmarkEnd w:id="2"/>
      <w:r w:rsidRPr="00F062B5">
        <w:rPr>
          <w:i/>
        </w:rPr>
        <w:instrText xml:space="preserve"> - Sprawozdawca: Vladimir Prebilič)"\l3 \n&gt; \* MERGEFORMAT </w:instrText>
      </w:r>
      <w:r w:rsidRPr="00F062B5">
        <w:rPr>
          <w:i/>
        </w:rPr>
        <w:fldChar w:fldCharType="end"/>
      </w:r>
    </w:p>
    <w:p w14:paraId="7C61BB24" w14:textId="77777777" w:rsidR="000F5C4A" w:rsidRPr="00F062B5" w:rsidRDefault="000F5C4A" w:rsidP="000F5C4A">
      <w:pPr>
        <w:rPr>
          <w:vanish/>
        </w:rPr>
      </w:pPr>
      <w:bookmarkStart w:id="3" w:name="Commission"/>
      <w:r w:rsidRPr="00F062B5">
        <w:rPr>
          <w:vanish/>
        </w:rPr>
        <w:t>Komisja Rozwoju Regionalnego</w:t>
      </w:r>
      <w:bookmarkEnd w:id="3"/>
    </w:p>
    <w:p w14:paraId="2D89629B" w14:textId="77777777" w:rsidR="000F5C4A" w:rsidRPr="00F062B5" w:rsidRDefault="000F5C4A" w:rsidP="000F5C4A">
      <w:pPr>
        <w:rPr>
          <w:vanish/>
        </w:rPr>
      </w:pPr>
      <w:bookmarkStart w:id="4" w:name="PE"/>
      <w:r w:rsidRPr="00F062B5">
        <w:rPr>
          <w:vanish/>
        </w:rPr>
        <w:t>PE769.947</w:t>
      </w:r>
      <w:bookmarkEnd w:id="4"/>
    </w:p>
    <w:p w14:paraId="69B119BD" w14:textId="6A994A94" w:rsidR="000F5C4A" w:rsidRPr="00F062B5" w:rsidRDefault="000F5C4A" w:rsidP="000F5C4A">
      <w:pPr>
        <w:pStyle w:val="ATHeading3"/>
      </w:pPr>
      <w:bookmarkStart w:id="5" w:name="Sujet"/>
      <w:r w:rsidRPr="00F062B5">
        <w:t xml:space="preserve">Rezolucja Parlamentu Europejskiego z dnia </w:t>
      </w:r>
      <w:r w:rsidR="00F3390B">
        <w:t>10</w:t>
      </w:r>
      <w:r w:rsidR="00890467">
        <w:t xml:space="preserve"> września</w:t>
      </w:r>
      <w:r w:rsidRPr="00F062B5">
        <w:t xml:space="preserve"> 2025 r. w sprawie możliwości uproszczenia funduszy spójności</w:t>
      </w:r>
      <w:bookmarkEnd w:id="5"/>
      <w:r w:rsidRPr="00F062B5">
        <w:t xml:space="preserve"> </w:t>
      </w:r>
      <w:bookmarkStart w:id="6" w:name="References"/>
      <w:r w:rsidRPr="00F062B5">
        <w:t>(2024/2106(INI))</w:t>
      </w:r>
      <w:bookmarkEnd w:id="6"/>
    </w:p>
    <w:p w14:paraId="1BC64A0A" w14:textId="77777777" w:rsidR="00346D6F" w:rsidRPr="00F062B5" w:rsidRDefault="00346D6F" w:rsidP="00346D6F">
      <w:pPr>
        <w:pStyle w:val="EPComma"/>
      </w:pPr>
      <w:r w:rsidRPr="00F062B5">
        <w:rPr>
          <w:i/>
        </w:rPr>
        <w:t>Parlament Europejski</w:t>
      </w:r>
      <w:r w:rsidRPr="00F062B5">
        <w:t>,</w:t>
      </w:r>
    </w:p>
    <w:p w14:paraId="211317CF" w14:textId="77777777" w:rsidR="00346D6F" w:rsidRPr="00F062B5" w:rsidRDefault="00346D6F" w:rsidP="00346D6F">
      <w:pPr>
        <w:pStyle w:val="NormalHanging12a"/>
      </w:pPr>
      <w:r w:rsidRPr="00F062B5">
        <w:t>–</w:t>
      </w:r>
      <w:r w:rsidRPr="00F062B5">
        <w:tab/>
        <w:t>uwzględniając art. 4, art. 162, art. 174–178 i art. 349 Traktatu o funkcjonowaniu Unii Europejskiej (TFUE),</w:t>
      </w:r>
    </w:p>
    <w:p w14:paraId="7485202F" w14:textId="77777777" w:rsidR="00346D6F" w:rsidRPr="00F062B5" w:rsidRDefault="00346D6F" w:rsidP="00346D6F">
      <w:pPr>
        <w:pStyle w:val="NormalHanging12a"/>
      </w:pPr>
      <w:r w:rsidRPr="00F062B5">
        <w:t>–</w:t>
      </w:r>
      <w:r w:rsidRPr="00F062B5">
        <w:tab/>
        <w:t>uwzględniając rozporządzenie Parlamentu Europejskiego i Rady (UE) 2021/1060 z dnia 24 czerwca 2021 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</w:t>
      </w:r>
      <w:r w:rsidRPr="00F062B5">
        <w:rPr>
          <w:rStyle w:val="FootnoteReference"/>
        </w:rPr>
        <w:footnoteReference w:id="1"/>
      </w:r>
      <w:r w:rsidRPr="00F062B5">
        <w:t xml:space="preserve"> (rozporządzenie w sprawie wspólnych przepisów),</w:t>
      </w:r>
    </w:p>
    <w:p w14:paraId="3230AFEC" w14:textId="77777777" w:rsidR="00346D6F" w:rsidRPr="00F062B5" w:rsidRDefault="00346D6F" w:rsidP="00346D6F">
      <w:pPr>
        <w:pStyle w:val="NormalHanging12a"/>
      </w:pPr>
      <w:r w:rsidRPr="00F062B5">
        <w:t>–</w:t>
      </w:r>
      <w:r w:rsidRPr="00F062B5">
        <w:tab/>
        <w:t>uwzględniając rozporządzenie Parlamentu Europejskiego i Rady (UE) 2021/1058 z dnia 24 czerwca 2021 r. w sprawie Europejskiego Funduszu Rozwoju Regionalnego i Funduszu Spójności</w:t>
      </w:r>
      <w:r w:rsidRPr="00F062B5">
        <w:rPr>
          <w:rStyle w:val="FootnoteReference"/>
        </w:rPr>
        <w:footnoteReference w:id="2"/>
      </w:r>
      <w:r w:rsidRPr="00F062B5">
        <w:t>,</w:t>
      </w:r>
    </w:p>
    <w:p w14:paraId="10D9CC86" w14:textId="77777777" w:rsidR="00346D6F" w:rsidRPr="00F062B5" w:rsidRDefault="00346D6F" w:rsidP="00346D6F">
      <w:pPr>
        <w:pStyle w:val="NormalHanging12a"/>
      </w:pPr>
      <w:r w:rsidRPr="00F062B5">
        <w:t>–</w:t>
      </w:r>
      <w:r w:rsidRPr="00F062B5">
        <w:tab/>
        <w:t>uwzględniając rozporządzenie Parlamentu Europejskiego i Rady (UE) 2021/1056 z dnia 24 czerwca 2021 r. ustanawiające Fundusz na rzecz Sprawiedliwej Transformacji</w:t>
      </w:r>
      <w:r w:rsidRPr="00F062B5">
        <w:rPr>
          <w:rStyle w:val="FootnoteReference"/>
        </w:rPr>
        <w:footnoteReference w:id="3"/>
      </w:r>
      <w:r w:rsidRPr="00F062B5">
        <w:t>,</w:t>
      </w:r>
    </w:p>
    <w:p w14:paraId="0E87F7B7" w14:textId="77777777" w:rsidR="00346D6F" w:rsidRPr="00F062B5" w:rsidRDefault="00346D6F" w:rsidP="00346D6F">
      <w:pPr>
        <w:pStyle w:val="NormalHanging12a"/>
      </w:pPr>
      <w:r w:rsidRPr="00F062B5">
        <w:t>–</w:t>
      </w:r>
      <w:r w:rsidRPr="00F062B5">
        <w:tab/>
        <w:t>uwzględniając rozporządzenie Parlamentu Europejskiego i Rady (UE) 2021/1059 z dnia 24 czerwca 2021 r. w sprawie przepisów szczegółowych dotyczących celu „Europejska współpraca terytorialna” (</w:t>
      </w:r>
      <w:proofErr w:type="spellStart"/>
      <w:r w:rsidRPr="00F062B5">
        <w:t>Interreg</w:t>
      </w:r>
      <w:proofErr w:type="spellEnd"/>
      <w:r w:rsidRPr="00F062B5">
        <w:t>) wspieranego w ramach Europejskiego Funduszu Rozwoju Regionalnego oraz instrumentów finansowania zewnętrznego</w:t>
      </w:r>
      <w:r w:rsidRPr="00F062B5">
        <w:rPr>
          <w:rStyle w:val="FootnoteReference"/>
        </w:rPr>
        <w:footnoteReference w:id="4"/>
      </w:r>
      <w:r w:rsidRPr="00F062B5">
        <w:t>,</w:t>
      </w:r>
    </w:p>
    <w:p w14:paraId="1136E274" w14:textId="77777777" w:rsidR="00346D6F" w:rsidRPr="00F062B5" w:rsidRDefault="00346D6F" w:rsidP="00346D6F">
      <w:pPr>
        <w:pStyle w:val="NormalHanging12a"/>
      </w:pPr>
      <w:r w:rsidRPr="00F062B5">
        <w:t>–</w:t>
      </w:r>
      <w:r w:rsidRPr="00F062B5">
        <w:tab/>
        <w:t xml:space="preserve">uwzględniając rozporządzenie Parlamentu Europejskiego i Rady (UE) 2021/1057 z dnia 24 czerwca 2021 r. ustanawiające Europejski Fundusz Społeczny Plus (EFS+) oraz </w:t>
      </w:r>
      <w:r w:rsidRPr="00F062B5">
        <w:lastRenderedPageBreak/>
        <w:t>uchylające rozporządzenie (UE) nr 1296/2013</w:t>
      </w:r>
      <w:r w:rsidRPr="00F062B5">
        <w:rPr>
          <w:rStyle w:val="FootnoteReference"/>
        </w:rPr>
        <w:footnoteReference w:id="5"/>
      </w:r>
      <w:r w:rsidRPr="00F062B5">
        <w:t>,</w:t>
      </w:r>
    </w:p>
    <w:p w14:paraId="019A2DBF" w14:textId="77777777" w:rsidR="00346D6F" w:rsidRPr="00F062B5" w:rsidRDefault="00346D6F" w:rsidP="00346D6F">
      <w:pPr>
        <w:pStyle w:val="NormalHanging12a"/>
      </w:pPr>
      <w:r w:rsidRPr="00F062B5">
        <w:t>–</w:t>
      </w:r>
      <w:r w:rsidRPr="00F062B5">
        <w:tab/>
        <w:t>uwzględniając rozporządzenie Parlamentu Europejskiego i Rady (UE) 2020/460 z dnia 30 marca 2020 r. zmieniające rozporządzenia (UE) nr 1301/2013, (UE) nr 1303/2013 oraz (UE) nr 508/2014 w odniesieniu do szczególnych środków w celu uruchomienia inwestycji w systemach ochrony zdrowia państw członkowskich oraz w innych sektorach ich gospodarek w odpowiedzi na epidemię COVID-19 (Inicjatywa inwestycyjna w odpowiedzi na koronawirusa)</w:t>
      </w:r>
      <w:r w:rsidRPr="00F062B5">
        <w:rPr>
          <w:rStyle w:val="FootnoteReference"/>
        </w:rPr>
        <w:footnoteReference w:id="6"/>
      </w:r>
      <w:r w:rsidRPr="00F062B5">
        <w:t>,</w:t>
      </w:r>
    </w:p>
    <w:p w14:paraId="12D9B54E" w14:textId="77777777" w:rsidR="00346D6F" w:rsidRPr="00F062B5" w:rsidRDefault="00346D6F" w:rsidP="00346D6F">
      <w:pPr>
        <w:pStyle w:val="NormalHanging12a"/>
        <w:rPr>
          <w:b/>
          <w:i/>
          <w:szCs w:val="24"/>
        </w:rPr>
      </w:pPr>
      <w:r w:rsidRPr="00F062B5">
        <w:rPr>
          <w:b/>
          <w:i/>
        </w:rPr>
        <w:t>–</w:t>
      </w:r>
      <w:r w:rsidRPr="00F062B5">
        <w:rPr>
          <w:b/>
          <w:i/>
        </w:rPr>
        <w:tab/>
      </w:r>
      <w:r w:rsidRPr="00F062B5">
        <w:t>uwzględniając rozporządzenie Parlamentu Europejskiego i Rady (UE) 2025/925 z dnia 7 maja 2025 r. w sprawie instrumentu na rzecz rozwoju i wzrostu regionów przygranicznych (</w:t>
      </w:r>
      <w:proofErr w:type="spellStart"/>
      <w:r w:rsidRPr="00F062B5">
        <w:t>BRIDGEforEU</w:t>
      </w:r>
      <w:proofErr w:type="spellEnd"/>
      <w:r w:rsidRPr="00F062B5">
        <w:t>)</w:t>
      </w:r>
      <w:r w:rsidRPr="00F062B5">
        <w:rPr>
          <w:rStyle w:val="FootnoteReference"/>
          <w:bCs/>
          <w:iCs/>
        </w:rPr>
        <w:footnoteReference w:id="7"/>
      </w:r>
      <w:r w:rsidRPr="00F062B5">
        <w:t>;</w:t>
      </w:r>
    </w:p>
    <w:p w14:paraId="450D3EAA" w14:textId="77777777" w:rsidR="00346D6F" w:rsidRPr="00F062B5" w:rsidRDefault="00346D6F" w:rsidP="00346D6F">
      <w:pPr>
        <w:pStyle w:val="NormalHanging12a"/>
      </w:pPr>
      <w:r w:rsidRPr="00F062B5">
        <w:t>–</w:t>
      </w:r>
      <w:r w:rsidRPr="00F062B5">
        <w:tab/>
        <w:t>uwzględniając rozporządzenie Parlamentu Europejskiego i Rady (UE) nr 1305/2013 z dnia 17 grudnia 2013 r. w sprawie wsparcia rozwoju obszarów wiejskich przez Europejski Fundusz Rolny na rzecz Rozwoju Obszarów Wiejskich (EFRROW) i uchylające rozporządzenie Rady (WE) nr 1698/2005</w:t>
      </w:r>
      <w:r w:rsidRPr="00F062B5">
        <w:rPr>
          <w:rStyle w:val="FootnoteReference"/>
        </w:rPr>
        <w:footnoteReference w:id="8"/>
      </w:r>
      <w:r w:rsidRPr="00F062B5">
        <w:t>,</w:t>
      </w:r>
    </w:p>
    <w:p w14:paraId="2829D01F" w14:textId="77777777" w:rsidR="00346D6F" w:rsidRPr="00F062B5" w:rsidRDefault="00346D6F" w:rsidP="00346D6F">
      <w:pPr>
        <w:pStyle w:val="NormalHanging12a"/>
      </w:pPr>
      <w:r w:rsidRPr="00F062B5">
        <w:t>–</w:t>
      </w:r>
      <w:r w:rsidRPr="00F062B5">
        <w:tab/>
        <w:t>uwzględniając rozporządzenie delegowane Komisji (UE) nr 240/2014 z dnia 7 stycznia 2014 r. w sprawie europejskiego kodeksu postępowania w zakresie partnerstwa w ramach europejskich funduszy strukturalnych i inwestycyjnych</w:t>
      </w:r>
      <w:r w:rsidRPr="00F062B5">
        <w:rPr>
          <w:rStyle w:val="FootnoteReference"/>
        </w:rPr>
        <w:footnoteReference w:id="9"/>
      </w:r>
      <w:r w:rsidRPr="00F062B5">
        <w:t xml:space="preserve"> (europejski kodeks postępowania w zakresie partnerstwa),</w:t>
      </w:r>
    </w:p>
    <w:p w14:paraId="6721F4A6" w14:textId="77777777" w:rsidR="00346D6F" w:rsidRPr="00F062B5" w:rsidRDefault="00346D6F" w:rsidP="00346D6F">
      <w:pPr>
        <w:pStyle w:val="NormalHanging12a"/>
      </w:pPr>
      <w:r w:rsidRPr="00F062B5">
        <w:t>–</w:t>
      </w:r>
      <w:r w:rsidRPr="00F062B5">
        <w:tab/>
        <w:t>uwzględniając swoją rezolucję z 16 stycznia 2024 r. w sprawie realizacji rozwoju terytorialnego (rozporządzenie w sprawie wspólnych przepisów, tytuł III rozdział II) i jego stosowania w Agendzie Terytorialnej Unii Europejskiej 2030</w:t>
      </w:r>
      <w:r w:rsidRPr="00F062B5">
        <w:rPr>
          <w:rStyle w:val="FootnoteReference"/>
        </w:rPr>
        <w:footnoteReference w:id="10"/>
      </w:r>
      <w:r w:rsidRPr="00F062B5">
        <w:t>,</w:t>
      </w:r>
    </w:p>
    <w:p w14:paraId="1CB377C6" w14:textId="77777777" w:rsidR="00346D6F" w:rsidRPr="00F062B5" w:rsidRDefault="00346D6F" w:rsidP="00346D6F">
      <w:pPr>
        <w:pStyle w:val="NormalHanging12a"/>
      </w:pPr>
      <w:r w:rsidRPr="00F062B5">
        <w:t>–</w:t>
      </w:r>
      <w:r w:rsidRPr="00F062B5">
        <w:tab/>
        <w:t>uwzględniając opinię Komitetu Regionów z 24 stycznia 2025 r. pt. „Budżet UE i polityka ukierunkowana na konkretny obszar: propozycje dotyczące nowych mechanizmów projektowania i realizacji w kontekście WRF na okres po 2027 r.”,</w:t>
      </w:r>
    </w:p>
    <w:p w14:paraId="2C0696E3" w14:textId="77777777" w:rsidR="00346D6F" w:rsidRPr="00F062B5" w:rsidRDefault="00346D6F" w:rsidP="00346D6F">
      <w:pPr>
        <w:pStyle w:val="NormalHanging12a"/>
        <w:rPr>
          <w:bCs/>
          <w:iCs/>
        </w:rPr>
      </w:pPr>
      <w:r w:rsidRPr="00F062B5">
        <w:t>–</w:t>
      </w:r>
      <w:r w:rsidRPr="00F062B5">
        <w:tab/>
        <w:t>uwzględniając opinię Europejskiego Komitetu Ekonomiczno-Społecznego z 27 lutego 2025 r. pt. „Wzmocnienie orientacji na rezultaty w ramach polityki spójności po 2027 r. – wyzwania, ryzyka i szanse”</w:t>
      </w:r>
      <w:r w:rsidRPr="00F062B5">
        <w:rPr>
          <w:rStyle w:val="FootnoteReference"/>
          <w:bCs/>
          <w:iCs/>
        </w:rPr>
        <w:footnoteReference w:id="11"/>
      </w:r>
      <w:r w:rsidRPr="00F062B5">
        <w:t>,</w:t>
      </w:r>
    </w:p>
    <w:p w14:paraId="13D73F89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–</w:t>
      </w:r>
      <w:r w:rsidRPr="00F062B5">
        <w:tab/>
        <w:t>uwzględniając komunikat Komisji z 11 lutego 2025 r. pt. „Droga ku następnym wieloletnim ramom finansowym” (COM(2025)0046),</w:t>
      </w:r>
    </w:p>
    <w:p w14:paraId="43AD1FAB" w14:textId="77777777" w:rsidR="00346D6F" w:rsidRPr="00F062B5" w:rsidRDefault="00346D6F" w:rsidP="00346D6F">
      <w:pPr>
        <w:pStyle w:val="NormalHanging12a"/>
        <w:rPr>
          <w:b/>
          <w:i/>
          <w:szCs w:val="24"/>
        </w:rPr>
      </w:pPr>
      <w:r w:rsidRPr="00F062B5">
        <w:t>–</w:t>
      </w:r>
      <w:r w:rsidRPr="00F062B5">
        <w:tab/>
        <w:t>uwzględniając opinię Europejskiego Komitetu Ekonomiczno-Społecznego z 5 grudnia 2024 r. pt. „Przegląd agendy terytorialnej 2030 – W kierunku bardziej zintegrowanego i obywatelskiego podejścia z silniejszym powiązaniem z polityką spójności”</w:t>
      </w:r>
      <w:r w:rsidRPr="00F062B5">
        <w:rPr>
          <w:rStyle w:val="FootnoteReference"/>
          <w:bCs/>
          <w:iCs/>
        </w:rPr>
        <w:footnoteReference w:id="12"/>
      </w:r>
      <w:r w:rsidRPr="00F062B5">
        <w:t>,</w:t>
      </w:r>
    </w:p>
    <w:p w14:paraId="63A4C619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–</w:t>
      </w:r>
      <w:r w:rsidRPr="00F062B5">
        <w:tab/>
        <w:t xml:space="preserve">uwzględniając sprawozdanie roczne Europejskiego Trybunału Obrachunkowego za rok </w:t>
      </w:r>
      <w:r w:rsidRPr="00F062B5">
        <w:lastRenderedPageBreak/>
        <w:t>budżetowy 2023,</w:t>
      </w:r>
    </w:p>
    <w:p w14:paraId="4350AB43" w14:textId="1DAD0648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–</w:t>
      </w:r>
      <w:r w:rsidRPr="00F062B5">
        <w:tab/>
        <w:t xml:space="preserve">uwzględniając sprawozdanie Europejskiego Trybunału Obrachunkowego z 8 lipca 2024 r. pt. „Przegląd nr </w:t>
      </w:r>
      <w:r w:rsidR="00557A5B">
        <w:t>0</w:t>
      </w:r>
      <w:r w:rsidRPr="00F062B5">
        <w:t>3/2</w:t>
      </w:r>
      <w:r w:rsidR="00557A5B">
        <w:t>0</w:t>
      </w:r>
      <w:r w:rsidRPr="00F062B5">
        <w:t>24: Przegląd ram uzyskiwania pewności i kluczowych czynników przyczyniających się do występowania błędów w wydatkach w obszarze spójności za lata 2014–2020”,</w:t>
      </w:r>
    </w:p>
    <w:p w14:paraId="08C6FEB0" w14:textId="77777777" w:rsidR="00346D6F" w:rsidRPr="00F062B5" w:rsidRDefault="00346D6F" w:rsidP="00346D6F">
      <w:pPr>
        <w:pStyle w:val="NormalHanging12a"/>
      </w:pPr>
      <w:r w:rsidRPr="00F062B5">
        <w:t>–</w:t>
      </w:r>
      <w:r w:rsidRPr="00F062B5">
        <w:tab/>
        <w:t>uwzględniając sprawozdanie specjalne Europejskiego Trybunału Obrachunkowego nr 22/2024 z 21 października 2024 r. pt. „Podwójne finansowanie z budżetu UE – W systemach kontroli brakuje istotnych elementów, które zredukowałyby zwiększone ryzyko wynikające z zastosowanego w RRF modelu finansowania niepowiązanego z kosztami”,</w:t>
      </w:r>
    </w:p>
    <w:p w14:paraId="55255524" w14:textId="77777777" w:rsidR="00346D6F" w:rsidRPr="00F062B5" w:rsidRDefault="00346D6F" w:rsidP="00346D6F">
      <w:pPr>
        <w:pStyle w:val="NormalHanging12a"/>
      </w:pPr>
      <w:r w:rsidRPr="00F062B5">
        <w:t>–</w:t>
      </w:r>
      <w:r w:rsidRPr="00F062B5">
        <w:tab/>
        <w:t>uwzględniając sprawozdanie specjalne Europejskiego Trybunału Obrachunkowego nr 13/2024 pt. „Absorpcja środków z Instrumentu na rzecz Odbudowy i Zwiększania Odporności – Postępy są powolne, a ukończenie działań i tym samym osiągnięcie celów RRF jest wciąż niepewne”.</w:t>
      </w:r>
    </w:p>
    <w:p w14:paraId="1440308E" w14:textId="77777777" w:rsidR="00346D6F" w:rsidRPr="00F062B5" w:rsidRDefault="00346D6F" w:rsidP="00346D6F">
      <w:pPr>
        <w:pStyle w:val="NormalHanging12a"/>
      </w:pPr>
      <w:r w:rsidRPr="00F062B5">
        <w:t>–</w:t>
      </w:r>
      <w:r w:rsidRPr="00F062B5">
        <w:tab/>
        <w:t>uwzględniając art. 55 Regulaminu,</w:t>
      </w:r>
    </w:p>
    <w:p w14:paraId="7D936F54" w14:textId="77777777" w:rsidR="00346D6F" w:rsidRPr="00F062B5" w:rsidRDefault="00346D6F" w:rsidP="00346D6F">
      <w:pPr>
        <w:pStyle w:val="NormalHanging12a"/>
      </w:pPr>
      <w:r w:rsidRPr="00F062B5">
        <w:t>–</w:t>
      </w:r>
      <w:r w:rsidRPr="00F062B5">
        <w:tab/>
        <w:t>uwzględniając opinie przedstawione przez Komisję Budżetową i Komisję Kontroli Budżetowej,</w:t>
      </w:r>
    </w:p>
    <w:p w14:paraId="1C22EF1E" w14:textId="77777777" w:rsidR="00346D6F" w:rsidRPr="00F062B5" w:rsidRDefault="00346D6F" w:rsidP="00346D6F">
      <w:pPr>
        <w:pStyle w:val="NormalHanging12a"/>
      </w:pPr>
      <w:r w:rsidRPr="00F062B5">
        <w:t>–</w:t>
      </w:r>
      <w:r w:rsidRPr="00F062B5">
        <w:tab/>
        <w:t>uwzględniając opinię w formie pisma przedstawioną przez Komisję Zatrudnienia i Spraw Socjalnych,</w:t>
      </w:r>
    </w:p>
    <w:p w14:paraId="033C0048" w14:textId="77777777" w:rsidR="00346D6F" w:rsidRPr="00F062B5" w:rsidRDefault="00346D6F" w:rsidP="00346D6F">
      <w:pPr>
        <w:pStyle w:val="NormalHanging12a"/>
      </w:pPr>
      <w:r w:rsidRPr="00F062B5">
        <w:t>–</w:t>
      </w:r>
      <w:r w:rsidRPr="00F062B5">
        <w:tab/>
        <w:t>uwzględniając sprawozdanie Komisji Rozwoju Regionalnego (A10-0138/2025),</w:t>
      </w:r>
    </w:p>
    <w:p w14:paraId="2FE38E58" w14:textId="77777777" w:rsidR="00346D6F" w:rsidRPr="00F062B5" w:rsidRDefault="00346D6F" w:rsidP="00346D6F">
      <w:pPr>
        <w:pStyle w:val="NormalHanging12a"/>
      </w:pPr>
      <w:r w:rsidRPr="00F062B5">
        <w:t>A.</w:t>
      </w:r>
      <w:r w:rsidRPr="00F062B5">
        <w:tab/>
        <w:t>mając na uwadze, że polityka spójności jest najważniejszym narzędziem inwestycyjnym UE służącym zmniejszaniu dysproporcji gospodarczych, społecznych i terytorialnych, a jej długoterminowego charakteru nie wolno zakłócać środkami nadzwyczajnymi ani modyfikacjami mającymi na celu zmianę przeznaczenia funduszy spójności na inne priorytety; mając na uwadze, że fundusze polityki spójności muszą pozostać zarezerwowane do swoich głównych celów;</w:t>
      </w:r>
    </w:p>
    <w:p w14:paraId="47D884B0" w14:textId="77777777" w:rsidR="00346D6F" w:rsidRPr="00F062B5" w:rsidRDefault="00346D6F" w:rsidP="00346D6F">
      <w:pPr>
        <w:pStyle w:val="NormalHanging12a"/>
      </w:pPr>
      <w:r w:rsidRPr="00F062B5">
        <w:t>B.</w:t>
      </w:r>
      <w:r w:rsidRPr="00F062B5">
        <w:tab/>
        <w:t>mając na uwadze, że współpraca regionalna może stanowić czynnik sprzyjający innowacji i odporności, a instrumenty polityki spójności powinny umożliwiać rozwój takiej współpracy ponad granicami terytorialnymi i administracyjnymi;</w:t>
      </w:r>
    </w:p>
    <w:p w14:paraId="58671FB0" w14:textId="77777777" w:rsidR="00346D6F" w:rsidRPr="00F062B5" w:rsidRDefault="00346D6F" w:rsidP="00346D6F">
      <w:pPr>
        <w:pStyle w:val="NormalHanging12a"/>
        <w:rPr>
          <w:szCs w:val="24"/>
        </w:rPr>
      </w:pPr>
      <w:r w:rsidRPr="00F062B5">
        <w:t>C.</w:t>
      </w:r>
      <w:r w:rsidRPr="00F062B5">
        <w:tab/>
        <w:t>mając na uwadze, że polityka spójności odgrywa kluczową rolę w realizacji Europejskiego filaru praw socjalnych, związanego z nim planu działania i głównych celów służących zwalczaniu ubóstwa, zwiększaniu zatrudnienia i stymulowaniu uczenia się przez całe życie; mając na uwadze, że warunkowość związana z praworządnością, a także ze standardami socjalnymi i prawami człowieka, jest niezbędna i wysiłki na rzecz uproszczenia nie mogą jej podważać; mając na uwadze, że dostęp do finansowania z polityki spójności musi zapewniać ochronę i integrację wszystkich ludzi w ich regionach, niezależnie od płci, wieku, narodowości, stanu zdrowia, klasy społecznej, pochodzenia etnicznego, orientacji seksualnej czy tożsamości płciowej;</w:t>
      </w:r>
    </w:p>
    <w:p w14:paraId="07379548" w14:textId="77777777" w:rsidR="00346D6F" w:rsidRPr="00F062B5" w:rsidRDefault="00346D6F" w:rsidP="00346D6F">
      <w:pPr>
        <w:pStyle w:val="NormalHanging12a"/>
        <w:rPr>
          <w:szCs w:val="24"/>
        </w:rPr>
      </w:pPr>
      <w:r w:rsidRPr="00F062B5">
        <w:t>D.</w:t>
      </w:r>
      <w:r w:rsidRPr="00F062B5">
        <w:tab/>
        <w:t xml:space="preserve">mając na uwadze, że finansowanie w ramach polityki spójności stanowi około 30 % łącznego budżetu UE i służy za jeden z głównych filarów wspierania regionów europejskich, a przy tym, aby zapewnić skuteczne zmniejszanie przezeń dysproporcji </w:t>
      </w:r>
      <w:r w:rsidRPr="00F062B5">
        <w:lastRenderedPageBreak/>
        <w:t>terytorialnych i rozwój konwergencji ekonomicznej, finansowanie to powinno zachować swój odrębny charakter, bez łączenia go w przyszłych wieloletnich ramach finansowych (WRF) z innymi środkami finansowymi;</w:t>
      </w:r>
    </w:p>
    <w:p w14:paraId="7A66A5AC" w14:textId="77777777" w:rsidR="00346D6F" w:rsidRPr="00F062B5" w:rsidRDefault="00346D6F" w:rsidP="00346D6F">
      <w:pPr>
        <w:pStyle w:val="NormalHanging12a"/>
        <w:rPr>
          <w:szCs w:val="24"/>
        </w:rPr>
      </w:pPr>
      <w:r w:rsidRPr="00F062B5">
        <w:t>E.</w:t>
      </w:r>
      <w:r w:rsidRPr="00F062B5">
        <w:tab/>
        <w:t>mając na uwadze, że uproszczona polityka spójności ma kluczowe znaczenie dla zapewnienia odporności Europy, sprawiedliwej i zrównoważonej transformacji zielonej i cyfrowej, prawa do pozostania dla wszystkich obywateli UE oraz promowania konkurencyjności UE;</w:t>
      </w:r>
    </w:p>
    <w:p w14:paraId="4EEEB25E" w14:textId="77777777" w:rsidR="00346D6F" w:rsidRPr="00F062B5" w:rsidRDefault="00346D6F" w:rsidP="00346D6F">
      <w:pPr>
        <w:pStyle w:val="NormalHanging12a"/>
        <w:rPr>
          <w:szCs w:val="24"/>
        </w:rPr>
      </w:pPr>
      <w:r w:rsidRPr="00F062B5">
        <w:t>F.</w:t>
      </w:r>
      <w:r w:rsidRPr="00F062B5">
        <w:tab/>
        <w:t>mając na uwadze, że do określania lokalnych wyzwań i możliwości najlepiej przygotowane są władze lokalne i regionalne, które przy tym są kluczowymi partnerami w realizacji programu politycznego UE i polityki spójności, ponieważ odpowiadają za 54–58 % łącznych inwestycji publicznych realizowanych przez rządy;</w:t>
      </w:r>
    </w:p>
    <w:p w14:paraId="363D95CB" w14:textId="77777777" w:rsidR="00346D6F" w:rsidRPr="00F062B5" w:rsidRDefault="00346D6F" w:rsidP="00346D6F">
      <w:pPr>
        <w:pStyle w:val="NormalHanging12a"/>
        <w:rPr>
          <w:szCs w:val="24"/>
        </w:rPr>
      </w:pPr>
      <w:r w:rsidRPr="00F062B5">
        <w:t>G.</w:t>
      </w:r>
      <w:r w:rsidRPr="00F062B5">
        <w:tab/>
        <w:t>mając na uwadze, że przy opracowywaniu kluczowych ram strategicznych, takich jak umowy o partnerstwie, plany sprawiedliwej transformacji i krajowe programy reform, często brakuje koordynacji oraz nie angażuje się w znaczący sposób właściwych władz lokalnych i regionalnych;</w:t>
      </w:r>
    </w:p>
    <w:p w14:paraId="73A857D2" w14:textId="77777777" w:rsidR="00346D6F" w:rsidRPr="00F062B5" w:rsidRDefault="00346D6F" w:rsidP="00346D6F">
      <w:pPr>
        <w:pStyle w:val="NormalHanging12a"/>
        <w:rPr>
          <w:szCs w:val="24"/>
        </w:rPr>
      </w:pPr>
      <w:r w:rsidRPr="00F062B5">
        <w:t>H.</w:t>
      </w:r>
      <w:r w:rsidRPr="00F062B5">
        <w:tab/>
        <w:t>mając na uwadze, że w obecnym okresie programowania 2021–2027, który opiera się na poprzednich inicjatywach z dalszym rozszerzaniem uproszczonych metod rozliczania kosztów, ograniczono wykaz celów polityki oraz wprowadzono jaśniejszą koncepcję interwencji dzięki wskaźnikom, łagodniejsze wymogi sprawozdawcze i system jednego audytu;</w:t>
      </w:r>
    </w:p>
    <w:p w14:paraId="1C3E13A5" w14:textId="77777777" w:rsidR="00346D6F" w:rsidRPr="00F062B5" w:rsidRDefault="00346D6F" w:rsidP="00346D6F">
      <w:pPr>
        <w:pStyle w:val="NormalHanging12a"/>
        <w:rPr>
          <w:szCs w:val="24"/>
        </w:rPr>
      </w:pPr>
      <w:r w:rsidRPr="00F062B5">
        <w:t>I.</w:t>
      </w:r>
      <w:r w:rsidRPr="00F062B5">
        <w:tab/>
        <w:t>mając na uwadze, że polityka spójności pozostaje jednym z najbardziej widocznych i namacalnych symboli europejskiej solidarności, zaś aby zagwarantować, że będzie nadal koncentrować się na swojej podstawowej misji, czyli zmniejszaniu dysproporcji regionalnych i wspieraniu konwergencji gospodarczej i społecznej w całej UE, w przyszłości należy stosować zakaz szkodzenia spójności;</w:t>
      </w:r>
    </w:p>
    <w:p w14:paraId="14845A44" w14:textId="77777777" w:rsidR="00346D6F" w:rsidRPr="00F062B5" w:rsidRDefault="00346D6F" w:rsidP="00346D6F">
      <w:pPr>
        <w:pStyle w:val="NormalHanging12a"/>
        <w:rPr>
          <w:szCs w:val="24"/>
        </w:rPr>
      </w:pPr>
      <w:r w:rsidRPr="00F062B5">
        <w:t>J.</w:t>
      </w:r>
      <w:r w:rsidRPr="00F062B5">
        <w:tab/>
        <w:t>mając jednak na uwadze, że instytucje zarządzające, instytucje pośredniczące, beneficjenci i obywatele nadal borykają się ze znacznymi obciążeniami administracyjnymi i wyzwaniami, które nie tylko wpływają na wskaźnik realizacji projektów, ale także podważają efektywność, wiarygodność, widzialność i całościowy odbiór polityki spójności;</w:t>
      </w:r>
    </w:p>
    <w:p w14:paraId="34879475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K.</w:t>
      </w:r>
      <w:r w:rsidRPr="00F062B5">
        <w:tab/>
        <w:t>mając na uwadze, że obciążenie administracyjne beneficjentów związane ze składaniem wniosków i wdrażaniem projektów wspieranych z funduszy spójności wzrasta z każdym kolejnym okresem finansowania i przynosi coraz większy efekt odstraszający, a złożoność i czasochłonny charakter procesu składania wniosków często prowadzą do bilansu zysków i strat, który zniechęca beneficjentów do składania wniosków, ograniczając tym samym ogólną skuteczność i dostępność polityki spójności;</w:t>
      </w:r>
    </w:p>
    <w:p w14:paraId="5057175B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L.</w:t>
      </w:r>
      <w:r w:rsidRPr="00F062B5">
        <w:tab/>
        <w:t>mając na uwadze, że uproszczenie funduszy polityki spójności powinno uzupełniać inne instrumenty służące harmonizacji i integracji;</w:t>
      </w:r>
    </w:p>
    <w:p w14:paraId="3827E982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M.</w:t>
      </w:r>
      <w:r w:rsidRPr="00F062B5">
        <w:tab/>
        <w:t xml:space="preserve">mając na uwadze, że przepisy dotyczące zamówień publicznych i pomocy państwa są jednym z głównych źródeł kosztów i obciążeń administracyjnych, wynikających w części z nadmiernie rygorystycznego ich wdrażania we wszystkich państwach członkowskich – a mianowicie z dodatkowych wymogów nakładanych na </w:t>
      </w:r>
      <w:r w:rsidRPr="00F062B5">
        <w:lastRenderedPageBreak/>
        <w:t xml:space="preserve">beneficjentów przez władze krajowe i władze szczebla niższego niż krajowy, wykraczających poza wymogi wynikające z przepisów prawa UE – i z trudności w interpretacji i stosowaniu ogólnego rozporządzenia w sprawie </w:t>
      </w:r>
      <w:proofErr w:type="spellStart"/>
      <w:r w:rsidRPr="00F062B5">
        <w:t>wyłączeń</w:t>
      </w:r>
      <w:proofErr w:type="spellEnd"/>
      <w:r w:rsidRPr="00F062B5">
        <w:t xml:space="preserve"> grupowych</w:t>
      </w:r>
      <w:r w:rsidRPr="00F062B5">
        <w:rPr>
          <w:rStyle w:val="FootnoteReference"/>
          <w:bCs/>
          <w:iCs/>
        </w:rPr>
        <w:footnoteReference w:id="13"/>
      </w:r>
      <w:r w:rsidRPr="00F062B5">
        <w:t xml:space="preserve"> w różnych kontekstach terytorialnych;</w:t>
      </w:r>
    </w:p>
    <w:p w14:paraId="6E35E5D5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N.</w:t>
      </w:r>
      <w:r w:rsidRPr="00F062B5">
        <w:tab/>
        <w:t>mając na uwadze, że wielokrotnie poprzednie okresy finansowania polityki spójności, a zwłaszcza obecny okres finansowania 2021–2027, rozpoczynały się zbyt późno, co prowadziło do ogromnych zaległości i powolnego wypływu środków z funduszy spójności;</w:t>
      </w:r>
    </w:p>
    <w:p w14:paraId="24BF12C5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O.</w:t>
      </w:r>
      <w:r w:rsidRPr="00F062B5">
        <w:tab/>
        <w:t>mając na uwadze, że decydującą rolę w obecnym spadku wskaźnika wdrażania polityki spójności we wszystkich państwach członkowskich odegrał szereg czynników, w tym opóźnienia w finalizacji pakietu legislacyjnego oraz umów o partnerstwie i programów, jednoczesne wdrażanie Instrumentu na rzecz Odbudowy i Zwiększania Odporności (RRF) oraz zmieniające się i złożone otoczenie regulacyjne;</w:t>
      </w:r>
    </w:p>
    <w:p w14:paraId="513FC2BE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P.</w:t>
      </w:r>
      <w:r w:rsidRPr="00F062B5">
        <w:tab/>
        <w:t>mając na uwadze, że zmieniające się i złożone otoczenie regulacyjne poważnie utrudnia terminowe, wydajne i skuteczne wdrażanie polityki spójności, przy czym złożoność ta sprawia, że dostęp do finansowania w ramach polityki spójności jest w całej UE szczególnie utrudniony dla mniejszych władz lokalnych, małych i średnich przedsiębiorstw (MŚP) oraz organizacji społeczeństwa obywatelskiego;</w:t>
      </w:r>
    </w:p>
    <w:p w14:paraId="161ECF30" w14:textId="77777777" w:rsidR="00346D6F" w:rsidRPr="00F062B5" w:rsidRDefault="00346D6F" w:rsidP="00346D6F">
      <w:pPr>
        <w:pStyle w:val="NormalHanging12a"/>
        <w:rPr>
          <w:szCs w:val="24"/>
        </w:rPr>
      </w:pPr>
      <w:r w:rsidRPr="00F062B5">
        <w:t>Q.</w:t>
      </w:r>
      <w:r w:rsidRPr="00F062B5">
        <w:tab/>
        <w:t>mając na uwadze, że środki upraszczające powinny zapewniać równowagę między potrzebą łatwiejszego i lepszego dostępu do funduszy w celu osiągnięcia trwałych rezultatów, a koniecznością ochrony budżetu UE, z należytym uwzględnieniem obaw i uwag zainteresowanych stron instytucjonalnych i nieinstytucjonalnych, a przy tym środków tych nie mogą osłabiać komplikacje wprowadzane przy okazji krajowych wymogów audytowych;</w:t>
      </w:r>
    </w:p>
    <w:p w14:paraId="36FF27F3" w14:textId="77777777" w:rsidR="00346D6F" w:rsidRPr="00F062B5" w:rsidRDefault="00346D6F" w:rsidP="00346D6F">
      <w:pPr>
        <w:pStyle w:val="NormalHanging12a"/>
        <w:rPr>
          <w:szCs w:val="24"/>
        </w:rPr>
      </w:pPr>
      <w:r w:rsidRPr="00F062B5">
        <w:t>R.</w:t>
      </w:r>
      <w:r w:rsidRPr="00F062B5">
        <w:tab/>
        <w:t>mając na uwadze, że jeżeli w trakcie wykonywania budżetu UE poziom błędu utrzymuje się na wysokim poziomie, rozporządzenie finansowe</w:t>
      </w:r>
      <w:r w:rsidRPr="00F062B5">
        <w:rPr>
          <w:rStyle w:val="FootnoteReference"/>
        </w:rPr>
        <w:footnoteReference w:id="14"/>
      </w:r>
      <w:r w:rsidRPr="00F062B5">
        <w:t xml:space="preserve"> zobowiązuje Komisję do podjęcia działań naprawczych, takich jak uproszczenie przepisów, poprawa systemów kontroli czy przeprojektowanie programu lub systemów realizacji;</w:t>
      </w:r>
    </w:p>
    <w:p w14:paraId="75AC6200" w14:textId="77777777" w:rsidR="00346D6F" w:rsidRPr="00F062B5" w:rsidRDefault="00346D6F" w:rsidP="00346D6F">
      <w:pPr>
        <w:pStyle w:val="NormalHanging12a"/>
        <w:rPr>
          <w:szCs w:val="24"/>
        </w:rPr>
      </w:pPr>
      <w:r w:rsidRPr="00F062B5">
        <w:t>S.</w:t>
      </w:r>
      <w:r w:rsidRPr="00F062B5">
        <w:tab/>
        <w:t>mając na uwadze, że zmieniony klucz ustalania wkładów, nazwany „formułą berlińską”, w obecnej postaci określonej w załączniku XXVI do rozporządzenia w sprawie wspólnych przepisów, który dodaje do PKB inne istotne elementy, nie odzwierciedla jeszcze należycie rzeczywistych różnic;</w:t>
      </w:r>
    </w:p>
    <w:p w14:paraId="71389A33" w14:textId="77777777" w:rsidR="00346D6F" w:rsidRPr="00F062B5" w:rsidRDefault="00346D6F" w:rsidP="00346D6F">
      <w:pPr>
        <w:pStyle w:val="NormalHanging12a"/>
        <w:rPr>
          <w:szCs w:val="24"/>
        </w:rPr>
      </w:pPr>
      <w:r w:rsidRPr="00F062B5">
        <w:t>T.</w:t>
      </w:r>
      <w:r w:rsidRPr="00F062B5">
        <w:tab/>
        <w:t>mając na uwadze, że wszelkie próby uproszczenia polityki spójności ze strony Komisji muszą uwzględniać fakt, iż zmiany w istniejących praktykach wdrażania mogą dla organów administracyjnych i beneficjentów stanowić z początku dodatkowe obciążenie;</w:t>
      </w:r>
    </w:p>
    <w:p w14:paraId="23808EA4" w14:textId="77777777" w:rsidR="00346D6F" w:rsidRPr="00F062B5" w:rsidRDefault="00346D6F" w:rsidP="00346D6F">
      <w:pPr>
        <w:pStyle w:val="NormalHanging12a"/>
        <w:rPr>
          <w:szCs w:val="24"/>
        </w:rPr>
      </w:pPr>
      <w:r w:rsidRPr="00F062B5">
        <w:t>U.</w:t>
      </w:r>
      <w:r w:rsidRPr="00F062B5">
        <w:tab/>
        <w:t xml:space="preserve">mając na uwadze, że podstawą każdej reformy i uproszczenia polityki spójności </w:t>
      </w:r>
      <w:r w:rsidRPr="00F062B5">
        <w:lastRenderedPageBreak/>
        <w:t>powinny pozostać zasady zarządzania dzielonego, partnerstwa, wielopoziomowego sprawowania rządów, pomocniczości i podejścia ukierunkowanego na konkretny obszar; mając na uwadze, że model zarządzania dzielonego okazał się podstawowym filarem polityki spójności, zapewniającym dostosowanie funduszy UE do szczególnych potrzeb regionów i obszarów lokalnych, a jednocześnie sprzyjającym odpowiedzialności i rozliczalności na wszystkich szczeblach sprawowania rządów; mając na uwadze, że ramy wielopoziomowego sprawowania rządów wzmacniają współpracę między władzami unijnymi, krajowymi, regionalnymi i lokalnymi, zapewniając skuteczne opracowywanie i wdrażanie strategii politycznych w sposób odzwierciedlający różnorodność terytorialną i maksymalizujący skutki w terenie;</w:t>
      </w:r>
    </w:p>
    <w:p w14:paraId="15ECE3A7" w14:textId="77777777" w:rsidR="00346D6F" w:rsidRPr="00F062B5" w:rsidRDefault="00346D6F" w:rsidP="00346D6F">
      <w:pPr>
        <w:pStyle w:val="NormalHanging12a"/>
        <w:rPr>
          <w:szCs w:val="24"/>
        </w:rPr>
      </w:pPr>
      <w:r w:rsidRPr="00F062B5">
        <w:t>V.</w:t>
      </w:r>
      <w:r w:rsidRPr="00F062B5">
        <w:tab/>
        <w:t>mając na uwadze, że zasada pomocniczości mogłaby być lepiej stosowana w środkach na rzecz spójności, na przykład przez wprowadzenie wartości progowych, poniżej których można by odstąpić od niektórych obowiązków i wymogów, jak ma to miejsce w przypadku innych funduszy UE;</w:t>
      </w:r>
    </w:p>
    <w:p w14:paraId="3BE62861" w14:textId="77777777" w:rsidR="00346D6F" w:rsidRPr="00F062B5" w:rsidRDefault="00346D6F" w:rsidP="00346D6F">
      <w:pPr>
        <w:pStyle w:val="NormalHanging12a"/>
        <w:rPr>
          <w:szCs w:val="24"/>
        </w:rPr>
      </w:pPr>
      <w:r w:rsidRPr="00F062B5">
        <w:t>W.</w:t>
      </w:r>
      <w:r w:rsidRPr="00F062B5">
        <w:tab/>
        <w:t>mając na uwadze, że chociaż do ram polityki spójności na okres programowania 2021–2027 włączono już uproszczenia techniczne w narzędziach rozwoju terytorialnego (takich jak zintegrowane inwestycje terytorialne i rozwój lokalny kierowany przez społeczność), to małe projekty nadal wiążą się z proporcjonalnie wyższymi obciążeniami administracyjnymi (dla beneficjentów) i kosztami administracyjnymi (dla organów odpowiedzialnych za program) niż projekty większe; mając na uwadze, że należy zareagować na obawy Europejskiego Trybunału Obrachunkowego dotyczące rozwoju lokalnego kierowanego przez społeczność, w szczególności nieproporcjonalnych kosztów administracyjnych dla budżetów lokalnych grup działania;</w:t>
      </w:r>
    </w:p>
    <w:p w14:paraId="07A7D940" w14:textId="77777777" w:rsidR="00346D6F" w:rsidRPr="00F062B5" w:rsidRDefault="00346D6F" w:rsidP="00346D6F">
      <w:pPr>
        <w:pStyle w:val="NormalHanging12a"/>
        <w:rPr>
          <w:szCs w:val="24"/>
        </w:rPr>
      </w:pPr>
      <w:r w:rsidRPr="00F062B5">
        <w:t>X.</w:t>
      </w:r>
      <w:r w:rsidRPr="00F062B5">
        <w:tab/>
        <w:t>mając na uwadze, że w świetle obecnych wyzwań geopolitycznych polityka spójności może odegrać pewną rolę w rozwoju kluczowej infrastruktury podwójnego zastosowania, która zaspokaja potrzeby cywilne w czasach pokoju, a jednocześnie zwiększa odporność terytorialną i usprawnia reagowanie kryzysowe, przy czym nowych priorytetów nie można realizować kosztem długoterminowych inwestycji w spójność gospodarczą, społeczną i terytorialną UE, ani nie mogą one prowadzić do ich ograniczenia;</w:t>
      </w:r>
    </w:p>
    <w:p w14:paraId="4D460EB7" w14:textId="77777777" w:rsidR="00346D6F" w:rsidRPr="00F062B5" w:rsidRDefault="00346D6F" w:rsidP="00346D6F">
      <w:pPr>
        <w:pStyle w:val="NormalHanging12a"/>
        <w:rPr>
          <w:szCs w:val="24"/>
        </w:rPr>
      </w:pPr>
      <w:r w:rsidRPr="00F062B5">
        <w:t>Y.</w:t>
      </w:r>
      <w:r w:rsidRPr="00F062B5">
        <w:tab/>
        <w:t>mając na uwadze, że polityka spójności konsekwentnie charakteryzuje się zdolnością do absorpcji i skutecznego inwestowania zasadniczo wszystkich przydzielonych na nią środków UE; mając na uwadze, że stopniowy wzrost płatności w drugiej części okresu planowania jest nieodłączną cechą programów wieloletnich, a zatem podobnie pozytywnych wyników można realistycznie oczekiwać pod koniec obecnego okresu programowania;</w:t>
      </w:r>
    </w:p>
    <w:p w14:paraId="13AF719A" w14:textId="77777777" w:rsidR="00346D6F" w:rsidRPr="00F062B5" w:rsidRDefault="00346D6F" w:rsidP="00346D6F">
      <w:pPr>
        <w:pStyle w:val="NormalHanging12a"/>
        <w:rPr>
          <w:szCs w:val="24"/>
        </w:rPr>
      </w:pPr>
      <w:r w:rsidRPr="00F062B5">
        <w:t>Z.</w:t>
      </w:r>
      <w:r w:rsidRPr="00F062B5">
        <w:tab/>
        <w:t>mając na uwadze, że zachowując regularne audyty ze strony Komisji należy utrzymać i wzmocnić zasadę jednego audytu oraz wdrożyć środki mające na celu ograniczenie dublowania się kontroli i audytów z nadzorem krajowym na szczeblu regionalnym, krajowym i unijnym w odniesieniu do tego samego projektu i beneficjenta, w tym poprzez spójną wykładnię przepisów i minimalizowanie obciążenia administracyjne dla beneficjentów i instytucji zarządzających;</w:t>
      </w:r>
    </w:p>
    <w:p w14:paraId="4CA5E2BB" w14:textId="77777777" w:rsidR="00346D6F" w:rsidRPr="00F062B5" w:rsidRDefault="00346D6F" w:rsidP="00346D6F">
      <w:pPr>
        <w:pStyle w:val="NormalHanging12a"/>
        <w:rPr>
          <w:szCs w:val="24"/>
        </w:rPr>
      </w:pPr>
      <w:r w:rsidRPr="00F062B5">
        <w:t>AA.</w:t>
      </w:r>
      <w:r w:rsidRPr="00F062B5">
        <w:tab/>
        <w:t xml:space="preserve">mając na uwadze, że zasada należytego zarządzania finansami wymaga w celu zapewnienia zgodności z przepisami UE niezależnych procedur audytu; mając na </w:t>
      </w:r>
      <w:r w:rsidRPr="00F062B5">
        <w:lastRenderedPageBreak/>
        <w:t>uwadze, że nadmierne poleganie wyłącznie na nadzorze krajowym może prowadzić do rozbieżności w egzekwowaniu i monitorowaniu, osłabiając przez to jednolite stosowanie kontroli finansowej we wszystkich państwach członkowskich, a ostatecznie ochronę interesów finansowych UE;</w:t>
      </w:r>
    </w:p>
    <w:p w14:paraId="12F80C35" w14:textId="1BFE7207" w:rsidR="00346D6F" w:rsidRPr="00F062B5" w:rsidRDefault="00864DD7" w:rsidP="00346D6F">
      <w:pPr>
        <w:pStyle w:val="NormalHanging12a"/>
        <w:rPr>
          <w:bCs/>
          <w:iCs/>
          <w:szCs w:val="24"/>
        </w:rPr>
      </w:pPr>
      <w:r>
        <w:t>A</w:t>
      </w:r>
      <w:r w:rsidR="00346D6F" w:rsidRPr="00F062B5">
        <w:t>B.</w:t>
      </w:r>
      <w:r w:rsidR="00346D6F" w:rsidRPr="00F062B5">
        <w:tab/>
        <w:t>mając na uwadze, że zapewnienie solidnych mechanizmów audytu ma zasadnicze znaczenie dla utrzymania rozliczalności, identyfikowalności i skuteczności wykorzystania funduszy UE, a także pomaga w zapobieganiu nadużyciom finansowym, niewłaściwemu zarządzaniu i niespójnościom w krajowych systemach nadzoru;</w:t>
      </w:r>
    </w:p>
    <w:p w14:paraId="50F912C9" w14:textId="61128120" w:rsidR="00346D6F" w:rsidRPr="00F062B5" w:rsidRDefault="00864DD7" w:rsidP="00346D6F">
      <w:pPr>
        <w:pStyle w:val="NormalHanging12a"/>
        <w:rPr>
          <w:bCs/>
          <w:iCs/>
          <w:szCs w:val="24"/>
        </w:rPr>
      </w:pPr>
      <w:r>
        <w:t>A</w:t>
      </w:r>
      <w:r w:rsidR="00346D6F" w:rsidRPr="00F062B5">
        <w:t>C.</w:t>
      </w:r>
      <w:r w:rsidR="00346D6F" w:rsidRPr="00F062B5">
        <w:tab/>
        <w:t>mając na uwadze, że polityka spójności musi pozostać odporna na nadużycia finansowe, korupcję i wszelkie próby przekierowywania jej środków z pierwotnej misji i uzgodnionych priorytetów programowych na inwestycje, które służą partykularnym interesom osobistym lub partyjnym; mając na uwadze, że w tym celu należy wzmocnić warunkowość i wbudowane mechanizmy zapobiegania nieprawidłowościom, w tym nadużyciom finansowym, oraz ich wykrywania i korygowania; mając na uwadze, że zasadnicze znaczenie ma w tym względzie właściwe stosowanie zasady partnerstwa, wymogów przejrzystości i polityki zwalczania nadużyć finansowych;</w:t>
      </w:r>
    </w:p>
    <w:p w14:paraId="7E52986F" w14:textId="3192C0D5" w:rsidR="00346D6F" w:rsidRPr="00F062B5" w:rsidRDefault="00864DD7" w:rsidP="00346D6F">
      <w:pPr>
        <w:pStyle w:val="NormalHanging12a"/>
        <w:rPr>
          <w:bCs/>
          <w:iCs/>
          <w:szCs w:val="24"/>
        </w:rPr>
      </w:pPr>
      <w:r>
        <w:t>A</w:t>
      </w:r>
      <w:r w:rsidR="00346D6F" w:rsidRPr="00F062B5">
        <w:t>D.</w:t>
      </w:r>
      <w:r w:rsidR="00346D6F" w:rsidRPr="00F062B5">
        <w:tab/>
        <w:t>mając na uwadze, że pokrywające się priorytety RRF i polityki spójności ujawniają fragmentację finansowania unijnego i uwydatniają potrzebę wprowadzenia podejścia uproszczonego i konsekwentnego;</w:t>
      </w:r>
    </w:p>
    <w:p w14:paraId="41AEDE59" w14:textId="50E86717" w:rsidR="00346D6F" w:rsidRPr="00F062B5" w:rsidRDefault="00864DD7" w:rsidP="00346D6F">
      <w:pPr>
        <w:pStyle w:val="NormalHanging12a"/>
        <w:rPr>
          <w:bCs/>
          <w:iCs/>
          <w:szCs w:val="24"/>
        </w:rPr>
      </w:pPr>
      <w:r>
        <w:t>A</w:t>
      </w:r>
      <w:r w:rsidR="00346D6F" w:rsidRPr="00F062B5">
        <w:t>E.</w:t>
      </w:r>
      <w:r w:rsidR="00346D6F" w:rsidRPr="00F062B5">
        <w:tab/>
        <w:t>mając na uwadze, że art. 20 rozporządzenia w sprawie wspólnych przepisów umożliwia już uruchomienie środków tymczasowych ze względu na okoliczności wyjątkowe lub nadzwyczajne;</w:t>
      </w:r>
    </w:p>
    <w:p w14:paraId="6C94D844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1.</w:t>
      </w:r>
      <w:r w:rsidRPr="00F062B5">
        <w:tab/>
        <w:t>podkreśla kluczową rolę polityki spójności w rozwiązywaniu w ciągu ostatnich pięciu lat wielowymiarowych sytuacji nadzwyczajnych i wyzwań społeczno-gospodarczych w sposób elastyczny i wzmacniający solidarność między państwami członkowskimi; uważa jednak, że nieustanne zmiany regulacyjne osłabiają jej ukierunkowanie strategiczne; podkreśla, że aby stawić czoła wyzwaniom związanym z brakiem równowagi między regionami UE, poprawą jakości życia, sprawiedliwymi transformacjami ekologiczną i cyfrową, tworzeniem wysokiej jakości miejsc pracy, eliminacją ubóstwa, ze szczególnym uwzględnieniem ubóstwa dzieci, oraz kryzysem mieszkaniowym, konieczne jest utrzymanie wysokiego poziomu ambicji w odniesieniu do inwestycji długoterminowych oraz przesłanek i priorytetów ukierunkowanych na konkretne obszary, zgodnie z zasadą zakazu szkodzenia spójności, i skupienie się na wzroście gospodarczym, tworzeniu miejsc pracy i usługach społecznych;</w:t>
      </w:r>
    </w:p>
    <w:p w14:paraId="2539A409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2.</w:t>
      </w:r>
      <w:r w:rsidRPr="00F062B5">
        <w:tab/>
        <w:t>ostrzega przed systematycznym przekierowywaniem funduszy spójności na reagowanie kryzysowe, gdyż podważa to ich główny cel, jakim jest wzmocnienie spójności gospodarczej, terytorialnej i społecznej w UE, zmniejszenie dysproporcji regionalnych i wspieranie zrównoważonego rozwoju, z uwagi na to, że finansowanie przeznaczone na ten cel jest ograniczone; apeluje natomiast o utworzenie w budżecie UE stałego, wzmocnionego i specjalnego instrumentu nadzwyczajnego, zapewniającego szybką i skoordynowaną reakcję na przyszłe kryzysy bez uszczerbku dla strukturalnej integralności polityki spójności, tak aby tę ostatnią można było stosować do jej własnych celów podstawowych;</w:t>
      </w:r>
    </w:p>
    <w:p w14:paraId="2F56C683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3.</w:t>
      </w:r>
      <w:r w:rsidRPr="00F062B5">
        <w:tab/>
        <w:t xml:space="preserve">podkreśla, że z myślą o efektywności przyszłe reformy muszą opierać się na </w:t>
      </w:r>
      <w:r w:rsidRPr="00F062B5">
        <w:lastRenderedPageBreak/>
        <w:t>zarządzaniu dzielonym, wielopoziomowym sprawowaniu rządów i podejściu ukierunkowanym na konkretny obszar; ponadto apeluje o nowoczesną, zdecentralizowaną i wzmocnioną politykę spójności, która w centrum uwagi stawia ludzi, a wspierają ją silne partnerstwa na wszystkich szczeblach, ponieważ taka polityka ma zasadnicze znaczenie dla utrzymania i wspierania jedności UE w obliczu rosnących wyzwań geopolitycznych; nalega na wiążące stosowanie zasady partnerstwa przedstawionej w art. 8 rozporządzenia w sprawie wspólnych przepisów i rygorystyczną kontrolę w tym względzie ze strony Komisji;</w:t>
      </w:r>
    </w:p>
    <w:p w14:paraId="2F0A4FE1" w14:textId="77777777" w:rsidR="00346D6F" w:rsidRPr="00F062B5" w:rsidRDefault="00346D6F" w:rsidP="00346D6F">
      <w:pPr>
        <w:pStyle w:val="NormalHanging12a"/>
        <w:rPr>
          <w:bCs/>
          <w:iCs/>
        </w:rPr>
      </w:pPr>
      <w:r w:rsidRPr="00F062B5">
        <w:t>4.</w:t>
      </w:r>
      <w:r w:rsidRPr="00F062B5">
        <w:tab/>
        <w:t>pochwala istotne środki upraszczające wprowadzone już w okresie programowania 2021–2027, a w szczególności ulepszone narzędzia cyfrowe e-spójności, szerszą harmonizację przepisów w odniesieniu do wielu funduszy, większą elastyczność w zarządzaniu programami oraz usprawnienie zasad kwalifikowalności; podkreśla potrzebę przejścia od administracji hybrydowej i opartej na dokumentacji papierowej do procesów w pełni cyfrowych, które zwiększy efektywność i ułatwi komunikację elektroniczną między beneficjentami a instytucjami zarządzającymi; uważa, że wysiłkom na rzecz uproszczenia przeszkadza szereg czynników, w tym obciążenie pracą wynikające z opóźnień w programowaniu na okres finansowy 2021–2027, częste zmiany przepisów w tym okresie, złożone wielopoziomowe przepisy dotyczące audytu i kontroli, a także nadmierny rygoryzm przy wdrażaniu nakładający na beneficjentów obciążenia wykraczające poza wymogi UE;</w:t>
      </w:r>
    </w:p>
    <w:p w14:paraId="39A73EBC" w14:textId="77777777" w:rsidR="00346D6F" w:rsidRPr="00F062B5" w:rsidRDefault="00346D6F" w:rsidP="00346D6F">
      <w:pPr>
        <w:pStyle w:val="NormalHanging12a"/>
        <w:rPr>
          <w:bCs/>
          <w:iCs/>
        </w:rPr>
      </w:pPr>
      <w:r w:rsidRPr="00F062B5">
        <w:t>5.</w:t>
      </w:r>
      <w:r w:rsidRPr="00F062B5">
        <w:tab/>
        <w:t>podkreśla, że cyfryzacja zarządzania funduszami UE, ich monitorowania, kontroli i odnośnej sprawozdawczości ma zasadnicze znaczenie dla poprawy dostępu potencjalnych odbiorców oraz dla zwiększenia skuteczności i przejrzystości zarządzania funduszami;</w:t>
      </w:r>
    </w:p>
    <w:p w14:paraId="601E7D86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6.</w:t>
      </w:r>
      <w:r w:rsidRPr="00F062B5">
        <w:tab/>
        <w:t>podkreśla, że uproszczenie powinno być zasadą przewodnią w polityce spójności; podkreśla, że wysiłki na rzecz uproszczenia muszą przede wszystkim koncentrować się na zmniejszeniu obciążenia beneficjentów, ułatwieniu im dostępu do funduszy i ograniczeniu pracy administracyjnej oraz eliminowaniu zbędnego powielania procesów; w związku z tym wzywa państwa członkowskie, aby unikały nadmiernie rygorystycznego wdrażania, czyli dodawania do wymogów UE zbędnych przepisów krajowych, i nakładania na beneficjentów dodatkowych obciążeń; zauważa, że wdrażanie zasad pomocy państwa we wszystkich państwach członkowskich może w niektórych przypadkach zwiększyć złożoność, i podkreśla, że kolejnym czynnikiem wywołującym opóźnienia było pokrywanie się okresów programowania 2014–2020 i 2021–2027, a także ustanowienie Instrumentu na rzecz Odbudowy i Zwiększania Odporności;</w:t>
      </w:r>
    </w:p>
    <w:p w14:paraId="0CC2659C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7.</w:t>
      </w:r>
      <w:r w:rsidRPr="00F062B5">
        <w:tab/>
        <w:t xml:space="preserve">podkreśla, że kluczowe znaczenie dla zapewnienia lepszego wdrażania polityki spójności mają uproszczone przepisy; uważa, że późne przyjęcie przepisów sektorowych i długotrwały proces przyjmowania dokumentów programowych doprowadziły w poprzednich okresach do opóźnień we wdrażaniu programowania, w związku z czym wzywa Komisję do terminowego przedstawienia wniosków na okres finansowania 2028–2034, tak aby programy regionalne można było zatwierdzić niezwłocznie po rozpoczęciu kolejnych WRF; zaleca zbadanie, czy niektóre przepisy i wymogi techniczne można usunąć z rozporządzenia w sprawie wspólnych przepisów i włączyć do zestawu wytycznych/podręcznika, aby kształtować pewność i rutynę po stronie instytucji zarządzających i beneficjentów; przypomina, że brak pewności co do wdrażania instrumentów finansowania często skłania organy administracyjne, </w:t>
      </w:r>
      <w:r w:rsidRPr="00F062B5">
        <w:lastRenderedPageBreak/>
        <w:t>postępujące zgodnie z zasadą ostrożności, do bardziej restrykcyjnej interpretacji niejasnych przepisów;</w:t>
      </w:r>
    </w:p>
    <w:p w14:paraId="18C0C2AD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8.</w:t>
      </w:r>
      <w:r w:rsidRPr="00F062B5">
        <w:tab/>
        <w:t>wyraża zaniepokojenie zarówno brakiem komplementarności finansowania UE z ponad 50 programami wieloletnimi w latach 2021–2027, jak i faktem, iż rosnącą ich częścią – obecnie 40 % w ramach bieżących WRF – zarządza się centralnie, i uważa, że aby polityka spójności odpowiednio zaspokajała przyszłe potrzeby inwestycyjne, łączny budżet przeznaczony na politykę spójności należy utrzymać, a nawet zwiększyć; podkreśla potrzebę skutecznej koordynacji finansowania unijnego i krajowego, a przy tym kładzie nacisk na to, że przyszłe ramy regulacyjne muszą obejmować dogłębną ocenę swoich skutków administracyjnych; wzywa Komisję do promowania najlepszych praktyk przy ocenie systemów krajowych państw członkowskich oraz do podjęcia działań w celu wyeliminowania praktyk powodujących niepotrzebne komplikacje; potwierdza zasadniczą rolę europejskich funduszy strukturalnych i inwestycyjnych w zmniejszaniu dysproporcji regionalnych oraz zwiększaniu dostępności terytorialnej i łączności, zwłaszcza na obszarach o niekorzystnych warunkach gospodarowania, takich jak obszary wiejskie, wyspiarskie, górskie, najbardziej oddalone i wschodnie regiony przygraniczne;</w:t>
      </w:r>
    </w:p>
    <w:p w14:paraId="35F938BF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9.</w:t>
      </w:r>
      <w:r w:rsidRPr="00F062B5">
        <w:tab/>
        <w:t>wzywa Komisję, aby w przyszłych wnioskach dotyczących uproszczenia koncepcji nowej polityki spójności oraz zapewnienia obowiązkowych konsultacji i zaangażowania władz lokalnych i regionalnych oraz partnerów, w tym organizacji społeczeństwa obywatelskiego i MŚP, zgodnie z art. 3 i 4 europejskiego kodeksu postępowania w zakresie partnerstwa, promowała i stosowała podejście oddolne i zdecentralizowane;</w:t>
      </w:r>
    </w:p>
    <w:p w14:paraId="3502BF52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10.</w:t>
      </w:r>
      <w:r w:rsidRPr="00F062B5">
        <w:tab/>
        <w:t>uważa, że lepsza koordynacja między funduszami i zarządzanie różnymi funduszami spójności w sposób jaśniejszy, spójniejszy, skoordynowany i zharmonizowany, mogłyby utorować drogę polityce spójności skuteczniejszej i bardziej elastycznej, w tym przysłużyć się opracowaniu jednolitego zbioru przepisów i jednej ścieżki audytu ich wdrażania, monitorowania i kontroli; uważa, że wartość dodaną w tym względzie mógłby wnieść jednolity, zintegrowany interfejs informatyczny dla beneficjentów w każdym państwie członkowskim, poddany dogłębnej ocenie skutków i obejmujący wszystkie etapy cyklu programu, umożliwiający prostą elektroniczną wymianę danych i dokumentów, obsługiwany przez zautomatyzowane narzędzie sprawozdawcze, a przy tym dzięki regularnym, łatwo dostępnym aktualizacjom wyników projektów realizowanych w ramach polityki spójności mógłby on zwiększyć przejrzystość funduszy; uważa, że aby uniknąć dalszej fragmentacji narzędzi finansowania i tworzeniu równoległych struktur należy powstrzymać się od tworzenia nowych małych funduszy odrębnych; uważa, że w niektórych przypadkach skuteczniejsze we wdrażaniu rozwiązań strategicznych wyzwań UE mogą być fundusze o fragmentarycznym zakresie i niedużej skali;</w:t>
      </w:r>
    </w:p>
    <w:p w14:paraId="45726EA7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11.</w:t>
      </w:r>
      <w:r w:rsidRPr="00F062B5">
        <w:tab/>
        <w:t xml:space="preserve">dostrzega potencjał, jaki wiąże się z utworzeniem w toku następnego przeglądu po 2027 r. jednej platformy europejskiej, która umożliwi beneficjentom, w szczególności małym, szybki dostęp do różnych funduszy europejskich; uważa, że Komisja i państwa członkowskie wszelkie informacje niezbędne do uzyskania dostępu do funduszy UE powinny przekazywać beneficjentom właśnie za pośrednictwem tej platformy, zapewniając również w czasie rzeczywistym wymianę danych na temat odbiorców ostatecznych funduszy, ulepszając w ten sposób gromadzenie danych i umożliwiając tworzenie w programach polityki spójności wspólnych tablic wskaźników monitorowania; uważa, że platforma taka może być konieczna, aby polepszyć </w:t>
      </w:r>
      <w:r w:rsidRPr="00F062B5">
        <w:lastRenderedPageBreak/>
        <w:t>akceptację i znajomość funduszy wśród beneficjentów, a przy tym ma potencjał do zwiększenia ich przejrzystości, zapobiegania podwójnemu finansowaniu i wzmocnieniu kontroli finansowej, w tym wykrywania nadużyć finansowych;</w:t>
      </w:r>
    </w:p>
    <w:p w14:paraId="520BC98B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12.</w:t>
      </w:r>
      <w:r w:rsidRPr="00F062B5">
        <w:tab/>
        <w:t>nalega, aby wszystkie nowe systemy informatyczne lub inne platformy cyfrowe wprowadzone w okresie programowania po 2027 r. pomagały w sprawnym gromadzeniu danych, a nie nakładały na wnioskodawców dodatkowe lub powtarzalne wymogi dotyczące danych;</w:t>
      </w:r>
    </w:p>
    <w:p w14:paraId="293FC146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13.</w:t>
      </w:r>
      <w:r w:rsidRPr="00F062B5">
        <w:tab/>
        <w:t xml:space="preserve">podkreśla jednak, że większa elastyczność nie może odbijać się na długoterminowym planowaniu strategicznym i stabilności inwestycji </w:t>
      </w:r>
      <w:proofErr w:type="spellStart"/>
      <w:r w:rsidRPr="00F062B5">
        <w:t>spójnościowych</w:t>
      </w:r>
      <w:proofErr w:type="spellEnd"/>
      <w:r w:rsidRPr="00F062B5">
        <w:t>, a przy tym nie powinna prowadzić do niepewności finansowej i wzrostu złożoności dla beneficjentów końcowych; apeluje, aby korekty priorytetów finansowania w okresie programowania po 2027 r. były dostosowane do celów rozwoju regionalnego;</w:t>
      </w:r>
    </w:p>
    <w:p w14:paraId="0DE663DD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14.</w:t>
      </w:r>
      <w:r w:rsidRPr="00F062B5">
        <w:tab/>
        <w:t xml:space="preserve">ponownie wyraża poparcie dla nowego rozporządzenia w sprawie </w:t>
      </w:r>
      <w:proofErr w:type="spellStart"/>
      <w:r w:rsidRPr="00F062B5">
        <w:t>BRIDGEforEU</w:t>
      </w:r>
      <w:proofErr w:type="spellEnd"/>
      <w:r w:rsidRPr="00F062B5">
        <w:t xml:space="preserve"> i podkreśla potrzebę dalszego upraszczania, zwłaszcza w programach transgranicznych, za pomocą dostosowanych do potrzeb rozwiązań uwzględniających szczególne wyzwania gospodarcze, społeczne i geopolityczne regionów transgranicznych; podkreśla, że polityka spójności musi nadal promować i upraszczać współpracę transgraniczną, transnarodową i międzyregionalną;</w:t>
      </w:r>
    </w:p>
    <w:p w14:paraId="5A91C90F" w14:textId="77777777" w:rsidR="00346D6F" w:rsidRPr="00F062B5" w:rsidRDefault="00346D6F" w:rsidP="00346D6F">
      <w:pPr>
        <w:pStyle w:val="NormalHanging12a"/>
        <w:rPr>
          <w:bCs/>
          <w:iCs/>
        </w:rPr>
      </w:pPr>
      <w:r w:rsidRPr="00F062B5">
        <w:t>15.</w:t>
      </w:r>
      <w:r w:rsidRPr="00F062B5">
        <w:tab/>
        <w:t>uważa, że uwzględnianie aspektu i perspektywy płci powinno być promowane na wszystkich etapach przygotowywania i realizacji programów w kolejnych ramach polityki spójności; wzywa do większej spójności w stosowaniu przez państwa członkowskie narzędzia monitorowania aspektu płci w budżetach i podkreśla, że środki upraszczające nie mogą osłabiać wysiłków na rzecz uwzględniania tego aspektu;</w:t>
      </w:r>
    </w:p>
    <w:p w14:paraId="25DB31FF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16.</w:t>
      </w:r>
      <w:r w:rsidRPr="00F062B5">
        <w:tab/>
        <w:t>uważa, że obecna definicja „przedsiębiorstwa znajdującego się w trudnej sytuacji” stanowi nieuzasadnione obciążenie dla organizacji i stanowi niepotrzebną komplikację dla innowacji, konkurencyjności i potencjalnych beneficjentów końcowych funduszy spójności, dlatego należy ją zmienić;</w:t>
      </w:r>
    </w:p>
    <w:p w14:paraId="6519CC8A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17.</w:t>
      </w:r>
      <w:r w:rsidRPr="00F062B5">
        <w:tab/>
        <w:t>zwraca uwagę, że podstawowym warunkiem wstępnym skutecznego i dostosowanego do potrzeb uproszczenia jest aktywne i obowiązkowe zaangażowanie władz lokalnych i regionalnych w przygotowanie, programowanie, wdrażanie, monitorowanie i ocenę projektów w obszarach, którymi zarządzają; podkreśla, że bez silnego partnerstwa na szczeblach lokalnym i regionalnym oraz bez wzmocnienia ich zdolności administracyjnych polityka spójności może stać się nadmiernie scentralizowanym procesem o niewielkim wpływie na zrównoważony rozwój regionów europejskich;</w:t>
      </w:r>
    </w:p>
    <w:p w14:paraId="29C8C039" w14:textId="77777777" w:rsidR="00346D6F" w:rsidRPr="00F062B5" w:rsidRDefault="00346D6F" w:rsidP="00346D6F">
      <w:pPr>
        <w:pStyle w:val="NormalHanging12a"/>
        <w:rPr>
          <w:bCs/>
          <w:iCs/>
        </w:rPr>
      </w:pPr>
      <w:r w:rsidRPr="00F062B5">
        <w:t>18.</w:t>
      </w:r>
      <w:r w:rsidRPr="00F062B5">
        <w:tab/>
        <w:t xml:space="preserve">wzywa Komisję do zbadania możliwości włączenia do semestru europejskiego oceny skutków terytorialnych i skutków dla sprawowania rządów; podkreśla, że semestr europejski powinien być zgodny z celami polityki spójności określonymi w art. 174 i 175 TFUE, i wzywa do udziału regionów w realizacji tych celów oraz do bardziej zdecydowanego podejścia terytorialnego; podkreśla, że głównym kryterium ustalania przydziału środków dla państw członkowskich w polityce spójności musi pozostać regionalny PKB na mieszkańca, i uważa, iż można by uzupełnić go innymi regionalnymi wskaźnikami społeczno-gospodarczymi (np. społecznymi, demograficznymi itp.), które pomagają odzwierciedlić sytuację społeczno-gospodarczą regionów, w celu dalszego zmniejszania dysproporcji społecznych i terytorialnych – w </w:t>
      </w:r>
      <w:r w:rsidRPr="00F062B5">
        <w:lastRenderedPageBreak/>
        <w:t>tym w obrębie regionów – oraz umożliwienia skuteczniejszego kierowania inwestycji do miejsc, gdzie są najbardziej potrzebne;</w:t>
      </w:r>
    </w:p>
    <w:p w14:paraId="15830860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19.</w:t>
      </w:r>
      <w:r w:rsidRPr="00F062B5">
        <w:tab/>
        <w:t>jest zdania, że krajowe punkty kontaktowe programów objętych zarządzaniem bezpośrednim należy włączyć do programowania funduszy spójności i rozwoju obszarów wiejskich na szczeblu krajowym i regionalnym, aby wspierać synergię i wzmacniać budowanie zdolności w ramach centralnie i wspólnie zarządzanych programów realizowanych na tych samych terytoriach i w tych samych obszarach polityki;</w:t>
      </w:r>
    </w:p>
    <w:p w14:paraId="5EE51128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20.</w:t>
      </w:r>
      <w:r w:rsidRPr="00F062B5">
        <w:tab/>
        <w:t>zachęca do korzystania ze zintegrowanych narzędzi rozwoju regionalnego, takich jak ZIT i RLKS, oraz proponuje zbadanie możliwości zwiększenia przydziału części budżetu polityki spójności we wszystkich regionach na ZIT, RLKS lub inne instrumenty terytorialne, z uwzględnieniem szczególnych potrzeb obszarów wiejskich i oddalonych oraz wschodnich regionów przygranicznych UE, szczególnie w przypadku projektów, które mogą skutecznie zaspokoić rzeczywiste potrzeby lokalne; zaleca zbadanie propozycji rozwiązania problemów i pomocy technicznej przy wdrażaniu strategii i zmian w badaniach na przestrzeni czasu; jest zdania, że rosnąca liczba zintegrowanych inicjatyw na rzecz rozwoju terytorialnego – w ramach polityki spójności i rozwoju obszarów wiejskich oraz poza nią – często nie ma konkretnych powiązań z europejskimi funduszami strukturalnymi i inwestycyjnymi, co może zmniejszać trwałość ich skutków;</w:t>
      </w:r>
    </w:p>
    <w:p w14:paraId="14D013E9" w14:textId="77777777" w:rsidR="00346D6F" w:rsidRPr="00F062B5" w:rsidRDefault="00346D6F" w:rsidP="00346D6F">
      <w:pPr>
        <w:pStyle w:val="NormalHanging12a"/>
        <w:rPr>
          <w:bCs/>
          <w:iCs/>
        </w:rPr>
      </w:pPr>
      <w:r w:rsidRPr="00F062B5">
        <w:t>21.</w:t>
      </w:r>
      <w:r w:rsidRPr="00F062B5">
        <w:tab/>
        <w:t>sprzeciwia się jakiejkolwiek formie odgórnej reformy polegającej na centralizacji lub renacjonalizacji programowania polityki spójności i przypomina, że jej podstawowymi zasadami przewodnimi muszą pozostać wielopoziomowe sprawowanie rządów, pomocniczość, zarządzanie dzielone i podejście ukierunkowane na konkretny obszar; uważa, że chociaż Instrument na rzecz Odbudowy i Zwiększania Odporności został zaprojektowany w taki sposób, aby zapewnić szybką reakcję na wyzwania gospodarcze, przy jego wdrażaniu napotkano poważne problemy, w tym niskie wskaźniki absorpcji, opóźnienia w wypłacie środków i brak przejrzystości procesu alokacji; dostrzega jednak w tym instrumencie pewne pozytywne zmiany, w szczególności wprowadzenie standardów zielonych inwestycji i zasady „nie czyń poważnych szkód”; zwraca uwagę na fakt, że w programach objętych zarządzaniem bezpośrednim wypłata środków państwom członkowskim niekoniecznie odzwierciedla liczbę i znaczenie ustalonych kamieni milowych i wartości docelowych;</w:t>
      </w:r>
    </w:p>
    <w:p w14:paraId="0D988619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22.</w:t>
      </w:r>
      <w:r w:rsidRPr="00F062B5">
        <w:tab/>
        <w:t>podkreśla, że model scentralizowany ujawnił szereg krytycznych słabości, w szczególności w odniesieniu do identyfikowalności, rozliczalności, efektywności i długoterminowego wpływu finansowania UE</w:t>
      </w:r>
      <w:r w:rsidRPr="00F062B5">
        <w:rPr>
          <w:bCs/>
          <w:iCs/>
          <w:vertAlign w:val="superscript"/>
        </w:rPr>
        <w:footnoteReference w:id="15"/>
      </w:r>
      <w:r w:rsidRPr="00F062B5">
        <w:t xml:space="preserve">; podkreśla, że należą do nich niewystarczające zaangażowanie władz lokalnych i regionalnych oraz społeczeństwa obywatelskiego, a także opóźnienia, ograniczona przejrzystość i ryzyko nieukończenia działań; ostrzega, że brak solidnych mechanizmów monitorowania i przejrzystych wymogów w zakresie audytu może osłabiać wiarygodność instrumentów finansowych UE i ich długoterminowe skutki; apeluje o silniejszy nadzór nad wypłatami i zweryfikowanymi wynikami oraz większą zgodność między nimi, aby zagwarantować, że środki unijne przynoszą obywatelom i przedsiębiorstwom wymierne korzyści; podkreśla, że wielopoziomowe sprawowanie rządów umożliwia opracowanie rozwiązań </w:t>
      </w:r>
      <w:r w:rsidRPr="00F062B5">
        <w:lastRenderedPageBreak/>
        <w:t xml:space="preserve">dostosowanych do potrzeb wszystkich regionów, i kładzie nacisk na znaczenie </w:t>
      </w:r>
      <w:proofErr w:type="spellStart"/>
      <w:r w:rsidRPr="00F062B5">
        <w:t>inkluzywnych</w:t>
      </w:r>
      <w:proofErr w:type="spellEnd"/>
      <w:r w:rsidRPr="00F062B5">
        <w:t xml:space="preserve"> procesów współprojektowania z udziałem władz lokalnych i regionalnych;</w:t>
      </w:r>
    </w:p>
    <w:p w14:paraId="2F5D2641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23.</w:t>
      </w:r>
      <w:r w:rsidRPr="00F062B5">
        <w:tab/>
        <w:t>sprzeciwia się koncepcji jednego programu krajowego, ponieważ nie angażuje on odpowiednio władz regionalnych i lokalnych, a przy tym jest znacznie oderwany od realiów panujących w terenie, a ponadto osłabiałby, a nawet eliminował zdolność polityki spójności do uwzględniania różnych potrzeb polityk sektorowych, celów i specyfiki instrumentów makroregionalnych, krajowych, regionalnych lub lokalnych; utrzymuje, że wykorzystanie programów ukierunkowanych na konkretny obszar, zarządzanych na szczeblu regionalnym NUTS 2</w:t>
      </w:r>
      <w:r w:rsidRPr="00F062B5">
        <w:rPr>
          <w:rStyle w:val="FootnoteReference"/>
          <w:bCs/>
          <w:iCs/>
        </w:rPr>
        <w:footnoteReference w:id="16"/>
      </w:r>
      <w:r w:rsidRPr="00F062B5">
        <w:t>, miało kluczowe znaczenie dla zaspokojenia rzeczywistych potrzeb w terenie i dla skutecznego zmniejszenia w przeszłości społeczno-gospodarczych różnic regionalnych, dlatego musi nadal stanowić trzon polityki spójności w przyszłości;</w:t>
      </w:r>
    </w:p>
    <w:p w14:paraId="239155CB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24.</w:t>
      </w:r>
      <w:r w:rsidRPr="00F062B5">
        <w:tab/>
        <w:t xml:space="preserve">kładzie nacisk na znaczenie współpracy, wymiany wiedzy i budowania zdolności władz lokalnych i regionalnych, w tym inwestycji w ich zdolności techniczne i administracyjne; ostrzega, że bez silnego partnerstwa z władzami lokalnymi i regionalnymi polityka spójności może ulec nadmiernej centralizacji i utracić skuteczność w promowaniu zrównoważonego rozwoju regionalnego; podkreśla, że wysiłki na rzecz uproszczenia powinny promować rolę władz lokalnych i regionalnych, które mają kluczowe znaczenie dla pomyślnej realizacji projektów finansowanych przez UE, zwłaszcza z Europejskiego Funduszu Rozwoju Regionalnego (EFRR), Funduszu Spójności i programów </w:t>
      </w:r>
      <w:proofErr w:type="spellStart"/>
      <w:r w:rsidRPr="00F062B5">
        <w:t>Interreg</w:t>
      </w:r>
      <w:proofErr w:type="spellEnd"/>
      <w:r w:rsidRPr="00F062B5">
        <w:t>; zaznacza, że kluczowe znaczenie dla zapewnienia skuteczności, istotności terytorialnej i odporności polityki spójności ma zwiększenie zaangażowania władz lokalnych i regionalnych, w tym na etapie programowania; apeluje o usprawnienie procedur przez zrównoważone podejście, przy jednoczesnym zachowaniu wielopoziomowego sprawowania rządów i miejscowej wartości dodanej udziału podmiotów lokalnych i regionalnych;</w:t>
      </w:r>
    </w:p>
    <w:p w14:paraId="19951FD8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25.</w:t>
      </w:r>
      <w:r w:rsidRPr="00F062B5">
        <w:tab/>
        <w:t>przyznaje, że mechanizmy oparte na wynikach mogą zwiększyć skuteczność polityki spójności i jej ukierunkowania na wyniki; ostrzega jednak przed sztywnym lub uniwersalnym narzuceniem tego modelu w okresie programowania 2028–2034; podkreśla, że chociaż takie mechanizmy mogą sprzyjać efektywności, muszą uwzględniać specyfikę różnych sektorów wydatków i różnorodność beneficjentów końcowych, zwłaszcza w takich obszarach jak badania naukowe, polityka społeczna i infrastruktura lokalna, w których wyniki krótkoterminowe i wymierne mogą nie w pełni uwzględniać skutki długoterminowe;</w:t>
      </w:r>
    </w:p>
    <w:p w14:paraId="08F365CF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26.</w:t>
      </w:r>
      <w:r w:rsidRPr="00F062B5">
        <w:tab/>
        <w:t xml:space="preserve">przestrzega, że obecne instrumenty oparte na wynikach często posługują się scentralizowanymi strukturami zarządzania, co może ograniczać zdolność władz regionalnych i lokalnych do skutecznego zaspokajania konkretnych potrzeb miejscowych; podkreśla, że zastosowanie w przyszłości wdrażania opartego na wynikach nie powinno odbywać się kosztem podstawowych zasad polityki spójności, takich jak wielopoziomowe sprawowanie rządów, pomocniczość i podejście ukierunkowane na konkretny obszar, oraz że muszą mu towarzyszyć znacznie silniejsze </w:t>
      </w:r>
      <w:r w:rsidRPr="00F062B5">
        <w:lastRenderedPageBreak/>
        <w:t>gwarancje zapewniające należyte zarządzanie funduszami UE;</w:t>
      </w:r>
    </w:p>
    <w:p w14:paraId="7C955C7C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27.</w:t>
      </w:r>
      <w:r w:rsidRPr="00F062B5">
        <w:tab/>
        <w:t>wzywa Komisję, aby przyjęła elastyczne i zrównoważone ramy finansowania łączące finansowanie oparte na wynikach i tradycyjne finansowanie oparte na kosztach, umożliwiając dostosowanie indywidualnych rozwiązań do warunków lokalnych; popiera większe wykorzystanie płatności ryczałtowych opartych na kamieniach milowych, zgodnie z praktyką stosowaną w programie „Kreatywna Europa”, przy jednoczesnym zapewnieniu władzom lokalnym i regionalnym autonomii niezbędnej do wdrażania polityki spójności;</w:t>
      </w:r>
    </w:p>
    <w:p w14:paraId="0909FA49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28.</w:t>
      </w:r>
      <w:r w:rsidRPr="00F062B5">
        <w:tab/>
        <w:t>przyznaje w szczególności, że władze, organizacje społeczeństwa obywatelskiego i MŚP nie powinny cierpieć z powodu wprowadzenia modeli opartych na wynikach, biorąc pod uwagę zwłaszcza ograniczony charakter zasobów finansowych, które mogą przeciętnie poświęcić na prefinansowanie lub buforowanie potencjalnych strat w przypadku nieosiągnięcia celów;</w:t>
      </w:r>
    </w:p>
    <w:p w14:paraId="5ED37219" w14:textId="77777777" w:rsidR="00346D6F" w:rsidRPr="00F062B5" w:rsidRDefault="00346D6F" w:rsidP="00346D6F">
      <w:pPr>
        <w:pStyle w:val="NormalHanging12a"/>
        <w:rPr>
          <w:bCs/>
          <w:iCs/>
        </w:rPr>
      </w:pPr>
      <w:r w:rsidRPr="00F062B5">
        <w:t>29.</w:t>
      </w:r>
      <w:r w:rsidRPr="00F062B5">
        <w:tab/>
        <w:t>przyznaje, że problemy z płynnością zniechęcają potencjalnych beneficjentów, w tym władze lokalne, które w pewnych państwach członkowskich cierpią z powodu braku autonomii fiskalnej i budżetowej, do ubiegania się o projekty finansowane w ramach polityki spójności; w związku z tym, aby umożliwić szybką wypłatę funduszy polityki spójności, wzywa do znacznego i dostosowanego do potrzeb zwiększenia płatności zaliczkowych w takich przypadkach, a także na obszarach wiejskich, transgranicznych i wyspiarskich, oraz do uproszczenia zasad współfinansowania;</w:t>
      </w:r>
    </w:p>
    <w:p w14:paraId="70CD1008" w14:textId="77777777" w:rsidR="00346D6F" w:rsidRPr="00F062B5" w:rsidRDefault="00346D6F" w:rsidP="00864DD7">
      <w:pPr>
        <w:pStyle w:val="NormalHanging12a"/>
        <w:spacing w:before="120" w:after="120"/>
        <w:rPr>
          <w:bCs/>
          <w:iCs/>
        </w:rPr>
      </w:pPr>
      <w:r w:rsidRPr="00F062B5">
        <w:t>30.</w:t>
      </w:r>
      <w:r w:rsidRPr="00F062B5">
        <w:tab/>
        <w:t>przyjmuje z zadowoleniem propozycję Komisji przedstawioną w toku śródokresowego przeglądu polityki spójności na lata 2021–2027, zgodnie z którą programy w ramach celu „Inwestycje na rzecz zatrudnienia i wzrostu”, przeprowadzone w regionach NUTS 2, które graniczą z Rosją, Białorusią lub Ukrainą, powinny korzystać z możliwości jednorazowej płatności zaliczkowej w wysokości 9,5 % alokacji programu oraz finansowania z UE na poziomie 100 %; wzywa Komisję do zaproponowania dodatkowych środków w celu zaspokojenia potrzeb wschodnich regionów przygranicznych UE;</w:t>
      </w:r>
    </w:p>
    <w:p w14:paraId="6E2A771C" w14:textId="77777777" w:rsidR="00346D6F" w:rsidRPr="00F062B5" w:rsidRDefault="00346D6F" w:rsidP="00864DD7">
      <w:pPr>
        <w:pStyle w:val="NormalHanging12a"/>
        <w:spacing w:before="120" w:after="120"/>
        <w:rPr>
          <w:bCs/>
          <w:iCs/>
          <w:szCs w:val="24"/>
        </w:rPr>
      </w:pPr>
      <w:r w:rsidRPr="00F062B5">
        <w:t>31.</w:t>
      </w:r>
      <w:r w:rsidRPr="00F062B5">
        <w:tab/>
        <w:t>wyraża zaniepokojenie regularnymi doniesieniami od zainteresowanych stron o tym, że przy przygotowywaniu umów o partnerstwie państwa członkowskie nie stosuj zasad horyzontalnych; proponuje, aby europejski kodeks postępowania w zakresie partnerstwa wpisać bezpośrednio do rozporządzenia w sprawie wspólnych przepisów, w celu uzyskania przez kodeks wiążącego charakteru i stosowania go do programów, które są objęte zarządzaniem bezpośrednim i mają oddziaływanie terytorialne; wzywa Komisję do ścisłego egzekwowania zasady partnerstwa i zastanowienia się nad środkami, które zwiększałyby uprawnienia Parlamentu w zakresie nadzoru i monitorowania umów partnerstwa i programów; wzywa Komisję do dopilnowania, aby państwa członkowskie sprawowały regularny nadzór w celu zagwarantowania właściwych kompetencji i zapobiegania nadużyciom finansowym, przy czym nadzorem powinny objąć też partnerów podczas monitorowania i wyboru ekspertów;</w:t>
      </w:r>
    </w:p>
    <w:p w14:paraId="1D9A48D6" w14:textId="77777777" w:rsidR="00346D6F" w:rsidRPr="00F062B5" w:rsidRDefault="00346D6F" w:rsidP="00864DD7">
      <w:pPr>
        <w:pStyle w:val="NormalHanging12a"/>
        <w:spacing w:before="120" w:after="120"/>
        <w:rPr>
          <w:bCs/>
          <w:iCs/>
          <w:szCs w:val="24"/>
        </w:rPr>
      </w:pPr>
      <w:r w:rsidRPr="00F062B5">
        <w:t>32.</w:t>
      </w:r>
      <w:r w:rsidRPr="00F062B5">
        <w:tab/>
        <w:t xml:space="preserve">przypomina o znaczeniu ścisłego stosowania przepisów finansowych UE we wszystkich programach i w odniesieniu do wszystkich beneficjentów w celu uniknięcia wszelkich form nadużyć finansowych, konfliktów interesów, korupcji, podwójnego finansowania i prania pieniędzy; wzywa Komisję i państwa członkowskie do zaproponowania dodatkowych środków służących zapobieganiu podwójnemu finansowaniu i unikania go, zwiększeniu możliwości dla projektów zintegrowanych, zapewnieniu </w:t>
      </w:r>
      <w:r w:rsidRPr="00F062B5">
        <w:lastRenderedPageBreak/>
        <w:t>interoperacyjności narzędzi eksploracji danych i zminimalizowaniu obowiązków instytucji zarządzających w zakresie przechowywania danych; ponawia apel do Komisji, by wprowadziła obowiązek korzystania z narzędzi informatycznych takich jak system wczesnego wykrywania i wykluczania (EDES) i ARACHNE w odniesieniu do wszystkich funduszy UE, w tym podlegających zarządzaniu dzielonemu, oraz by zapewniła lepsze wykorzystywanie nowej technologii w celu zwiększenia kontroli i ochrony budżetu UE przed nadużyciami finansowymi i niewłaściwym wykorzystywaniem funduszy; podkreśla potrzebę równowagi między uproszczeniem a ochroną budżetu UE; przypomina, że działania służące uproszczeniu powinny być zgodne z zasadami dobrej administracji, zamówień publicznych i kontroli – wszystkie z nich mają kluczowe znaczenie dla warunkowości społecznej i środowiskowej, a także z zasadą praworządności;</w:t>
      </w:r>
    </w:p>
    <w:p w14:paraId="42E90665" w14:textId="77777777" w:rsidR="00346D6F" w:rsidRPr="00F062B5" w:rsidRDefault="00346D6F" w:rsidP="00346D6F">
      <w:pPr>
        <w:pStyle w:val="NormalHanging12a"/>
        <w:rPr>
          <w:bCs/>
          <w:iCs/>
        </w:rPr>
      </w:pPr>
      <w:r w:rsidRPr="00F062B5">
        <w:t>33.</w:t>
      </w:r>
      <w:r w:rsidRPr="00F062B5">
        <w:tab/>
        <w:t>apeluje, aby Komisja zleciła badania na temat synergii między funduszami spójności a programami sektorowymi, tak jak zrobiła to w przypadku programu „Horyzont Europa”;</w:t>
      </w:r>
    </w:p>
    <w:p w14:paraId="00A72391" w14:textId="15CEF453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34.</w:t>
      </w:r>
      <w:r w:rsidRPr="00F062B5">
        <w:tab/>
        <w:t>apeluje o bardziej bezpośredni dostęp do finansowania z UE dla władz regionalnych i lokalnych, a także miast i władz miejskich, m.in. dzięki szerszemu wykorzystaniu ZIT i projektów skierowanych do partnerów społecznych i gospodarczych; wzywa Komisję do zbadania dodatkowych sposobów zapewnienia władzom lokalnym i regionalnym, społeczeństwu obywatelskiemu i innym beneficjentom możliwości dalszego korzystania z finansowania z UE w przypadku, gdy rządy krajowe naruszają praworządność, bez uszczerbku dla stosowania rozporządzenia dotyczącego warunkowości w zakresie praworządności</w:t>
      </w:r>
      <w:r w:rsidRPr="00F062B5">
        <w:rPr>
          <w:rStyle w:val="FootnoteReference"/>
          <w:bCs/>
          <w:iCs/>
        </w:rPr>
        <w:footnoteReference w:id="17"/>
      </w:r>
      <w:r w:rsidRPr="00F062B5">
        <w:t>; podkreśla, że aby zachować skuteczność decyzji o zawieszeniu, do czasu osiągnięcia jej celów i spełnienia wszystkich warunków dostępu do finansowania środków finansowych nie można przenosić do innych programów;</w:t>
      </w:r>
    </w:p>
    <w:p w14:paraId="270C211B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35.</w:t>
      </w:r>
      <w:r w:rsidRPr="00F062B5">
        <w:tab/>
        <w:t>apeluje ponadto o utworzenie stałej sieci doradczej wspierającej gminy w radzeniu sobie ze złożonymi aspektami wdrażania polityki spójności, która koordynowałaby swoje prace z już istniejącymi programami lub strukturami;</w:t>
      </w:r>
    </w:p>
    <w:p w14:paraId="175EE1D4" w14:textId="77777777" w:rsidR="00346D6F" w:rsidRPr="00F062B5" w:rsidRDefault="00346D6F" w:rsidP="00346D6F">
      <w:pPr>
        <w:pStyle w:val="NormalHanging12a"/>
        <w:rPr>
          <w:bCs/>
          <w:iCs/>
        </w:rPr>
      </w:pPr>
      <w:r w:rsidRPr="00F062B5">
        <w:t>36.</w:t>
      </w:r>
      <w:r w:rsidRPr="00F062B5">
        <w:tab/>
        <w:t>przyjmuje z zadowoleniem narzędzia takie jak zestaw narzędzi dla obszarów wiejskich UE, mające służyć beneficjentom jako przewodnik po dostępnych programach; podkreśla jednak, że potrzeba takich punktów kompleksowej obsługi uwypukla nadmierną złożoność obecnych struktur, które pozostają niedostępne dla wielu beneficjentów, zwłaszcza dla małych organów publicznych;</w:t>
      </w:r>
    </w:p>
    <w:p w14:paraId="2E0A38E7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37.</w:t>
      </w:r>
      <w:r w:rsidRPr="00F062B5">
        <w:tab/>
        <w:t>podkreśla pilną potrzebę zwiększenia inwestycji w budowanie skutecznych i adekwatnych zdolności administracyjnych wraz z przypisanymi do nich zasobami finansowymi i pomocą techniczną, zwłaszcza u władz lokalnych i regionalnych, w tym na obszarach wyspiarskich i oddalonych, ze szczególnym uwzględnieniem regionów o historycznie niskim wskaźniku absorpcji, w celu wsparcia zdecentralizowanego i skutecznego zarządzania funduszami UE i ich wdrażania;</w:t>
      </w:r>
    </w:p>
    <w:p w14:paraId="5935BE8F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38.</w:t>
      </w:r>
      <w:r w:rsidRPr="00F062B5">
        <w:tab/>
        <w:t xml:space="preserve">wzywa do wzmocnienia w ramach polityki spójności instrumentów pomocy </w:t>
      </w:r>
      <w:r w:rsidRPr="00F062B5">
        <w:lastRenderedPageBreak/>
        <w:t>technicznej, takich jak opracowane w wyniku współpracy między Europejskim Bankiem Inwestycyjnym a Komisją w celu wspierania zdolności planowania strategicznego inwestycji terytorialnych, a także ukierunkowanego wsparcia doradczego w zakresie identyfikacji, planowania i przygotowywania projektów; dostrzega kluczową rolę instrumentów finansowych we wspieraniu konkurencyjności we wszystkich regionach UE i wykorzystywania zarówno środków prywatnych, jak i środków publicznych;</w:t>
      </w:r>
    </w:p>
    <w:p w14:paraId="7DDC64D3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39.</w:t>
      </w:r>
      <w:r w:rsidRPr="00F062B5">
        <w:tab/>
        <w:t>podkreśla, że powodzenie polityki spójności zależy od przyszłościowego i integracyjnego charakteru przyjmowanych strategii, odpowiedniego zaangażowania zainteresowanych stron i społeczeństwa obywatelskiego oraz od należytego zarządzania; dostrzega potrzebę promowania podejścia do zarządzania opartego na wynikach, w tym stosowania mierzalnych wskaźników i modeli teorii zmian na potrzeby oceny programów; podkreśla wagę przeznaczania konkretnych zasobów na budowanie zdolności partnerów społecznych oraz na wzmacnianie przez organizacje społeczeństwa obywatelskiego ich roli w zakresie dobrego zarządzania i wdrażania funduszy UE;</w:t>
      </w:r>
    </w:p>
    <w:p w14:paraId="0B14F854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40.</w:t>
      </w:r>
      <w:r w:rsidRPr="00F062B5">
        <w:tab/>
        <w:t xml:space="preserve">zwraca się do Komisji o zaproponowanie, w nowych ramach pomocy państwa, dalszego uproszczenia stosowania zasad pomocy państwa w przypadku finansowania międzysektorowego związanego ze spójnością, łączącego środki unijne i krajowe (takie jak finansowanie z wielu funduszy w ramach Europejskiego Funduszu Społecznego Plus i EFRR) w celu ograniczenia błędów i obciążeń administracyjnych na szczeblu krajowym i regionalnym, a jednocześnie zwiększenie skuteczności inwestycji w ramach polityki spójności w terenie i unikanie zakłóceń na rynku; wzywa Komisję do zbadania, czy programy zarządzania dzielonego mogłyby w niektórych przypadkach podlegać </w:t>
      </w:r>
      <w:proofErr w:type="spellStart"/>
      <w:r w:rsidRPr="00F062B5">
        <w:t>wyłączeniom</w:t>
      </w:r>
      <w:proofErr w:type="spellEnd"/>
      <w:r w:rsidRPr="00F062B5">
        <w:t xml:space="preserve"> z zasad pomocy państwa podobnym jak programy objęte zarządzaniem bezpośrednim, przykładowo, program „Horyzont Europa” czy instrument „Łącząc Europę”;</w:t>
      </w:r>
    </w:p>
    <w:p w14:paraId="3E8763CA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41.</w:t>
      </w:r>
      <w:r w:rsidRPr="00F062B5">
        <w:tab/>
        <w:t>wzywa Komisję, by w kontekście zbliżającego się przeglądu dyrektywy w sprawie europejskich zamówień publicznych</w:t>
      </w:r>
      <w:r w:rsidRPr="00F062B5">
        <w:rPr>
          <w:rStyle w:val="FootnoteReference"/>
          <w:bCs/>
          <w:iCs/>
        </w:rPr>
        <w:footnoteReference w:id="18"/>
      </w:r>
      <w:r w:rsidRPr="00F062B5">
        <w:t xml:space="preserve"> dalej promowała rokowania zbiorowe i stosowanie klauzuli społecznej; podkreśla, że instytucje zamawiające muszą wykluczać z przetargów publicznych podmioty gospodarcze prowadzące działalność; apeluje, aby przepisy regulujące politykę spójności umożliwiały przydzielanie środków publicznych wyłącznie tym przedsiębiorstwom, które przestrzegają praw pracowniczych i obowiązujących przepisów dotyczących warunków pracy;</w:t>
      </w:r>
    </w:p>
    <w:p w14:paraId="6B0C1BD7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42.</w:t>
      </w:r>
      <w:r w:rsidRPr="00F062B5">
        <w:tab/>
        <w:t xml:space="preserve">stoi na stanowisku, że należy wzmocnić zasadę jednego audytu, i przypomina, że w praktyce stosowanie podejścia opartego na zasadzie jednego audytu zależy od solidnych i wiarygodnych prac kontrolnych przeprowadzonych przez organy audytowe w państwach członkowskich; podkreśla, że w następnej polityce spójności należy wprowadzić zmienione, wzmocnione i jednolite podejście do audytów i kontroli, które poprzez wzmocnienie kontroli prewencyjnych (ex </w:t>
      </w:r>
      <w:proofErr w:type="spellStart"/>
      <w:r w:rsidRPr="00F062B5">
        <w:t>ante</w:t>
      </w:r>
      <w:proofErr w:type="spellEnd"/>
      <w:r w:rsidRPr="00F062B5">
        <w:t xml:space="preserve">) na początku okresu budżetowego celem zmniejszenia niedociągnięć i ryzyka w zakresie kontroli powinno spowodować spadek zarówno poziomu błędu, jak i poziomu nadużyć finansowych; podkreśla wagę dostosowania tego podejścia do zaleceń Europejskiego Trybunału </w:t>
      </w:r>
      <w:r w:rsidRPr="00F062B5">
        <w:lastRenderedPageBreak/>
        <w:t>Obrachunkowego, w szczególności celem poprawy zarządzania finansami, podniesienia efektywności wydatków oraz zagwarantowania, że błędy stwierdzone w poprzednich okresach programowania nie będą się powtarzały;</w:t>
      </w:r>
    </w:p>
    <w:p w14:paraId="4A94F0AE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43.</w:t>
      </w:r>
      <w:r w:rsidRPr="00F062B5">
        <w:tab/>
        <w:t>apeluje o większą spójność interpretacji przepisów przez organy kontrolne w całej UE i we wszystkich funduszach oraz opowiada się za oparciem strategii audytu w większym stopniu na analizie ryzyka, aby uniknąć niepotrzebnego dublowania się działań, przy jednoczesnym zapewnieniu skutecznego nadzoru finansowego i zapobiegania nadużyciom finansowym; podkreśla, że programy realizowane przez państwa członkowskie objęte mechanizmem warunkowości w zakresie praworządności lub procedurą przewidzianą w art. 7 oraz państwa, które nie uczestniczą w Prokuraturze Europejskiej, muszą podlegać ściślejszej kontroli;</w:t>
      </w:r>
    </w:p>
    <w:p w14:paraId="4EE21A80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44.</w:t>
      </w:r>
      <w:r w:rsidRPr="00F062B5">
        <w:tab/>
        <w:t>wzywa Komisję do zaproponowania standaryzacji i szerszego stosowania uproszczonych metod rozliczania kosztów i finansowania niepowiązanego z kosztami operacji oraz podkreśla kluczową rolę tych rozwiązań w zmniejszaniu obciążeń administracyjnych, obniżaniu poziomu błędu i poprawie wyników; zaleca rozszerzenie tych mechanizmów, w szczególności złagodzenie wymogów dotyczących progów dla zamówień publicznych, weryfikacji i audytu; podkreśla ich przydatność w celu ograniczenia biurokracji i przyspieszenia realizacji w sytuacjach, w których cele są niewątpliwie łatwe do zweryfikowania, zwłaszcza w przypadku mniejszych beneficjentów, takich jak władze lokalne, organizacje społeczeństwa obywatelskiego i lokalne grupy działania, lub w projektach z udziałem mikroprzedsiębiorstw i podmiotów gospodarki społecznej; wzywa Komisję do zbadania możliwości wprowadzenia uproszczonych procedur sprawozdawczości i audytu, w celu znalezienia równowagi między uproszczeniem a należytym zarządzaniem finansami, dla władz lokalnych jednostek poniżej 100 000 mieszkańców oraz dla beneficjentów na obszarach wiejskich, na wyspach i w regionach UE najbardziej oddalonych;</w:t>
      </w:r>
    </w:p>
    <w:p w14:paraId="531F91CA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45.</w:t>
      </w:r>
      <w:r w:rsidRPr="00F062B5">
        <w:tab/>
        <w:t>uważa, że konieczna jest zmiana podejścia do audytów i kontroli poprzez odejście od ekstrapolacji statystycznej przy korektach finansowych w celu wyraźnego rozróżnienia między błędami niezamierzonymi a nadużyciami finansowymi, aby zagwarantować, że korekty będą ukierunkowane wyłącznie na przypadki systemowych nieprawidłowości i celowych nadużyć finansowych, oraz aby uniknąć nadmiernych obowiązków lub obciążenia finansowego beneficjentów i instytucji zarządzających; podkreśla, że obciążenia administracyjne i finansowe związane z kontrolą finansową i audytem, a także z działaniami pokontrolnymi, powinny być zawsze proporcjonalne do wielkości funduszy i związanego z nimi ryzyka;</w:t>
      </w:r>
    </w:p>
    <w:p w14:paraId="7D28E4CB" w14:textId="77777777" w:rsidR="00346D6F" w:rsidRPr="00F062B5" w:rsidRDefault="00346D6F" w:rsidP="00346D6F">
      <w:pPr>
        <w:pStyle w:val="NormalHanging12a"/>
        <w:rPr>
          <w:bCs/>
          <w:iCs/>
        </w:rPr>
      </w:pPr>
      <w:r w:rsidRPr="00F062B5">
        <w:t>46.</w:t>
      </w:r>
      <w:r w:rsidRPr="00F062B5">
        <w:tab/>
        <w:t>wzywa Komisję do zbadania możliwości wzmocnienia wzajemnego uzupełniania się funduszy UE, w tym poprzez ponowne włączenie przewidzianych w EFRROW interwencji na rzecz rozwoju opartego na społeczności i rozwoju lokalnego do rozporządzenia w sprawie wspólnych przepisów;</w:t>
      </w:r>
    </w:p>
    <w:p w14:paraId="24DE4DF6" w14:textId="77777777" w:rsidR="00346D6F" w:rsidRPr="00F062B5" w:rsidRDefault="00346D6F" w:rsidP="00346D6F">
      <w:pPr>
        <w:pStyle w:val="NormalHanging12a"/>
        <w:rPr>
          <w:bCs/>
          <w:iCs/>
          <w:szCs w:val="24"/>
        </w:rPr>
      </w:pPr>
      <w:r w:rsidRPr="00F062B5">
        <w:t>47.</w:t>
      </w:r>
      <w:r w:rsidRPr="00F062B5">
        <w:tab/>
        <w:t>zobowiązuje swoją przewodniczącą do przekazania niniejszej rezolucji Radzie, Komisji, Europejskiemu Trybunałowi Obrachunkowemu, Europejskiemu Komitetowi Ekonomiczno-Społecznemu, Europejskiemu Komitetowi Regionów oraz parlamentom narodowym i regionalnym państw członkowskich.</w:t>
      </w:r>
    </w:p>
    <w:p w14:paraId="7F61A6E9" w14:textId="77777777" w:rsidR="00346D6F" w:rsidRDefault="00346D6F" w:rsidP="00346D6F"/>
    <w:sectPr w:rsidR="00346D6F" w:rsidSect="00F062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83973" w14:textId="77777777" w:rsidR="000F5C4A" w:rsidRPr="00F062B5" w:rsidRDefault="000F5C4A">
      <w:r w:rsidRPr="00F062B5">
        <w:separator/>
      </w:r>
    </w:p>
  </w:endnote>
  <w:endnote w:type="continuationSeparator" w:id="0">
    <w:p w14:paraId="5493F191" w14:textId="77777777" w:rsidR="000F5C4A" w:rsidRPr="00F062B5" w:rsidRDefault="000F5C4A">
      <w:r w:rsidRPr="00F062B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1405A" w14:textId="77777777" w:rsidR="00064002" w:rsidRPr="00F062B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D6154" w14:textId="77777777" w:rsidR="00064002" w:rsidRPr="00F062B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69ED8" w14:textId="77777777" w:rsidR="00064002" w:rsidRPr="00F062B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6739E" w14:textId="77777777" w:rsidR="000F5C4A" w:rsidRPr="00F062B5" w:rsidRDefault="000F5C4A">
      <w:r w:rsidRPr="00F062B5">
        <w:separator/>
      </w:r>
    </w:p>
  </w:footnote>
  <w:footnote w:type="continuationSeparator" w:id="0">
    <w:p w14:paraId="3BF483DF" w14:textId="77777777" w:rsidR="000F5C4A" w:rsidRPr="00F062B5" w:rsidRDefault="000F5C4A">
      <w:r w:rsidRPr="00F062B5">
        <w:continuationSeparator/>
      </w:r>
    </w:p>
  </w:footnote>
  <w:footnote w:id="1">
    <w:p w14:paraId="437CFB3C" w14:textId="3F061DC4" w:rsidR="00346D6F" w:rsidRPr="00F062B5" w:rsidRDefault="00346D6F" w:rsidP="00F062B5">
      <w:pPr>
        <w:pStyle w:val="FootnoteText"/>
        <w:ind w:left="567" w:hanging="567"/>
        <w:rPr>
          <w:sz w:val="24"/>
          <w:lang w:val="pl-PL"/>
        </w:rPr>
      </w:pPr>
      <w:r w:rsidRPr="00F062B5">
        <w:rPr>
          <w:rStyle w:val="FootnoteReference"/>
          <w:sz w:val="24"/>
          <w:lang w:val="pl-PL"/>
        </w:rPr>
        <w:footnoteRef/>
      </w:r>
      <w:r w:rsidR="00F062B5" w:rsidRPr="00F062B5">
        <w:rPr>
          <w:sz w:val="24"/>
          <w:lang w:val="pl-PL"/>
        </w:rPr>
        <w:t xml:space="preserve"> </w:t>
      </w:r>
      <w:r w:rsidR="00F062B5" w:rsidRPr="00F062B5">
        <w:rPr>
          <w:sz w:val="24"/>
          <w:lang w:val="pl-PL"/>
        </w:rPr>
        <w:tab/>
      </w:r>
      <w:r w:rsidRPr="00F062B5">
        <w:rPr>
          <w:sz w:val="24"/>
          <w:lang w:val="pl-PL"/>
        </w:rPr>
        <w:t xml:space="preserve">Dz.U. L 231 z </w:t>
      </w:r>
      <w:proofErr w:type="gramStart"/>
      <w:r w:rsidRPr="00F062B5">
        <w:rPr>
          <w:sz w:val="24"/>
          <w:lang w:val="pl-PL"/>
        </w:rPr>
        <w:t>30.6.2021</w:t>
      </w:r>
      <w:proofErr w:type="gramEnd"/>
      <w:r w:rsidRPr="00F062B5">
        <w:rPr>
          <w:sz w:val="24"/>
          <w:lang w:val="pl-PL"/>
        </w:rPr>
        <w:t xml:space="preserve">, s. 159, ELI: </w:t>
      </w:r>
      <w:hyperlink r:id="rId1" w:history="1">
        <w:r w:rsidRPr="00F062B5">
          <w:rPr>
            <w:rStyle w:val="Hyperlink"/>
            <w:sz w:val="24"/>
            <w:lang w:val="pl-PL"/>
          </w:rPr>
          <w:t>http://data.europa.eu/eli/reg/2021/1060/oj</w:t>
        </w:r>
      </w:hyperlink>
      <w:r w:rsidRPr="00F062B5">
        <w:rPr>
          <w:sz w:val="24"/>
          <w:lang w:val="pl-PL"/>
        </w:rPr>
        <w:t>.</w:t>
      </w:r>
    </w:p>
  </w:footnote>
  <w:footnote w:id="2">
    <w:p w14:paraId="2CBEFEFF" w14:textId="5D92CE60" w:rsidR="00346D6F" w:rsidRPr="00F062B5" w:rsidRDefault="00346D6F" w:rsidP="00F062B5">
      <w:pPr>
        <w:pStyle w:val="FootnoteText"/>
        <w:ind w:left="567" w:hanging="567"/>
        <w:rPr>
          <w:sz w:val="24"/>
          <w:lang w:val="pl-PL"/>
        </w:rPr>
      </w:pPr>
      <w:r w:rsidRPr="00F062B5">
        <w:rPr>
          <w:rStyle w:val="FootnoteReference"/>
          <w:sz w:val="24"/>
          <w:lang w:val="pl-PL"/>
        </w:rPr>
        <w:footnoteRef/>
      </w:r>
      <w:r w:rsidR="00F062B5" w:rsidRPr="00F062B5">
        <w:rPr>
          <w:sz w:val="24"/>
          <w:lang w:val="pl-PL"/>
        </w:rPr>
        <w:t xml:space="preserve"> </w:t>
      </w:r>
      <w:r w:rsidR="00F062B5" w:rsidRPr="00F062B5">
        <w:rPr>
          <w:sz w:val="24"/>
          <w:lang w:val="pl-PL"/>
        </w:rPr>
        <w:tab/>
      </w:r>
      <w:r w:rsidRPr="00F062B5">
        <w:rPr>
          <w:sz w:val="24"/>
          <w:lang w:val="pl-PL"/>
        </w:rPr>
        <w:t xml:space="preserve">Dz.U. L 231 z </w:t>
      </w:r>
      <w:proofErr w:type="gramStart"/>
      <w:r w:rsidRPr="00F062B5">
        <w:rPr>
          <w:sz w:val="24"/>
          <w:lang w:val="pl-PL"/>
        </w:rPr>
        <w:t>30.6.2021</w:t>
      </w:r>
      <w:proofErr w:type="gramEnd"/>
      <w:r w:rsidRPr="00F062B5">
        <w:rPr>
          <w:sz w:val="24"/>
          <w:lang w:val="pl-PL"/>
        </w:rPr>
        <w:t xml:space="preserve">, s. 60, ELI: </w:t>
      </w:r>
      <w:hyperlink r:id="rId2" w:history="1">
        <w:r w:rsidRPr="00F062B5">
          <w:rPr>
            <w:rStyle w:val="Hyperlink"/>
            <w:sz w:val="24"/>
            <w:lang w:val="pl-PL"/>
          </w:rPr>
          <w:t>http://data.europa.eu/eli/reg/2021/1058/oj</w:t>
        </w:r>
      </w:hyperlink>
      <w:r w:rsidRPr="00F062B5">
        <w:rPr>
          <w:sz w:val="24"/>
          <w:lang w:val="pl-PL"/>
        </w:rPr>
        <w:t>.</w:t>
      </w:r>
    </w:p>
  </w:footnote>
  <w:footnote w:id="3">
    <w:p w14:paraId="36493A14" w14:textId="101D10CE" w:rsidR="00346D6F" w:rsidRPr="00F062B5" w:rsidRDefault="00346D6F" w:rsidP="00F062B5">
      <w:pPr>
        <w:pStyle w:val="FootnoteText"/>
        <w:ind w:left="567" w:hanging="567"/>
        <w:rPr>
          <w:sz w:val="24"/>
          <w:lang w:val="pl-PL"/>
        </w:rPr>
      </w:pPr>
      <w:r w:rsidRPr="00F062B5">
        <w:rPr>
          <w:rStyle w:val="FootnoteReference"/>
          <w:sz w:val="24"/>
          <w:lang w:val="pl-PL"/>
        </w:rPr>
        <w:footnoteRef/>
      </w:r>
      <w:r w:rsidR="00F062B5" w:rsidRPr="00F062B5">
        <w:rPr>
          <w:sz w:val="24"/>
          <w:lang w:val="pl-PL"/>
        </w:rPr>
        <w:t xml:space="preserve"> </w:t>
      </w:r>
      <w:r w:rsidR="00F062B5" w:rsidRPr="00F062B5">
        <w:rPr>
          <w:sz w:val="24"/>
          <w:lang w:val="pl-PL"/>
        </w:rPr>
        <w:tab/>
      </w:r>
      <w:r w:rsidRPr="00F062B5">
        <w:rPr>
          <w:sz w:val="24"/>
          <w:lang w:val="pl-PL"/>
        </w:rPr>
        <w:t xml:space="preserve">Dz.U. L 231 z </w:t>
      </w:r>
      <w:proofErr w:type="gramStart"/>
      <w:r w:rsidRPr="00F062B5">
        <w:rPr>
          <w:sz w:val="24"/>
          <w:lang w:val="pl-PL"/>
        </w:rPr>
        <w:t>30.6.2021</w:t>
      </w:r>
      <w:proofErr w:type="gramEnd"/>
      <w:r w:rsidRPr="00F062B5">
        <w:rPr>
          <w:sz w:val="24"/>
          <w:lang w:val="pl-PL"/>
        </w:rPr>
        <w:t xml:space="preserve">, s. 1, ELI: </w:t>
      </w:r>
      <w:hyperlink r:id="rId3" w:history="1">
        <w:r w:rsidRPr="00F062B5">
          <w:rPr>
            <w:rStyle w:val="Hyperlink"/>
            <w:sz w:val="24"/>
            <w:lang w:val="pl-PL"/>
          </w:rPr>
          <w:t>http://data.europa.eu/eli/reg/2021/1056/oj</w:t>
        </w:r>
      </w:hyperlink>
      <w:r w:rsidRPr="00F062B5">
        <w:rPr>
          <w:sz w:val="24"/>
          <w:lang w:val="pl-PL"/>
        </w:rPr>
        <w:t>.</w:t>
      </w:r>
    </w:p>
  </w:footnote>
  <w:footnote w:id="4">
    <w:p w14:paraId="3245E902" w14:textId="7D4BA7F4" w:rsidR="00346D6F" w:rsidRPr="00F062B5" w:rsidRDefault="00346D6F" w:rsidP="00F062B5">
      <w:pPr>
        <w:pStyle w:val="FootnoteText"/>
        <w:ind w:left="567" w:hanging="567"/>
        <w:rPr>
          <w:sz w:val="24"/>
          <w:lang w:val="pl-PL"/>
        </w:rPr>
      </w:pPr>
      <w:r w:rsidRPr="00F062B5">
        <w:rPr>
          <w:rStyle w:val="FootnoteReference"/>
          <w:sz w:val="24"/>
          <w:lang w:val="pl-PL"/>
        </w:rPr>
        <w:footnoteRef/>
      </w:r>
      <w:r w:rsidR="00F062B5" w:rsidRPr="00F062B5">
        <w:rPr>
          <w:sz w:val="24"/>
          <w:lang w:val="pl-PL"/>
        </w:rPr>
        <w:t xml:space="preserve"> </w:t>
      </w:r>
      <w:r w:rsidR="00F062B5" w:rsidRPr="00F062B5">
        <w:rPr>
          <w:sz w:val="24"/>
          <w:lang w:val="pl-PL"/>
        </w:rPr>
        <w:tab/>
      </w:r>
      <w:r w:rsidRPr="00F062B5">
        <w:rPr>
          <w:sz w:val="24"/>
          <w:lang w:val="pl-PL"/>
        </w:rPr>
        <w:t xml:space="preserve">Dz.U. L 231 z </w:t>
      </w:r>
      <w:proofErr w:type="gramStart"/>
      <w:r w:rsidRPr="00F062B5">
        <w:rPr>
          <w:sz w:val="24"/>
          <w:lang w:val="pl-PL"/>
        </w:rPr>
        <w:t>30.6.2021</w:t>
      </w:r>
      <w:proofErr w:type="gramEnd"/>
      <w:r w:rsidRPr="00F062B5">
        <w:rPr>
          <w:sz w:val="24"/>
          <w:lang w:val="pl-PL"/>
        </w:rPr>
        <w:t xml:space="preserve">, s. 94, ELI: </w:t>
      </w:r>
      <w:hyperlink r:id="rId4" w:history="1">
        <w:r w:rsidRPr="00F062B5">
          <w:rPr>
            <w:rStyle w:val="Hyperlink"/>
            <w:sz w:val="24"/>
            <w:lang w:val="pl-PL"/>
          </w:rPr>
          <w:t>http://data.europa.eu/eli/reg/2021/1059/oj</w:t>
        </w:r>
      </w:hyperlink>
      <w:r w:rsidRPr="00F062B5">
        <w:rPr>
          <w:sz w:val="24"/>
          <w:lang w:val="pl-PL"/>
        </w:rPr>
        <w:t>.</w:t>
      </w:r>
    </w:p>
  </w:footnote>
  <w:footnote w:id="5">
    <w:p w14:paraId="3F08C01A" w14:textId="2D398875" w:rsidR="00346D6F" w:rsidRPr="00F062B5" w:rsidRDefault="00346D6F" w:rsidP="00F062B5">
      <w:pPr>
        <w:pStyle w:val="FootnoteText"/>
        <w:ind w:left="567" w:hanging="567"/>
        <w:rPr>
          <w:sz w:val="24"/>
          <w:lang w:val="pl-PL"/>
        </w:rPr>
      </w:pPr>
      <w:r w:rsidRPr="00F062B5">
        <w:rPr>
          <w:rStyle w:val="FootnoteReference"/>
          <w:sz w:val="24"/>
          <w:lang w:val="pl-PL"/>
        </w:rPr>
        <w:footnoteRef/>
      </w:r>
      <w:r w:rsidR="00F062B5" w:rsidRPr="00F062B5">
        <w:rPr>
          <w:sz w:val="24"/>
          <w:lang w:val="pl-PL"/>
        </w:rPr>
        <w:t xml:space="preserve"> </w:t>
      </w:r>
      <w:r w:rsidR="00F062B5" w:rsidRPr="00F062B5">
        <w:rPr>
          <w:sz w:val="24"/>
          <w:lang w:val="pl-PL"/>
        </w:rPr>
        <w:tab/>
      </w:r>
      <w:r w:rsidRPr="00F062B5">
        <w:rPr>
          <w:sz w:val="24"/>
          <w:lang w:val="pl-PL"/>
        </w:rPr>
        <w:t xml:space="preserve">Dz.U. L 231 z </w:t>
      </w:r>
      <w:proofErr w:type="gramStart"/>
      <w:r w:rsidRPr="00F062B5">
        <w:rPr>
          <w:sz w:val="24"/>
          <w:lang w:val="pl-PL"/>
        </w:rPr>
        <w:t>30.6.2021</w:t>
      </w:r>
      <w:proofErr w:type="gramEnd"/>
      <w:r w:rsidRPr="00F062B5">
        <w:rPr>
          <w:sz w:val="24"/>
          <w:lang w:val="pl-PL"/>
        </w:rPr>
        <w:t xml:space="preserve">, s. 21, ELI: </w:t>
      </w:r>
      <w:hyperlink r:id="rId5" w:history="1">
        <w:r w:rsidRPr="00F062B5">
          <w:rPr>
            <w:rStyle w:val="Hyperlink"/>
            <w:sz w:val="24"/>
            <w:lang w:val="pl-PL"/>
          </w:rPr>
          <w:t>http://data.europa.eu/eli/reg/2021/1057/oj</w:t>
        </w:r>
      </w:hyperlink>
      <w:r w:rsidRPr="00F062B5">
        <w:rPr>
          <w:sz w:val="24"/>
          <w:lang w:val="pl-PL"/>
        </w:rPr>
        <w:t>.</w:t>
      </w:r>
    </w:p>
  </w:footnote>
  <w:footnote w:id="6">
    <w:p w14:paraId="4DBE7F22" w14:textId="6707B465" w:rsidR="00346D6F" w:rsidRPr="00F062B5" w:rsidRDefault="00346D6F" w:rsidP="00F062B5">
      <w:pPr>
        <w:pStyle w:val="FootnoteText"/>
        <w:ind w:left="567" w:hanging="567"/>
        <w:rPr>
          <w:sz w:val="24"/>
          <w:lang w:val="pl-PL"/>
        </w:rPr>
      </w:pPr>
      <w:r w:rsidRPr="00F062B5">
        <w:rPr>
          <w:rStyle w:val="FootnoteReference"/>
          <w:sz w:val="24"/>
          <w:lang w:val="pl-PL"/>
        </w:rPr>
        <w:footnoteRef/>
      </w:r>
      <w:r w:rsidR="00F062B5" w:rsidRPr="00F062B5">
        <w:rPr>
          <w:sz w:val="24"/>
          <w:lang w:val="pl-PL"/>
        </w:rPr>
        <w:t xml:space="preserve"> </w:t>
      </w:r>
      <w:r w:rsidR="00F062B5" w:rsidRPr="00F062B5">
        <w:rPr>
          <w:sz w:val="24"/>
          <w:lang w:val="pl-PL"/>
        </w:rPr>
        <w:tab/>
      </w:r>
      <w:r w:rsidRPr="00F062B5">
        <w:rPr>
          <w:sz w:val="24"/>
          <w:lang w:val="pl-PL"/>
        </w:rPr>
        <w:t xml:space="preserve">Dz.U. L 99 z </w:t>
      </w:r>
      <w:proofErr w:type="gramStart"/>
      <w:r w:rsidRPr="00F062B5">
        <w:rPr>
          <w:sz w:val="24"/>
          <w:lang w:val="pl-PL"/>
        </w:rPr>
        <w:t>31.3.2020</w:t>
      </w:r>
      <w:proofErr w:type="gramEnd"/>
      <w:r w:rsidRPr="00F062B5">
        <w:rPr>
          <w:sz w:val="24"/>
          <w:lang w:val="pl-PL"/>
        </w:rPr>
        <w:t xml:space="preserve">, s. 5, ELI: </w:t>
      </w:r>
      <w:hyperlink r:id="rId6" w:history="1">
        <w:r w:rsidRPr="00F062B5">
          <w:rPr>
            <w:rStyle w:val="Hyperlink"/>
            <w:sz w:val="24"/>
            <w:lang w:val="pl-PL"/>
          </w:rPr>
          <w:t>http://data.europa.eu/eli/reg/2020/460/oj</w:t>
        </w:r>
      </w:hyperlink>
      <w:r w:rsidRPr="00F062B5">
        <w:rPr>
          <w:sz w:val="24"/>
          <w:lang w:val="pl-PL"/>
        </w:rPr>
        <w:t>.</w:t>
      </w:r>
    </w:p>
  </w:footnote>
  <w:footnote w:id="7">
    <w:p w14:paraId="20202574" w14:textId="7F6FD2DF" w:rsidR="00346D6F" w:rsidRPr="00F3390B" w:rsidRDefault="00346D6F" w:rsidP="00F062B5">
      <w:pPr>
        <w:pStyle w:val="FootnoteText"/>
        <w:ind w:left="567" w:hanging="567"/>
        <w:rPr>
          <w:sz w:val="24"/>
          <w:lang w:val="fi-FI"/>
        </w:rPr>
      </w:pPr>
      <w:r w:rsidRPr="00F062B5">
        <w:rPr>
          <w:rStyle w:val="FootnoteReference"/>
          <w:sz w:val="24"/>
          <w:lang w:val="pl-PL"/>
        </w:rPr>
        <w:footnoteRef/>
      </w:r>
      <w:r w:rsidR="00F062B5" w:rsidRPr="00F3390B">
        <w:rPr>
          <w:sz w:val="24"/>
          <w:lang w:val="fi-FI"/>
        </w:rPr>
        <w:t xml:space="preserve"> </w:t>
      </w:r>
      <w:r w:rsidR="00F062B5" w:rsidRPr="00F3390B">
        <w:rPr>
          <w:sz w:val="24"/>
          <w:lang w:val="fi-FI"/>
        </w:rPr>
        <w:tab/>
      </w:r>
      <w:proofErr w:type="spellStart"/>
      <w:r w:rsidRPr="00F3390B">
        <w:rPr>
          <w:sz w:val="24"/>
          <w:lang w:val="fi-FI"/>
        </w:rPr>
        <w:t>Dz.U</w:t>
      </w:r>
      <w:proofErr w:type="spellEnd"/>
      <w:r w:rsidRPr="00F3390B">
        <w:rPr>
          <w:sz w:val="24"/>
          <w:lang w:val="fi-FI"/>
        </w:rPr>
        <w:t xml:space="preserve">. L, 2025/925, 19.5.2025, ELI: </w:t>
      </w:r>
      <w:hyperlink r:id="rId7" w:history="1">
        <w:r w:rsidRPr="00F3390B">
          <w:rPr>
            <w:rStyle w:val="Hyperlink"/>
            <w:sz w:val="24"/>
            <w:lang w:val="fi-FI"/>
          </w:rPr>
          <w:t>http://data.europa.eu/eli/reg/2025/925/oj</w:t>
        </w:r>
      </w:hyperlink>
      <w:r w:rsidRPr="00F3390B">
        <w:rPr>
          <w:sz w:val="24"/>
          <w:lang w:val="fi-FI"/>
        </w:rPr>
        <w:t>.</w:t>
      </w:r>
    </w:p>
  </w:footnote>
  <w:footnote w:id="8">
    <w:p w14:paraId="0C498E6A" w14:textId="2B0B60E6" w:rsidR="00346D6F" w:rsidRPr="00F062B5" w:rsidRDefault="00346D6F" w:rsidP="00F062B5">
      <w:pPr>
        <w:pStyle w:val="FootnoteText"/>
        <w:ind w:left="567" w:hanging="567"/>
        <w:rPr>
          <w:sz w:val="24"/>
          <w:lang w:val="pl-PL"/>
        </w:rPr>
      </w:pPr>
      <w:r w:rsidRPr="00F062B5">
        <w:rPr>
          <w:rStyle w:val="FootnoteReference"/>
          <w:sz w:val="24"/>
          <w:lang w:val="pl-PL"/>
        </w:rPr>
        <w:footnoteRef/>
      </w:r>
      <w:r w:rsidR="00F062B5" w:rsidRPr="00F062B5">
        <w:rPr>
          <w:sz w:val="24"/>
          <w:lang w:val="pl-PL"/>
        </w:rPr>
        <w:t xml:space="preserve"> </w:t>
      </w:r>
      <w:r w:rsidR="00F062B5" w:rsidRPr="00F062B5">
        <w:rPr>
          <w:sz w:val="24"/>
          <w:lang w:val="pl-PL"/>
        </w:rPr>
        <w:tab/>
      </w:r>
      <w:r w:rsidRPr="00F062B5">
        <w:rPr>
          <w:sz w:val="24"/>
          <w:lang w:val="pl-PL"/>
        </w:rPr>
        <w:t xml:space="preserve">Dz.U. L 347 z 20.12.2013, s. 487, ELI: </w:t>
      </w:r>
      <w:hyperlink r:id="rId8" w:history="1">
        <w:r w:rsidRPr="00F062B5">
          <w:rPr>
            <w:rStyle w:val="Hyperlink"/>
            <w:sz w:val="24"/>
            <w:lang w:val="pl-PL"/>
          </w:rPr>
          <w:t>http://data.europa.eu/eli/reg/2013/1305/oj</w:t>
        </w:r>
      </w:hyperlink>
      <w:r w:rsidRPr="00F062B5">
        <w:rPr>
          <w:sz w:val="24"/>
          <w:lang w:val="pl-PL"/>
        </w:rPr>
        <w:t>.</w:t>
      </w:r>
    </w:p>
  </w:footnote>
  <w:footnote w:id="9">
    <w:p w14:paraId="7CE91F9E" w14:textId="4E2FFA44" w:rsidR="00346D6F" w:rsidRPr="00F062B5" w:rsidRDefault="00346D6F" w:rsidP="00F062B5">
      <w:pPr>
        <w:pStyle w:val="FootnoteText"/>
        <w:ind w:left="567" w:hanging="567"/>
        <w:rPr>
          <w:sz w:val="24"/>
          <w:lang w:val="pl-PL"/>
        </w:rPr>
      </w:pPr>
      <w:r w:rsidRPr="00F062B5">
        <w:rPr>
          <w:rStyle w:val="FootnoteReference"/>
          <w:sz w:val="24"/>
          <w:lang w:val="pl-PL"/>
        </w:rPr>
        <w:footnoteRef/>
      </w:r>
      <w:r w:rsidR="00F062B5" w:rsidRPr="00F062B5">
        <w:rPr>
          <w:sz w:val="24"/>
          <w:lang w:val="pl-PL"/>
        </w:rPr>
        <w:t xml:space="preserve"> </w:t>
      </w:r>
      <w:r w:rsidR="00F062B5" w:rsidRPr="00F062B5">
        <w:rPr>
          <w:sz w:val="24"/>
          <w:lang w:val="pl-PL"/>
        </w:rPr>
        <w:tab/>
      </w:r>
      <w:r w:rsidRPr="00F062B5">
        <w:rPr>
          <w:sz w:val="24"/>
          <w:lang w:val="pl-PL"/>
        </w:rPr>
        <w:t xml:space="preserve">Dz.U. L 74 z </w:t>
      </w:r>
      <w:proofErr w:type="gramStart"/>
      <w:r w:rsidRPr="00F062B5">
        <w:rPr>
          <w:sz w:val="24"/>
          <w:lang w:val="pl-PL"/>
        </w:rPr>
        <w:t>14.3.2014</w:t>
      </w:r>
      <w:proofErr w:type="gramEnd"/>
      <w:r w:rsidRPr="00F062B5">
        <w:rPr>
          <w:sz w:val="24"/>
          <w:lang w:val="pl-PL"/>
        </w:rPr>
        <w:t xml:space="preserve">, s. 1, ELI: </w:t>
      </w:r>
      <w:hyperlink r:id="rId9" w:history="1">
        <w:r w:rsidRPr="00F062B5">
          <w:rPr>
            <w:rStyle w:val="Hyperlink"/>
            <w:sz w:val="24"/>
            <w:lang w:val="pl-PL"/>
          </w:rPr>
          <w:t>http://data.europa.eu/eli/reg_del/2014/240/oj</w:t>
        </w:r>
      </w:hyperlink>
      <w:r w:rsidRPr="00F062B5">
        <w:rPr>
          <w:sz w:val="24"/>
          <w:lang w:val="pl-PL"/>
        </w:rPr>
        <w:t>.</w:t>
      </w:r>
    </w:p>
  </w:footnote>
  <w:footnote w:id="10">
    <w:p w14:paraId="166EE98F" w14:textId="34B50119" w:rsidR="00346D6F" w:rsidRPr="00F3390B" w:rsidRDefault="00346D6F" w:rsidP="00F062B5">
      <w:pPr>
        <w:pStyle w:val="FootnoteText"/>
        <w:ind w:left="567" w:hanging="567"/>
        <w:rPr>
          <w:sz w:val="24"/>
          <w:lang w:val="fi-FI"/>
        </w:rPr>
      </w:pPr>
      <w:r w:rsidRPr="00F062B5">
        <w:rPr>
          <w:rStyle w:val="FootnoteReference"/>
          <w:sz w:val="24"/>
          <w:lang w:val="pl-PL"/>
        </w:rPr>
        <w:footnoteRef/>
      </w:r>
      <w:r w:rsidR="00F062B5" w:rsidRPr="00F3390B">
        <w:rPr>
          <w:sz w:val="24"/>
          <w:lang w:val="fi-FI"/>
        </w:rPr>
        <w:t xml:space="preserve"> </w:t>
      </w:r>
      <w:r w:rsidR="00F062B5" w:rsidRPr="00F3390B">
        <w:rPr>
          <w:sz w:val="24"/>
          <w:lang w:val="fi-FI"/>
        </w:rPr>
        <w:tab/>
      </w:r>
      <w:r w:rsidRPr="00F3390B">
        <w:rPr>
          <w:sz w:val="24"/>
          <w:lang w:val="fi-FI"/>
        </w:rPr>
        <w:t xml:space="preserve">Dz.U. C, C/2024/5704, 17.10.2024, ELI: </w:t>
      </w:r>
      <w:hyperlink r:id="rId10" w:history="1">
        <w:r w:rsidRPr="00F3390B">
          <w:rPr>
            <w:rStyle w:val="Hyperlink"/>
            <w:sz w:val="24"/>
            <w:lang w:val="fi-FI"/>
          </w:rPr>
          <w:t>http://data.europa.eu/eli/C/2024/5704/oj</w:t>
        </w:r>
      </w:hyperlink>
      <w:r w:rsidRPr="00F3390B">
        <w:rPr>
          <w:sz w:val="24"/>
          <w:lang w:val="fi-FI"/>
        </w:rPr>
        <w:t>.</w:t>
      </w:r>
    </w:p>
  </w:footnote>
  <w:footnote w:id="11">
    <w:p w14:paraId="3802E1D9" w14:textId="28887D15" w:rsidR="00346D6F" w:rsidRPr="00F3390B" w:rsidRDefault="00346D6F" w:rsidP="00F062B5">
      <w:pPr>
        <w:pStyle w:val="FootnoteText"/>
        <w:ind w:left="567" w:hanging="567"/>
        <w:rPr>
          <w:sz w:val="24"/>
          <w:lang w:val="fi-FI"/>
        </w:rPr>
      </w:pPr>
      <w:r w:rsidRPr="00F062B5">
        <w:rPr>
          <w:rStyle w:val="FootnoteReference"/>
          <w:sz w:val="24"/>
          <w:lang w:val="pl-PL"/>
        </w:rPr>
        <w:footnoteRef/>
      </w:r>
      <w:r w:rsidR="00F062B5" w:rsidRPr="00F3390B">
        <w:rPr>
          <w:sz w:val="24"/>
          <w:lang w:val="fi-FI"/>
        </w:rPr>
        <w:t xml:space="preserve"> </w:t>
      </w:r>
      <w:r w:rsidR="00F062B5" w:rsidRPr="00F3390B">
        <w:rPr>
          <w:sz w:val="24"/>
          <w:lang w:val="fi-FI"/>
        </w:rPr>
        <w:tab/>
      </w:r>
      <w:r w:rsidRPr="00F3390B">
        <w:rPr>
          <w:sz w:val="24"/>
          <w:lang w:val="fi-FI"/>
        </w:rPr>
        <w:t xml:space="preserve">Dz.U. C, C/2025/2018, 30.4.2025, ELI: </w:t>
      </w:r>
      <w:hyperlink r:id="rId11" w:history="1">
        <w:r w:rsidRPr="00F3390B">
          <w:rPr>
            <w:rStyle w:val="Hyperlink"/>
            <w:sz w:val="24"/>
            <w:lang w:val="fi-FI"/>
          </w:rPr>
          <w:t>http://data.europa.eu/eli/C/2025/2018/oj</w:t>
        </w:r>
      </w:hyperlink>
      <w:r w:rsidRPr="00F3390B">
        <w:rPr>
          <w:sz w:val="24"/>
          <w:lang w:val="fi-FI"/>
        </w:rPr>
        <w:t>.</w:t>
      </w:r>
    </w:p>
  </w:footnote>
  <w:footnote w:id="12">
    <w:p w14:paraId="619F25EF" w14:textId="2772B557" w:rsidR="00346D6F" w:rsidRPr="00F3390B" w:rsidRDefault="00346D6F" w:rsidP="00F062B5">
      <w:pPr>
        <w:pStyle w:val="FootnoteText"/>
        <w:ind w:left="567" w:hanging="567"/>
        <w:rPr>
          <w:sz w:val="24"/>
          <w:lang w:val="fi-FI"/>
        </w:rPr>
      </w:pPr>
      <w:r w:rsidRPr="00F062B5">
        <w:rPr>
          <w:rStyle w:val="FootnoteReference"/>
          <w:sz w:val="24"/>
          <w:lang w:val="pl-PL"/>
        </w:rPr>
        <w:footnoteRef/>
      </w:r>
      <w:r w:rsidR="00F062B5" w:rsidRPr="00F3390B">
        <w:rPr>
          <w:sz w:val="24"/>
          <w:lang w:val="fi-FI"/>
        </w:rPr>
        <w:t xml:space="preserve"> </w:t>
      </w:r>
      <w:r w:rsidR="00F062B5" w:rsidRPr="00F3390B">
        <w:rPr>
          <w:sz w:val="24"/>
          <w:lang w:val="fi-FI"/>
        </w:rPr>
        <w:tab/>
      </w:r>
      <w:r w:rsidRPr="00F3390B">
        <w:rPr>
          <w:sz w:val="24"/>
          <w:lang w:val="fi-FI"/>
        </w:rPr>
        <w:t xml:space="preserve">Dz.U. C, C/2025/773, 11.2.2025, ELI: </w:t>
      </w:r>
      <w:hyperlink r:id="rId12" w:history="1">
        <w:r w:rsidRPr="00F3390B">
          <w:rPr>
            <w:rStyle w:val="Hyperlink"/>
            <w:sz w:val="24"/>
            <w:lang w:val="fi-FI"/>
          </w:rPr>
          <w:t>http://data.europa.eu/eli/C/2025/773/oj</w:t>
        </w:r>
      </w:hyperlink>
      <w:r w:rsidRPr="00F3390B">
        <w:rPr>
          <w:sz w:val="24"/>
          <w:lang w:val="fi-FI"/>
        </w:rPr>
        <w:t>.</w:t>
      </w:r>
    </w:p>
  </w:footnote>
  <w:footnote w:id="13">
    <w:p w14:paraId="317F3571" w14:textId="7CC653A8" w:rsidR="00346D6F" w:rsidRPr="00F062B5" w:rsidRDefault="00346D6F" w:rsidP="00F062B5">
      <w:pPr>
        <w:pStyle w:val="FootnoteText"/>
        <w:ind w:left="567" w:hanging="567"/>
        <w:rPr>
          <w:sz w:val="24"/>
          <w:lang w:val="pl-PL"/>
        </w:rPr>
      </w:pPr>
      <w:r w:rsidRPr="00F062B5">
        <w:rPr>
          <w:rStyle w:val="FootnoteReference"/>
          <w:sz w:val="24"/>
          <w:lang w:val="pl-PL"/>
        </w:rPr>
        <w:footnoteRef/>
      </w:r>
      <w:r w:rsidR="00F062B5" w:rsidRPr="00F062B5">
        <w:rPr>
          <w:sz w:val="24"/>
          <w:lang w:val="pl-PL"/>
        </w:rPr>
        <w:t xml:space="preserve"> </w:t>
      </w:r>
      <w:r w:rsidR="00F062B5" w:rsidRPr="00F062B5">
        <w:rPr>
          <w:sz w:val="24"/>
          <w:lang w:val="pl-PL"/>
        </w:rPr>
        <w:tab/>
      </w:r>
      <w:r w:rsidRPr="00F062B5">
        <w:rPr>
          <w:sz w:val="24"/>
          <w:lang w:val="pl-PL"/>
        </w:rPr>
        <w:t>Rozporządzenie Komisji (UE) nr 651/2014 z dnia 17 czerwca 2014 r. uznające niektóre rodzaje pomocy za zgodne z rynkiem wewnętrznym w zastosowaniu art. 107 i 108 Traktat (Dz.U. L 187 z </w:t>
      </w:r>
      <w:proofErr w:type="gramStart"/>
      <w:r w:rsidRPr="00F062B5">
        <w:rPr>
          <w:sz w:val="24"/>
          <w:lang w:val="pl-PL"/>
        </w:rPr>
        <w:t>26.6.2014</w:t>
      </w:r>
      <w:proofErr w:type="gramEnd"/>
      <w:r w:rsidRPr="00F062B5">
        <w:rPr>
          <w:sz w:val="24"/>
          <w:lang w:val="pl-PL"/>
        </w:rPr>
        <w:t xml:space="preserve">, s. 1, ELI:  </w:t>
      </w:r>
      <w:hyperlink r:id="rId13" w:history="1">
        <w:r w:rsidRPr="00F062B5">
          <w:rPr>
            <w:rStyle w:val="Hyperlink"/>
            <w:sz w:val="24"/>
            <w:lang w:val="pl-PL"/>
          </w:rPr>
          <w:t>http://data.europa.eu/eli/reg/2014/651/oj</w:t>
        </w:r>
      </w:hyperlink>
      <w:r w:rsidRPr="00F062B5">
        <w:rPr>
          <w:sz w:val="24"/>
          <w:lang w:val="pl-PL"/>
        </w:rPr>
        <w:t>).</w:t>
      </w:r>
    </w:p>
  </w:footnote>
  <w:footnote w:id="14">
    <w:p w14:paraId="7831EDF0" w14:textId="6F2AFB60" w:rsidR="00346D6F" w:rsidRPr="00F062B5" w:rsidRDefault="00346D6F" w:rsidP="00F062B5">
      <w:pPr>
        <w:pStyle w:val="FootnoteText"/>
        <w:ind w:left="567" w:hanging="567"/>
        <w:rPr>
          <w:sz w:val="24"/>
          <w:lang w:val="pl-PL"/>
        </w:rPr>
      </w:pPr>
      <w:r w:rsidRPr="00F062B5">
        <w:rPr>
          <w:rStyle w:val="FootnoteReference"/>
          <w:sz w:val="24"/>
          <w:lang w:val="pl-PL"/>
        </w:rPr>
        <w:footnoteRef/>
      </w:r>
      <w:r w:rsidR="00F062B5" w:rsidRPr="00F062B5">
        <w:rPr>
          <w:sz w:val="24"/>
          <w:lang w:val="pl-PL"/>
        </w:rPr>
        <w:t xml:space="preserve"> </w:t>
      </w:r>
      <w:r w:rsidR="00F062B5" w:rsidRPr="00F062B5">
        <w:rPr>
          <w:sz w:val="24"/>
          <w:lang w:val="pl-PL"/>
        </w:rPr>
        <w:tab/>
      </w:r>
      <w:r w:rsidRPr="00F062B5">
        <w:rPr>
          <w:sz w:val="24"/>
          <w:lang w:val="pl-PL"/>
        </w:rPr>
        <w:t xml:space="preserve">Rozporządzenie Parlamentu Europejskiego i Rady (UE, </w:t>
      </w:r>
      <w:proofErr w:type="spellStart"/>
      <w:r w:rsidRPr="00F062B5">
        <w:rPr>
          <w:sz w:val="24"/>
          <w:lang w:val="pl-PL"/>
        </w:rPr>
        <w:t>Euratom</w:t>
      </w:r>
      <w:proofErr w:type="spellEnd"/>
      <w:r w:rsidRPr="00F062B5">
        <w:rPr>
          <w:sz w:val="24"/>
          <w:lang w:val="pl-PL"/>
        </w:rPr>
        <w:t xml:space="preserve">) 2024/2509 z dnia 23 września 2024 r. w sprawie zasad finansowych mających zastosowanie do budżetu ogólnego Unii (Dz.U. L, 2024/2509, </w:t>
      </w:r>
      <w:proofErr w:type="gramStart"/>
      <w:r w:rsidRPr="00F062B5">
        <w:rPr>
          <w:sz w:val="24"/>
          <w:lang w:val="pl-PL"/>
        </w:rPr>
        <w:t>26.9.2024</w:t>
      </w:r>
      <w:proofErr w:type="gramEnd"/>
      <w:r w:rsidRPr="00F062B5">
        <w:rPr>
          <w:sz w:val="24"/>
          <w:lang w:val="pl-PL"/>
        </w:rPr>
        <w:t xml:space="preserve">, ELI: </w:t>
      </w:r>
      <w:hyperlink r:id="rId14" w:history="1">
        <w:r w:rsidRPr="00F062B5">
          <w:rPr>
            <w:rStyle w:val="Hyperlink"/>
            <w:sz w:val="24"/>
            <w:lang w:val="pl-PL"/>
          </w:rPr>
          <w:t>http://data.europa.eu/eli/reg/2024/2509/oj</w:t>
        </w:r>
      </w:hyperlink>
      <w:r w:rsidRPr="00F062B5">
        <w:rPr>
          <w:sz w:val="24"/>
          <w:lang w:val="pl-PL"/>
        </w:rPr>
        <w:t>).</w:t>
      </w:r>
    </w:p>
  </w:footnote>
  <w:footnote w:id="15">
    <w:p w14:paraId="2E8211BD" w14:textId="47BD6A8D" w:rsidR="00346D6F" w:rsidRPr="00F062B5" w:rsidRDefault="00346D6F" w:rsidP="00F062B5">
      <w:pPr>
        <w:pStyle w:val="FootnoteText"/>
        <w:ind w:left="567" w:hanging="567"/>
        <w:rPr>
          <w:sz w:val="24"/>
          <w:lang w:val="pl-PL"/>
        </w:rPr>
      </w:pPr>
      <w:r w:rsidRPr="00F062B5">
        <w:rPr>
          <w:rStyle w:val="FootnoteReference"/>
          <w:sz w:val="24"/>
          <w:lang w:val="pl-PL"/>
        </w:rPr>
        <w:footnoteRef/>
      </w:r>
      <w:r w:rsidR="00F062B5" w:rsidRPr="00F062B5">
        <w:rPr>
          <w:sz w:val="24"/>
          <w:lang w:val="pl-PL"/>
        </w:rPr>
        <w:t xml:space="preserve"> </w:t>
      </w:r>
      <w:r w:rsidR="00F062B5" w:rsidRPr="00F062B5">
        <w:rPr>
          <w:sz w:val="24"/>
          <w:lang w:val="pl-PL"/>
        </w:rPr>
        <w:tab/>
      </w:r>
      <w:r w:rsidRPr="00F062B5">
        <w:rPr>
          <w:sz w:val="24"/>
          <w:lang w:val="pl-PL"/>
        </w:rPr>
        <w:t xml:space="preserve">Dz.U. C 114 z </w:t>
      </w:r>
      <w:proofErr w:type="gramStart"/>
      <w:r w:rsidRPr="00F062B5">
        <w:rPr>
          <w:sz w:val="24"/>
          <w:lang w:val="pl-PL"/>
        </w:rPr>
        <w:t>29.3.2023</w:t>
      </w:r>
      <w:proofErr w:type="gramEnd"/>
      <w:r w:rsidRPr="00F062B5">
        <w:rPr>
          <w:sz w:val="24"/>
          <w:lang w:val="pl-PL"/>
        </w:rPr>
        <w:t xml:space="preserve">, s. 5; </w:t>
      </w:r>
      <w:r w:rsidR="004F43F5">
        <w:rPr>
          <w:sz w:val="24"/>
          <w:lang w:val="pl-PL"/>
        </w:rPr>
        <w:t xml:space="preserve">Dz.U. </w:t>
      </w:r>
      <w:r w:rsidRPr="00F062B5">
        <w:rPr>
          <w:sz w:val="24"/>
          <w:lang w:val="pl-PL"/>
        </w:rPr>
        <w:t xml:space="preserve">C, C/2024/5471, 10.9.2024, ELI: </w:t>
      </w:r>
      <w:hyperlink r:id="rId15" w:history="1">
        <w:r w:rsidRPr="00F062B5">
          <w:rPr>
            <w:rStyle w:val="Hyperlink"/>
            <w:sz w:val="24"/>
            <w:lang w:val="pl-PL"/>
          </w:rPr>
          <w:t>http://data.europa.eu/eli/C/2024/5471/oj</w:t>
        </w:r>
      </w:hyperlink>
      <w:r w:rsidRPr="00F062B5">
        <w:rPr>
          <w:sz w:val="24"/>
          <w:lang w:val="pl-PL"/>
        </w:rPr>
        <w:t>, (ustępy 53–56).</w:t>
      </w:r>
    </w:p>
  </w:footnote>
  <w:footnote w:id="16">
    <w:p w14:paraId="4EEF5BBF" w14:textId="3DA72C85" w:rsidR="00346D6F" w:rsidRPr="00F062B5" w:rsidRDefault="00346D6F" w:rsidP="00F062B5">
      <w:pPr>
        <w:pStyle w:val="FootnoteText"/>
        <w:ind w:left="567" w:hanging="567"/>
        <w:rPr>
          <w:sz w:val="24"/>
          <w:lang w:val="pl-PL"/>
        </w:rPr>
      </w:pPr>
      <w:r w:rsidRPr="00F062B5">
        <w:rPr>
          <w:rStyle w:val="FootnoteReference"/>
          <w:sz w:val="24"/>
          <w:lang w:val="pl-PL"/>
        </w:rPr>
        <w:footnoteRef/>
      </w:r>
      <w:r w:rsidR="00F062B5" w:rsidRPr="00F062B5">
        <w:rPr>
          <w:sz w:val="24"/>
          <w:lang w:val="pl-PL"/>
        </w:rPr>
        <w:t xml:space="preserve"> </w:t>
      </w:r>
      <w:r w:rsidR="00F062B5" w:rsidRPr="00F062B5">
        <w:rPr>
          <w:sz w:val="24"/>
          <w:lang w:val="pl-PL"/>
        </w:rPr>
        <w:tab/>
      </w:r>
      <w:r w:rsidRPr="00F062B5">
        <w:rPr>
          <w:sz w:val="24"/>
          <w:lang w:val="pl-PL"/>
        </w:rPr>
        <w:t>NUTS (nomenklatura jednostek terytorialnych do celów statystycznych) jest unijnym systemem klasyfikacji służącym do określania regionów państw w celach statystycznych. „NUTS 2” identyfikuje regiony podstawowe (na potrzeby polityki regionalnej).</w:t>
      </w:r>
    </w:p>
  </w:footnote>
  <w:footnote w:id="17">
    <w:p w14:paraId="4F9F914B" w14:textId="7943FCE7" w:rsidR="00346D6F" w:rsidRPr="00F062B5" w:rsidRDefault="00346D6F" w:rsidP="00F062B5">
      <w:pPr>
        <w:ind w:left="567" w:hanging="567"/>
      </w:pPr>
      <w:r w:rsidRPr="00F062B5">
        <w:rPr>
          <w:rStyle w:val="FootnoteReference"/>
        </w:rPr>
        <w:footnoteRef/>
      </w:r>
      <w:r w:rsidR="00F062B5" w:rsidRPr="00F062B5">
        <w:t xml:space="preserve"> </w:t>
      </w:r>
      <w:r w:rsidR="00F062B5" w:rsidRPr="00F062B5">
        <w:tab/>
      </w:r>
      <w:r w:rsidRPr="00F062B5">
        <w:t xml:space="preserve">Rozporządzenie Parlamentu Europejskiego i Rady (UE, </w:t>
      </w:r>
      <w:proofErr w:type="spellStart"/>
      <w:r w:rsidRPr="00F062B5">
        <w:t>Euratom</w:t>
      </w:r>
      <w:proofErr w:type="spellEnd"/>
      <w:r w:rsidRPr="00F062B5">
        <w:t xml:space="preserve">) 2020/2092 z dnia 16 grudnia 2020 r. w sprawie ogólnego systemu warunkowości służącego ochronie budżetu Unii (Dz.U. L 433 I z 22.12.2020, s. 1, ELI: </w:t>
      </w:r>
      <w:hyperlink r:id="rId16" w:history="1">
        <w:r w:rsidRPr="00F062B5">
          <w:rPr>
            <w:rStyle w:val="Hyperlink"/>
          </w:rPr>
          <w:t>http://data.europa.eu/eli/reg/2020/2092/oj</w:t>
        </w:r>
      </w:hyperlink>
      <w:r w:rsidRPr="00F062B5">
        <w:t>).</w:t>
      </w:r>
    </w:p>
  </w:footnote>
  <w:footnote w:id="18">
    <w:p w14:paraId="3795BB18" w14:textId="2E93F6E1" w:rsidR="00346D6F" w:rsidRPr="00F062B5" w:rsidRDefault="00346D6F" w:rsidP="00F062B5">
      <w:pPr>
        <w:pStyle w:val="FootnoteText"/>
        <w:ind w:left="567" w:hanging="567"/>
        <w:rPr>
          <w:sz w:val="24"/>
          <w:lang w:val="pl-PL"/>
        </w:rPr>
      </w:pPr>
      <w:r w:rsidRPr="00F062B5">
        <w:rPr>
          <w:rStyle w:val="FootnoteReference"/>
          <w:sz w:val="24"/>
          <w:lang w:val="pl-PL"/>
        </w:rPr>
        <w:footnoteRef/>
      </w:r>
      <w:r w:rsidR="00F062B5" w:rsidRPr="00F062B5">
        <w:rPr>
          <w:sz w:val="24"/>
          <w:lang w:val="pl-PL"/>
        </w:rPr>
        <w:t xml:space="preserve"> </w:t>
      </w:r>
      <w:r w:rsidR="00F062B5" w:rsidRPr="00F062B5">
        <w:rPr>
          <w:sz w:val="24"/>
          <w:lang w:val="pl-PL"/>
        </w:rPr>
        <w:tab/>
      </w:r>
      <w:r w:rsidRPr="00F062B5">
        <w:rPr>
          <w:sz w:val="24"/>
          <w:lang w:val="pl-PL"/>
        </w:rPr>
        <w:t>Dyrektywa Parlamentu Europejskiego i Rady 2014/24/UE z dnia 26 lutego 2014 r. w sprawie zamówień publicznych, uchylająca dyrektywę 2004/18/WE (Dz.U. L 94 z </w:t>
      </w:r>
      <w:proofErr w:type="gramStart"/>
      <w:r w:rsidRPr="00F062B5">
        <w:rPr>
          <w:sz w:val="24"/>
          <w:lang w:val="pl-PL"/>
        </w:rPr>
        <w:t>28.3.2014</w:t>
      </w:r>
      <w:proofErr w:type="gramEnd"/>
      <w:r w:rsidRPr="00F062B5">
        <w:rPr>
          <w:sz w:val="24"/>
          <w:lang w:val="pl-PL"/>
        </w:rPr>
        <w:t xml:space="preserve">, s. 65, ELI: </w:t>
      </w:r>
      <w:hyperlink r:id="rId17" w:history="1">
        <w:r w:rsidR="00864DD7" w:rsidRPr="004403E6">
          <w:rPr>
            <w:rStyle w:val="Hyperlink"/>
            <w:sz w:val="24"/>
            <w:lang w:val="pl-PL"/>
          </w:rPr>
          <w:t>http://data.europa.eu/eli/dir/2014/24/oj</w:t>
        </w:r>
      </w:hyperlink>
      <w:r w:rsidRPr="00F062B5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D24A7" w14:textId="77777777" w:rsidR="00064002" w:rsidRPr="00F062B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B8F5C" w14:textId="77777777" w:rsidR="00064002" w:rsidRPr="00F062B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5C6F3" w14:textId="77777777" w:rsidR="00064002" w:rsidRPr="00F062B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9876873">
    <w:abstractNumId w:val="9"/>
  </w:num>
  <w:num w:numId="2" w16cid:durableId="37633690">
    <w:abstractNumId w:val="9"/>
  </w:num>
  <w:num w:numId="3" w16cid:durableId="901675463">
    <w:abstractNumId w:val="7"/>
  </w:num>
  <w:num w:numId="4" w16cid:durableId="1655144312">
    <w:abstractNumId w:val="7"/>
  </w:num>
  <w:num w:numId="5" w16cid:durableId="2142768894">
    <w:abstractNumId w:val="6"/>
  </w:num>
  <w:num w:numId="6" w16cid:durableId="1849830232">
    <w:abstractNumId w:val="6"/>
  </w:num>
  <w:num w:numId="7" w16cid:durableId="1269001996">
    <w:abstractNumId w:val="5"/>
  </w:num>
  <w:num w:numId="8" w16cid:durableId="117997391">
    <w:abstractNumId w:val="5"/>
  </w:num>
  <w:num w:numId="9" w16cid:durableId="32657266">
    <w:abstractNumId w:val="4"/>
  </w:num>
  <w:num w:numId="10" w16cid:durableId="1883444282">
    <w:abstractNumId w:val="4"/>
  </w:num>
  <w:num w:numId="11" w16cid:durableId="1117263112">
    <w:abstractNumId w:val="8"/>
  </w:num>
  <w:num w:numId="12" w16cid:durableId="974531947">
    <w:abstractNumId w:val="8"/>
  </w:num>
  <w:num w:numId="13" w16cid:durableId="733310012">
    <w:abstractNumId w:val="3"/>
  </w:num>
  <w:num w:numId="14" w16cid:durableId="94252643">
    <w:abstractNumId w:val="3"/>
  </w:num>
  <w:num w:numId="15" w16cid:durableId="1461531841">
    <w:abstractNumId w:val="2"/>
  </w:num>
  <w:num w:numId="16" w16cid:durableId="1145077324">
    <w:abstractNumId w:val="2"/>
  </w:num>
  <w:num w:numId="17" w16cid:durableId="1404177067">
    <w:abstractNumId w:val="1"/>
  </w:num>
  <w:num w:numId="18" w16cid:durableId="20401561">
    <w:abstractNumId w:val="1"/>
  </w:num>
  <w:num w:numId="19" w16cid:durableId="1710957239">
    <w:abstractNumId w:val="0"/>
  </w:num>
  <w:num w:numId="20" w16cid:durableId="654601522">
    <w:abstractNumId w:val="0"/>
  </w:num>
  <w:num w:numId="21" w16cid:durableId="1159157908">
    <w:abstractNumId w:val="9"/>
  </w:num>
  <w:num w:numId="22" w16cid:durableId="1741440111">
    <w:abstractNumId w:val="7"/>
  </w:num>
  <w:num w:numId="23" w16cid:durableId="1643459472">
    <w:abstractNumId w:val="6"/>
  </w:num>
  <w:num w:numId="24" w16cid:durableId="1212234606">
    <w:abstractNumId w:val="5"/>
  </w:num>
  <w:num w:numId="25" w16cid:durableId="304093316">
    <w:abstractNumId w:val="4"/>
  </w:num>
  <w:num w:numId="26" w16cid:durableId="1193959512">
    <w:abstractNumId w:val="8"/>
  </w:num>
  <w:num w:numId="27" w16cid:durableId="113526111">
    <w:abstractNumId w:val="3"/>
  </w:num>
  <w:num w:numId="28" w16cid:durableId="100151804">
    <w:abstractNumId w:val="2"/>
  </w:num>
  <w:num w:numId="29" w16cid:durableId="206644467">
    <w:abstractNumId w:val="1"/>
  </w:num>
  <w:num w:numId="30" w16cid:durableId="167067525">
    <w:abstractNumId w:val="0"/>
  </w:num>
  <w:num w:numId="31" w16cid:durableId="2135707479">
    <w:abstractNumId w:val="9"/>
  </w:num>
  <w:num w:numId="32" w16cid:durableId="1386295884">
    <w:abstractNumId w:val="7"/>
  </w:num>
  <w:num w:numId="33" w16cid:durableId="2081101363">
    <w:abstractNumId w:val="6"/>
  </w:num>
  <w:num w:numId="34" w16cid:durableId="1222788037">
    <w:abstractNumId w:val="5"/>
  </w:num>
  <w:num w:numId="35" w16cid:durableId="1794013178">
    <w:abstractNumId w:val="4"/>
  </w:num>
  <w:num w:numId="36" w16cid:durableId="482627449">
    <w:abstractNumId w:val="8"/>
  </w:num>
  <w:num w:numId="37" w16cid:durableId="432746579">
    <w:abstractNumId w:val="3"/>
  </w:num>
  <w:num w:numId="38" w16cid:durableId="1548948934">
    <w:abstractNumId w:val="2"/>
  </w:num>
  <w:num w:numId="39" w16cid:durableId="1377778215">
    <w:abstractNumId w:val="1"/>
  </w:num>
  <w:num w:numId="40" w16cid:durableId="1744790375">
    <w:abstractNumId w:val="0"/>
  </w:num>
  <w:num w:numId="41" w16cid:durableId="1208755594">
    <w:abstractNumId w:val="10"/>
  </w:num>
  <w:num w:numId="42" w16cid:durableId="908615850">
    <w:abstractNumId w:val="10"/>
  </w:num>
  <w:num w:numId="43" w16cid:durableId="125121345">
    <w:abstractNumId w:val="10"/>
  </w:num>
  <w:num w:numId="44" w16cid:durableId="5372010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8/2025"/>
    <w:docVar w:name="dvlangue" w:val="PL"/>
    <w:docVar w:name="dvnumam" w:val="72"/>
    <w:docVar w:name="dvpe" w:val="769.947"/>
    <w:docVar w:name="dvrapporteur" w:val="Sprawozdawca: "/>
    <w:docVar w:name="dvtitre" w:val="Rezolucja Parlamentu Europejskiego z dnia  2025 r. w sprawie możliwości uproszczenia funduszy spójności(2024/2106(INI))"/>
  </w:docVars>
  <w:rsids>
    <w:rsidRoot w:val="000F5C4A"/>
    <w:rsid w:val="00002272"/>
    <w:rsid w:val="00017844"/>
    <w:rsid w:val="00064002"/>
    <w:rsid w:val="000677B9"/>
    <w:rsid w:val="000831BA"/>
    <w:rsid w:val="00093B63"/>
    <w:rsid w:val="000A42CC"/>
    <w:rsid w:val="000E7DD9"/>
    <w:rsid w:val="000F5C4A"/>
    <w:rsid w:val="0010095E"/>
    <w:rsid w:val="00125B37"/>
    <w:rsid w:val="00187494"/>
    <w:rsid w:val="001F32AE"/>
    <w:rsid w:val="002767FF"/>
    <w:rsid w:val="002B18FE"/>
    <w:rsid w:val="002B5493"/>
    <w:rsid w:val="002C2769"/>
    <w:rsid w:val="00343214"/>
    <w:rsid w:val="00346D6F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43F5"/>
    <w:rsid w:val="0050519A"/>
    <w:rsid w:val="005072A1"/>
    <w:rsid w:val="00514517"/>
    <w:rsid w:val="00545827"/>
    <w:rsid w:val="00557A5B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7C3E"/>
    <w:rsid w:val="00864DD7"/>
    <w:rsid w:val="00865F67"/>
    <w:rsid w:val="00873867"/>
    <w:rsid w:val="00881A7B"/>
    <w:rsid w:val="008840E5"/>
    <w:rsid w:val="00887B3E"/>
    <w:rsid w:val="00890467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322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52A4"/>
    <w:rsid w:val="00E820A4"/>
    <w:rsid w:val="00EB006A"/>
    <w:rsid w:val="00EB4772"/>
    <w:rsid w:val="00ED169E"/>
    <w:rsid w:val="00ED4235"/>
    <w:rsid w:val="00F04346"/>
    <w:rsid w:val="00F062B5"/>
    <w:rsid w:val="00F075DC"/>
    <w:rsid w:val="00F149E9"/>
    <w:rsid w:val="00F3390B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D78815"/>
  <w15:chartTrackingRefBased/>
  <w15:docId w15:val="{7D280B67-56EA-4201-BAA0-D93004CA4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46D6F"/>
    <w:pPr>
      <w:spacing w:after="240"/>
      <w:ind w:left="567" w:hanging="567"/>
    </w:pPr>
  </w:style>
  <w:style w:type="paragraph" w:customStyle="1" w:styleId="EPComma">
    <w:name w:val="EPComma"/>
    <w:basedOn w:val="Normal"/>
    <w:rsid w:val="00346D6F"/>
    <w:pPr>
      <w:spacing w:before="480" w:after="240"/>
    </w:pPr>
  </w:style>
  <w:style w:type="character" w:styleId="Hyperlink">
    <w:name w:val="Hyperlink"/>
    <w:basedOn w:val="DefaultParagraphFont"/>
    <w:rsid w:val="00346D6F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346D6F"/>
    <w:rPr>
      <w:sz w:val="24"/>
      <w:lang w:val="pl-PL"/>
    </w:rPr>
  </w:style>
  <w:style w:type="character" w:styleId="UnresolvedMention">
    <w:name w:val="Unresolved Mention"/>
    <w:basedOn w:val="DefaultParagraphFont"/>
    <w:uiPriority w:val="99"/>
    <w:semiHidden/>
    <w:unhideWhenUsed/>
    <w:rsid w:val="00864D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13/1305/oj" TargetMode="External"/><Relationship Id="rId13" Type="http://schemas.openxmlformats.org/officeDocument/2006/relationships/hyperlink" Target="http://data.europa.eu/eli/reg/2014/651/oj" TargetMode="External"/><Relationship Id="rId3" Type="http://schemas.openxmlformats.org/officeDocument/2006/relationships/hyperlink" Target="http://data.europa.eu/eli/reg/2021/1056/oj" TargetMode="External"/><Relationship Id="rId7" Type="http://schemas.openxmlformats.org/officeDocument/2006/relationships/hyperlink" Target="http://data.europa.eu/eli/reg/2025/925/oj" TargetMode="External"/><Relationship Id="rId12" Type="http://schemas.openxmlformats.org/officeDocument/2006/relationships/hyperlink" Target="http://data.europa.eu/eli/C/2025/773/oj" TargetMode="External"/><Relationship Id="rId17" Type="http://schemas.openxmlformats.org/officeDocument/2006/relationships/hyperlink" Target="http://data.europa.eu/eli/dir/2014/24/oj" TargetMode="External"/><Relationship Id="rId2" Type="http://schemas.openxmlformats.org/officeDocument/2006/relationships/hyperlink" Target="http://data.europa.eu/eli/reg/2021/1058/oj" TargetMode="External"/><Relationship Id="rId16" Type="http://schemas.openxmlformats.org/officeDocument/2006/relationships/hyperlink" Target="http://data.europa.eu/eli/reg/2020/2092/oj" TargetMode="External"/><Relationship Id="rId1" Type="http://schemas.openxmlformats.org/officeDocument/2006/relationships/hyperlink" Target="http://data.europa.eu/eli/reg/2021/1060/oj" TargetMode="External"/><Relationship Id="rId6" Type="http://schemas.openxmlformats.org/officeDocument/2006/relationships/hyperlink" Target="http://data.europa.eu/eli/reg/2020/460/oj" TargetMode="External"/><Relationship Id="rId11" Type="http://schemas.openxmlformats.org/officeDocument/2006/relationships/hyperlink" Target="http://data.europa.eu/eli/C/2025/2018/oj" TargetMode="External"/><Relationship Id="rId5" Type="http://schemas.openxmlformats.org/officeDocument/2006/relationships/hyperlink" Target="http://data.europa.eu/eli/reg/2021/1057/oj" TargetMode="External"/><Relationship Id="rId15" Type="http://schemas.openxmlformats.org/officeDocument/2006/relationships/hyperlink" Target="http://data.europa.eu/eli/C/2024/5471/oj" TargetMode="External"/><Relationship Id="rId10" Type="http://schemas.openxmlformats.org/officeDocument/2006/relationships/hyperlink" Target="http://data.europa.eu/eli/C/2024/5704/oj" TargetMode="External"/><Relationship Id="rId4" Type="http://schemas.openxmlformats.org/officeDocument/2006/relationships/hyperlink" Target="http://data.europa.eu/eli/reg/2021/1059/oj" TargetMode="External"/><Relationship Id="rId9" Type="http://schemas.openxmlformats.org/officeDocument/2006/relationships/hyperlink" Target="http://data.europa.eu/eli/reg_del/2014/240/oj" TargetMode="External"/><Relationship Id="rId14" Type="http://schemas.openxmlformats.org/officeDocument/2006/relationships/hyperlink" Target="http://data.europa.eu/eli/reg/2024/250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6092</Words>
  <Characters>42909</Characters>
  <Application>Microsoft Office Word</Application>
  <DocSecurity>0</DocSecurity>
  <Lines>357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KLIMKOWSKI Andrzej</cp:lastModifiedBy>
  <cp:revision>2</cp:revision>
  <cp:lastPrinted>2004-11-19T15:42:00Z</cp:lastPrinted>
  <dcterms:created xsi:type="dcterms:W3CDTF">2025-10-17T08:46:00Z</dcterms:created>
  <dcterms:modified xsi:type="dcterms:W3CDTF">2025-10-17T08:46:00Z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A10-0138/2025</vt:lpwstr>
  </property>
  <property fmtid="{D5CDD505-2E9C-101B-9397-08002B2CF9AE}" pid="4" name="&lt;Type&gt;">
    <vt:lpwstr>RR</vt:lpwstr>
  </property>
</Properties>
</file>