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C5529" w14:paraId="4CCBCD7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625F13" w14:textId="77777777" w:rsidR="00751A4A" w:rsidRPr="005C5529" w:rsidRDefault="00511AEF" w:rsidP="0010095E">
            <w:pPr>
              <w:pStyle w:val="EPName"/>
            </w:pPr>
            <w:r w:rsidRPr="005C5529">
              <w:t>Európsky parlament</w:t>
            </w:r>
          </w:p>
          <w:p w14:paraId="6BE61A2A" w14:textId="77777777" w:rsidR="00751A4A" w:rsidRPr="005C552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5529">
              <w:t>2024</w:t>
            </w:r>
            <w:r w:rsidR="00817416" w:rsidRPr="005C5529">
              <w:t>-202</w:t>
            </w:r>
            <w:r w:rsidRPr="005C5529">
              <w:t>9</w:t>
            </w:r>
          </w:p>
        </w:tc>
        <w:tc>
          <w:tcPr>
            <w:tcW w:w="2268" w:type="dxa"/>
            <w:shd w:val="clear" w:color="auto" w:fill="auto"/>
          </w:tcPr>
          <w:p w14:paraId="7586BB49" w14:textId="77777777" w:rsidR="00751A4A" w:rsidRPr="005C5529" w:rsidRDefault="00187494" w:rsidP="0010095E">
            <w:pPr>
              <w:pStyle w:val="EPLogo"/>
            </w:pPr>
            <w:r w:rsidRPr="005C5529">
              <w:rPr>
                <w:noProof/>
                <w:lang w:eastAsia="ja-JP"/>
              </w:rPr>
              <w:drawing>
                <wp:inline distT="0" distB="0" distL="0" distR="0" wp14:anchorId="343EE582" wp14:editId="6BF78C5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952D82" w14:textId="77777777" w:rsidR="00D058B8" w:rsidRPr="005C5529" w:rsidRDefault="00D058B8" w:rsidP="004C5D52">
      <w:pPr>
        <w:pStyle w:val="LineTop"/>
      </w:pPr>
    </w:p>
    <w:p w14:paraId="12FFBCAE" w14:textId="77777777" w:rsidR="00680577" w:rsidRPr="005C5529" w:rsidRDefault="00511AEF" w:rsidP="00680577">
      <w:pPr>
        <w:pStyle w:val="EPBodyTA1"/>
      </w:pPr>
      <w:r w:rsidRPr="005C5529">
        <w:t>PRIJATÉ TEXTY</w:t>
      </w:r>
    </w:p>
    <w:p w14:paraId="77F61AA0" w14:textId="77777777" w:rsidR="00D058B8" w:rsidRPr="005C5529" w:rsidRDefault="00D058B8" w:rsidP="00D058B8">
      <w:pPr>
        <w:pStyle w:val="LineBottom"/>
      </w:pPr>
    </w:p>
    <w:p w14:paraId="37686DE7" w14:textId="125F5B5C" w:rsidR="00511AEF" w:rsidRPr="005C5529" w:rsidRDefault="00511AEF" w:rsidP="00511AEF">
      <w:pPr>
        <w:pStyle w:val="ATHeading1"/>
      </w:pPr>
      <w:bookmarkStart w:id="0" w:name="TANumber"/>
      <w:r w:rsidRPr="005C5529">
        <w:t>P10_TA(2025)0</w:t>
      </w:r>
      <w:r w:rsidR="005C5529" w:rsidRPr="005C5529">
        <w:t>188</w:t>
      </w:r>
      <w:bookmarkEnd w:id="0"/>
    </w:p>
    <w:p w14:paraId="3C4D0179" w14:textId="77777777" w:rsidR="00511AEF" w:rsidRPr="005C5529" w:rsidRDefault="00511AEF" w:rsidP="00511AEF">
      <w:pPr>
        <w:pStyle w:val="ATHeading2"/>
      </w:pPr>
      <w:bookmarkStart w:id="1" w:name="title"/>
      <w:r w:rsidRPr="005C5529">
        <w:t>Možnosti zjednodušenia kohéznych fondov</w:t>
      </w:r>
      <w:bookmarkEnd w:id="1"/>
    </w:p>
    <w:p w14:paraId="713E4E87" w14:textId="77777777" w:rsidR="00511AEF" w:rsidRPr="005C5529" w:rsidRDefault="00511AEF" w:rsidP="00511AEF">
      <w:pPr>
        <w:rPr>
          <w:i/>
          <w:vanish/>
        </w:rPr>
      </w:pPr>
      <w:r w:rsidRPr="005C5529">
        <w:rPr>
          <w:i/>
        </w:rPr>
        <w:fldChar w:fldCharType="begin"/>
      </w:r>
      <w:r w:rsidRPr="005C5529">
        <w:rPr>
          <w:i/>
        </w:rPr>
        <w:instrText xml:space="preserve"> TC"(</w:instrText>
      </w:r>
      <w:bookmarkStart w:id="2" w:name="DocNumber"/>
      <w:r w:rsidRPr="005C5529">
        <w:rPr>
          <w:i/>
        </w:rPr>
        <w:instrText>A10-0138/2025</w:instrText>
      </w:r>
      <w:bookmarkEnd w:id="2"/>
      <w:r w:rsidRPr="005C5529">
        <w:rPr>
          <w:i/>
        </w:rPr>
        <w:instrText xml:space="preserve"> - Spravodajca: </w:instrText>
      </w:r>
      <w:proofErr w:type="spellStart"/>
      <w:r w:rsidRPr="005C5529">
        <w:rPr>
          <w:i/>
        </w:rPr>
        <w:instrText>Vladimir</w:instrText>
      </w:r>
      <w:proofErr w:type="spellEnd"/>
      <w:r w:rsidRPr="005C5529">
        <w:rPr>
          <w:i/>
        </w:rPr>
        <w:instrText xml:space="preserve"> </w:instrText>
      </w:r>
      <w:proofErr w:type="spellStart"/>
      <w:r w:rsidRPr="005C5529">
        <w:rPr>
          <w:i/>
        </w:rPr>
        <w:instrText>Prebilič</w:instrText>
      </w:r>
      <w:proofErr w:type="spellEnd"/>
      <w:r w:rsidRPr="005C5529">
        <w:rPr>
          <w:i/>
        </w:rPr>
        <w:instrText xml:space="preserve">)"\l3 \n&gt; \* MERGEFORMAT </w:instrText>
      </w:r>
      <w:r w:rsidRPr="005C5529">
        <w:rPr>
          <w:i/>
        </w:rPr>
        <w:fldChar w:fldCharType="end"/>
      </w:r>
    </w:p>
    <w:p w14:paraId="7E578D7F" w14:textId="77777777" w:rsidR="00511AEF" w:rsidRPr="005C5529" w:rsidRDefault="00511AEF" w:rsidP="00511AEF">
      <w:pPr>
        <w:rPr>
          <w:vanish/>
        </w:rPr>
      </w:pPr>
      <w:bookmarkStart w:id="3" w:name="Commission"/>
      <w:r w:rsidRPr="005C5529">
        <w:rPr>
          <w:vanish/>
        </w:rPr>
        <w:t>Výbor pre regionálny rozvoj</w:t>
      </w:r>
      <w:bookmarkEnd w:id="3"/>
    </w:p>
    <w:p w14:paraId="7FDC3619" w14:textId="77777777" w:rsidR="00511AEF" w:rsidRPr="005C5529" w:rsidRDefault="00511AEF" w:rsidP="00511AEF">
      <w:pPr>
        <w:rPr>
          <w:vanish/>
        </w:rPr>
      </w:pPr>
      <w:bookmarkStart w:id="4" w:name="PE"/>
      <w:r w:rsidRPr="005C5529">
        <w:rPr>
          <w:vanish/>
        </w:rPr>
        <w:t>PE769.947</w:t>
      </w:r>
      <w:bookmarkEnd w:id="4"/>
    </w:p>
    <w:p w14:paraId="3E144BC0" w14:textId="6C41E77C" w:rsidR="00511AEF" w:rsidRPr="005C5529" w:rsidRDefault="00511AEF" w:rsidP="00511AEF">
      <w:pPr>
        <w:pStyle w:val="ATHeading3"/>
      </w:pPr>
      <w:bookmarkStart w:id="5" w:name="Sujet"/>
      <w:r w:rsidRPr="005C5529">
        <w:t>Uznesenie Európskeho parlamentu z</w:t>
      </w:r>
      <w:r w:rsidR="005C5529" w:rsidRPr="005C5529">
        <w:t> 10</w:t>
      </w:r>
      <w:r w:rsidRPr="005C5529">
        <w:t>. septembra 2025 o možnostiach zjednodušenia kohéznych fondov</w:t>
      </w:r>
      <w:bookmarkEnd w:id="5"/>
      <w:r w:rsidRPr="005C5529">
        <w:t xml:space="preserve"> </w:t>
      </w:r>
      <w:bookmarkStart w:id="6" w:name="References"/>
      <w:r w:rsidRPr="005C5529">
        <w:t>(2024/2106(INI))</w:t>
      </w:r>
      <w:bookmarkEnd w:id="6"/>
    </w:p>
    <w:p w14:paraId="3F3DD064" w14:textId="77777777" w:rsidR="000E32C3" w:rsidRPr="005C5529" w:rsidRDefault="000E32C3" w:rsidP="000E32C3">
      <w:pPr>
        <w:pStyle w:val="EPComma"/>
      </w:pPr>
      <w:r w:rsidRPr="005C5529">
        <w:rPr>
          <w:i/>
        </w:rPr>
        <w:t>Európsky parlament</w:t>
      </w:r>
      <w:r w:rsidRPr="005C5529">
        <w:t>,</w:t>
      </w:r>
    </w:p>
    <w:p w14:paraId="417074DA" w14:textId="7D2B5080" w:rsidR="000E32C3" w:rsidRPr="005C5529" w:rsidRDefault="000E32C3" w:rsidP="0033263D">
      <w:pPr>
        <w:pStyle w:val="NormalHanging12a"/>
      </w:pPr>
      <w:r w:rsidRPr="005C5529">
        <w:t>–</w:t>
      </w:r>
      <w:r w:rsidRPr="005C5529">
        <w:tab/>
        <w:t>so zreteľom na člán</w:t>
      </w:r>
      <w:r w:rsidR="00556066" w:rsidRPr="005C5529">
        <w:t>ky</w:t>
      </w:r>
      <w:r w:rsidRPr="005C5529">
        <w:t> 4, 162, 174 až 178 a 349 Zmluvy o fungovaní Európskej únie (</w:t>
      </w:r>
      <w:r w:rsidR="00556066" w:rsidRPr="005C5529">
        <w:t>ďalej len „</w:t>
      </w:r>
      <w:r w:rsidRPr="005C5529">
        <w:t>ZFEÚ</w:t>
      </w:r>
      <w:r w:rsidR="00556066" w:rsidRPr="005C5529">
        <w:t>“</w:t>
      </w:r>
      <w:r w:rsidRPr="005C5529">
        <w:t>),</w:t>
      </w:r>
    </w:p>
    <w:p w14:paraId="123FB7F3" w14:textId="77777777" w:rsidR="000E32C3" w:rsidRPr="005C5529" w:rsidRDefault="000E32C3" w:rsidP="0033263D">
      <w:pPr>
        <w:pStyle w:val="NormalHanging12a"/>
      </w:pPr>
      <w:r w:rsidRPr="005C5529">
        <w:t>–</w:t>
      </w:r>
      <w:r w:rsidRPr="005C5529">
        <w:tab/>
        <w:t xml:space="preserve">so zreteľom na nariadenie Európskeho parlamentu a Rady (EÚ) 2021/1060 z 24. júna 2021, ktorým sa stanovujú spoločné ustanovenia o Európskom fonde regionálneho rozvoja, Európskom sociálnom fonde plus, Kohéznom fonde, Fonde na spravodlivú transformáciu a Európskom námornom, rybolovnom a </w:t>
      </w:r>
      <w:proofErr w:type="spellStart"/>
      <w:r w:rsidRPr="005C5529">
        <w:t>akvakultúrnom</w:t>
      </w:r>
      <w:proofErr w:type="spellEnd"/>
      <w:r w:rsidRPr="005C5529">
        <w:t xml:space="preserve"> fonde a rozpočtové pravidlá pre uvedené fondy, ako aj pre Fond pre azyl, migráciu a integráciu, Fond pre vnútornú bezpečnosť a Nástroj finančnej podpory na riadenie hraníc a vízovú politiku</w:t>
      </w:r>
      <w:r w:rsidRPr="005C5529">
        <w:rPr>
          <w:rStyle w:val="FootnoteReference"/>
        </w:rPr>
        <w:footnoteReference w:id="1"/>
      </w:r>
      <w:r w:rsidRPr="005C5529">
        <w:t xml:space="preserve"> (nariadenie o spoločných ustanoveniach),</w:t>
      </w:r>
    </w:p>
    <w:p w14:paraId="31809635" w14:textId="77777777" w:rsidR="000E32C3" w:rsidRPr="005C5529" w:rsidRDefault="000E32C3" w:rsidP="0033263D">
      <w:pPr>
        <w:pStyle w:val="NormalHanging12a"/>
      </w:pPr>
      <w:r w:rsidRPr="005C5529">
        <w:t>–</w:t>
      </w:r>
      <w:r w:rsidRPr="005C5529">
        <w:tab/>
        <w:t>so zreteľom na nariadenie Európskeho parlamentu a Rady (EÚ) 2021/1058 z 24. júna 2021 o Európskom fonde regionálneho rozvoja a Kohéznom fonde</w:t>
      </w:r>
      <w:r w:rsidRPr="005C5529">
        <w:rPr>
          <w:rStyle w:val="FootnoteReference"/>
        </w:rPr>
        <w:footnoteReference w:id="2"/>
      </w:r>
      <w:r w:rsidRPr="005C5529">
        <w:t>,</w:t>
      </w:r>
    </w:p>
    <w:p w14:paraId="2D0F3A2F" w14:textId="77777777" w:rsidR="000E32C3" w:rsidRPr="005C5529" w:rsidRDefault="000E32C3" w:rsidP="0033263D">
      <w:pPr>
        <w:pStyle w:val="NormalHanging12a"/>
      </w:pPr>
      <w:r w:rsidRPr="005C5529">
        <w:t>–</w:t>
      </w:r>
      <w:r w:rsidRPr="005C5529">
        <w:tab/>
        <w:t>so zreteľom na nariadenie Európskeho parlamentu a Rady (EÚ) 2021/1056 z 24. júna 2021, ktorým sa zriaďuje Fond na spravodlivú transformáciu</w:t>
      </w:r>
      <w:r w:rsidRPr="005C5529">
        <w:rPr>
          <w:rStyle w:val="FootnoteReference"/>
        </w:rPr>
        <w:footnoteReference w:id="3"/>
      </w:r>
      <w:r w:rsidRPr="005C5529">
        <w:t>,</w:t>
      </w:r>
    </w:p>
    <w:p w14:paraId="3C37E921" w14:textId="77777777" w:rsidR="000E32C3" w:rsidRPr="005C5529" w:rsidRDefault="000E32C3" w:rsidP="0033263D">
      <w:pPr>
        <w:pStyle w:val="NormalHanging12a"/>
      </w:pPr>
      <w:r w:rsidRPr="005C5529">
        <w:t>–</w:t>
      </w:r>
      <w:r w:rsidRPr="005C5529">
        <w:tab/>
        <w:t>so zreteľom na nariadenie Európskeho parlamentu a Rady (EÚ) 2021/1059 z 24. júna 2021 o osobitných ustanoveniach týkajúcich sa cieľa Európska územná spolupráca (</w:t>
      </w:r>
      <w:proofErr w:type="spellStart"/>
      <w:r w:rsidRPr="005C5529">
        <w:t>Interreg</w:t>
      </w:r>
      <w:proofErr w:type="spellEnd"/>
      <w:r w:rsidRPr="005C5529">
        <w:t>) podporovaného z Európskeho fondu regionálneho rozvoja a vonkajších finančných nástrojov</w:t>
      </w:r>
      <w:r w:rsidRPr="005C5529">
        <w:rPr>
          <w:rStyle w:val="FootnoteReference"/>
        </w:rPr>
        <w:footnoteReference w:id="4"/>
      </w:r>
      <w:r w:rsidRPr="005C5529">
        <w:t>,</w:t>
      </w:r>
    </w:p>
    <w:p w14:paraId="47F7587A" w14:textId="77777777" w:rsidR="000E32C3" w:rsidRPr="005C5529" w:rsidRDefault="000E32C3" w:rsidP="0033263D">
      <w:pPr>
        <w:pStyle w:val="NormalHanging12a"/>
      </w:pPr>
      <w:r w:rsidRPr="005C5529">
        <w:t>–</w:t>
      </w:r>
      <w:r w:rsidRPr="005C5529">
        <w:tab/>
        <w:t xml:space="preserve">so zreteľom na nariadenie Európskeho parlamentu a Rady (EÚ) 2021/1057 z 24. júna 2021, ktorým sa zriaďuje Európsky sociálny fond plus (ESF+) a zrušuje </w:t>
      </w:r>
      <w:r w:rsidRPr="005C5529">
        <w:lastRenderedPageBreak/>
        <w:t>nariadenie (EÚ) č. 1296/2013</w:t>
      </w:r>
      <w:r w:rsidRPr="005C5529">
        <w:rPr>
          <w:rStyle w:val="FootnoteReference"/>
        </w:rPr>
        <w:footnoteReference w:id="5"/>
      </w:r>
      <w:r w:rsidRPr="005C5529">
        <w:t>,</w:t>
      </w:r>
    </w:p>
    <w:p w14:paraId="770A10B7" w14:textId="77777777" w:rsidR="000E32C3" w:rsidRPr="005C5529" w:rsidRDefault="000E32C3" w:rsidP="0033263D">
      <w:pPr>
        <w:pStyle w:val="NormalHanging12a"/>
      </w:pPr>
      <w:r w:rsidRPr="005C5529">
        <w:t>–</w:t>
      </w:r>
      <w:r w:rsidRPr="005C5529">
        <w:tab/>
        <w:t>so zreteľom na nariadenie Európskeho parlamentu a Rady (EÚ) 2020/460 z 30. marca 2020, ktorým sa menia nariadenia (EÚ) č. 1301/2013, (EÚ) č. 1303/2013 a (EÚ) č. 508/2014, pokiaľ ide o osobitné opatrenia na mobilizáciu investícií v systémoch zdravotnej starostlivosti členských štátov a v iných odvetviach ich hospodárstiev v reakcii na výskyt ochorenia COVID-19 (Investičná iniciatíva v reakcii na koronavírus)</w:t>
      </w:r>
      <w:r w:rsidRPr="005C5529">
        <w:rPr>
          <w:rStyle w:val="FootnoteReference"/>
        </w:rPr>
        <w:footnoteReference w:id="6"/>
      </w:r>
      <w:r w:rsidRPr="005C5529">
        <w:t>,</w:t>
      </w:r>
    </w:p>
    <w:p w14:paraId="583038DC" w14:textId="77777777" w:rsidR="000E32C3" w:rsidRPr="005C5529" w:rsidRDefault="000E32C3" w:rsidP="0033263D">
      <w:pPr>
        <w:pStyle w:val="NormalHanging12a"/>
        <w:rPr>
          <w:b/>
          <w:i/>
          <w:szCs w:val="24"/>
        </w:rPr>
      </w:pPr>
      <w:r w:rsidRPr="005C5529">
        <w:rPr>
          <w:b/>
          <w:i/>
        </w:rPr>
        <w:t>–</w:t>
      </w:r>
      <w:r w:rsidRPr="005C5529">
        <w:rPr>
          <w:b/>
          <w:i/>
        </w:rPr>
        <w:tab/>
      </w:r>
      <w:r w:rsidRPr="005C5529">
        <w:t>so zreteľom na nariadenie Európskeho parlamentu a Rady (EÚ) 2025/925 zo 7. mája 2025 o Nástroji pre rozvoj a rast pohraničných regiónov (</w:t>
      </w:r>
      <w:proofErr w:type="spellStart"/>
      <w:r w:rsidRPr="005C5529">
        <w:t>BRIDGEforEU</w:t>
      </w:r>
      <w:proofErr w:type="spellEnd"/>
      <w:r w:rsidRPr="005C5529">
        <w:t>)</w:t>
      </w:r>
      <w:r w:rsidRPr="005C5529">
        <w:rPr>
          <w:rStyle w:val="FootnoteReference"/>
          <w:bCs/>
          <w:iCs/>
        </w:rPr>
        <w:footnoteReference w:id="7"/>
      </w:r>
      <w:r w:rsidRPr="005C5529">
        <w:t>;</w:t>
      </w:r>
    </w:p>
    <w:p w14:paraId="4D023DD7" w14:textId="77777777" w:rsidR="000E32C3" w:rsidRPr="005C5529" w:rsidRDefault="000E32C3" w:rsidP="0033263D">
      <w:pPr>
        <w:pStyle w:val="NormalHanging12a"/>
      </w:pPr>
      <w:r w:rsidRPr="005C5529">
        <w:t>–</w:t>
      </w:r>
      <w:r w:rsidRPr="005C5529">
        <w:tab/>
        <w:t>so zreteľom na nariadenie Európskeho parlamentu a Rady (EÚ) č. 1305/2013 zo 17. decembra 2013 o podpore rozvoja vidieka prostredníctvom Európskeho poľnohospodárskeho fondu pre rozvoj vidieka (EPFRV) a o zrušení nariadenia Rady (ES) č. 1698/2005</w:t>
      </w:r>
      <w:r w:rsidRPr="005C5529">
        <w:rPr>
          <w:rStyle w:val="FootnoteReference"/>
        </w:rPr>
        <w:footnoteReference w:id="8"/>
      </w:r>
      <w:r w:rsidRPr="005C5529">
        <w:t>,</w:t>
      </w:r>
    </w:p>
    <w:p w14:paraId="6A0B4CDA" w14:textId="77777777" w:rsidR="000E32C3" w:rsidRPr="005C5529" w:rsidRDefault="000E32C3" w:rsidP="0033263D">
      <w:pPr>
        <w:pStyle w:val="NormalHanging12a"/>
      </w:pPr>
      <w:r w:rsidRPr="005C5529">
        <w:t>–</w:t>
      </w:r>
      <w:r w:rsidRPr="005C5529">
        <w:tab/>
        <w:t>so zreteľom na delegované nariadenie Komisie (EÚ) č. 240/2014 zo 7. januára 2014 o európskom kódexe správania pre partnerstvo v rámci európskych štrukturálnych a investičných fondov</w:t>
      </w:r>
      <w:r w:rsidRPr="005C5529">
        <w:rPr>
          <w:rStyle w:val="FootnoteReference"/>
        </w:rPr>
        <w:footnoteReference w:id="9"/>
      </w:r>
      <w:r w:rsidRPr="005C5529">
        <w:t xml:space="preserve"> (európsky kódexe správania pre partnerstvo),</w:t>
      </w:r>
    </w:p>
    <w:p w14:paraId="4E9028AD" w14:textId="77777777" w:rsidR="000E32C3" w:rsidRPr="005C5529" w:rsidRDefault="000E32C3" w:rsidP="0033263D">
      <w:pPr>
        <w:pStyle w:val="NormalHanging12a"/>
      </w:pPr>
      <w:r w:rsidRPr="005C5529">
        <w:t>–</w:t>
      </w:r>
      <w:r w:rsidRPr="005C5529">
        <w:tab/>
        <w:t>so zreteľom na svoje uznesenie zo 16. januára 2024 o vykonávaní územného rozvoja (NSU, hlava III kapitola II) a jeho uplatňovanie v Územnej agende Európskej únie 2030</w:t>
      </w:r>
      <w:r w:rsidRPr="005C5529">
        <w:rPr>
          <w:rStyle w:val="FootnoteReference"/>
        </w:rPr>
        <w:footnoteReference w:id="10"/>
      </w:r>
      <w:r w:rsidRPr="005C5529">
        <w:t>,</w:t>
      </w:r>
    </w:p>
    <w:p w14:paraId="0B755AC1" w14:textId="77777777" w:rsidR="000E32C3" w:rsidRPr="005C5529" w:rsidRDefault="000E32C3" w:rsidP="0033263D">
      <w:pPr>
        <w:pStyle w:val="NormalHanging12a"/>
      </w:pPr>
      <w:r w:rsidRPr="005C5529">
        <w:t>–</w:t>
      </w:r>
      <w:r w:rsidRPr="005C5529">
        <w:tab/>
        <w:t>so zreteľom na stanovisko Výboru regiónov z 24. januára 2025 s názvom Rozpočet EÚ a miestne orientované politiky: návrhy nových mechanizmov navrhovania a vykonávania vo VFR po roku 2027,</w:t>
      </w:r>
    </w:p>
    <w:p w14:paraId="302752CA" w14:textId="77777777" w:rsidR="000E32C3" w:rsidRPr="005C5529" w:rsidRDefault="000E32C3" w:rsidP="0033263D">
      <w:pPr>
        <w:pStyle w:val="NormalHanging12a"/>
        <w:rPr>
          <w:bCs/>
          <w:iCs/>
        </w:rPr>
      </w:pPr>
      <w:r w:rsidRPr="005C5529">
        <w:t>–</w:t>
      </w:r>
      <w:r w:rsidRPr="005C5529">
        <w:tab/>
        <w:t xml:space="preserve">so zreteľom na stanovisko Európskeho hospodárskeho a sociálneho výboru z 27. februára 2025 s názvom Posilnenie orientácie politiky súdržnosti na výsledky po roku 2027 – výzvy, riziká a príležitosti </w:t>
      </w:r>
      <w:r w:rsidRPr="005C5529">
        <w:rPr>
          <w:rStyle w:val="FootnoteReference"/>
          <w:bCs/>
          <w:iCs/>
        </w:rPr>
        <w:footnoteReference w:id="11"/>
      </w:r>
      <w:r w:rsidRPr="005C5529">
        <w:t>,</w:t>
      </w:r>
    </w:p>
    <w:p w14:paraId="6F9FDD75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–</w:t>
      </w:r>
      <w:r w:rsidRPr="005C5529">
        <w:tab/>
        <w:t>so zreteľom na oznámenie Komisie z 11. februára 2025 s názvom Na ceste k budúcemu viacročnému finančnému rámcu (COM(2025)0046),</w:t>
      </w:r>
    </w:p>
    <w:p w14:paraId="62FFB5AE" w14:textId="77777777" w:rsidR="000E32C3" w:rsidRPr="005C5529" w:rsidRDefault="000E32C3" w:rsidP="0033263D">
      <w:pPr>
        <w:pStyle w:val="NormalHanging12a"/>
        <w:rPr>
          <w:b/>
          <w:i/>
          <w:szCs w:val="24"/>
        </w:rPr>
      </w:pPr>
      <w:r w:rsidRPr="005C5529">
        <w:t>–</w:t>
      </w:r>
      <w:r w:rsidRPr="005C5529">
        <w:tab/>
        <w:t>so zreteľom na stanovisko Európskeho hospodárskeho a sociálneho výboru z 5. decembra 2024 s názvom Revízia Územnej agendy 2030 – Smerom k prístupu, ktorý bude vo väčšej miere integrovaný a občiansky a užšie spätý s politiku súdržnosti</w:t>
      </w:r>
      <w:r w:rsidRPr="005C5529">
        <w:rPr>
          <w:rStyle w:val="FootnoteReference"/>
          <w:bCs/>
          <w:iCs/>
        </w:rPr>
        <w:footnoteReference w:id="12"/>
      </w:r>
      <w:r w:rsidRPr="005C5529">
        <w:rPr>
          <w:b/>
          <w:i/>
        </w:rPr>
        <w:t>,</w:t>
      </w:r>
    </w:p>
    <w:p w14:paraId="06E9CEDF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–</w:t>
      </w:r>
      <w:r w:rsidRPr="005C5529">
        <w:tab/>
        <w:t>so zreteľom na výročné správy Európskeho dvora audítorov o rozpočtovom roku 2021,</w:t>
      </w:r>
    </w:p>
    <w:p w14:paraId="52B201C0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–</w:t>
      </w:r>
      <w:r w:rsidRPr="005C5529">
        <w:tab/>
        <w:t xml:space="preserve">so zreteľom na správu Európskeho dvora audítorov z 8. júla 2024 s názvom </w:t>
      </w:r>
      <w:r w:rsidRPr="005C5529">
        <w:lastRenderedPageBreak/>
        <w:t xml:space="preserve">Preskúmanie 03/2024: Prehľad rámca uistenia a hlavných faktorov </w:t>
      </w:r>
      <w:proofErr w:type="spellStart"/>
      <w:r w:rsidRPr="005C5529">
        <w:t>prispievajúcich</w:t>
      </w:r>
      <w:proofErr w:type="spellEnd"/>
      <w:r w:rsidRPr="005C5529">
        <w:t xml:space="preserve"> k chybám vo výdavkoch na súdržnosť v období 2014 – 2020,</w:t>
      </w:r>
    </w:p>
    <w:p w14:paraId="11F9FA32" w14:textId="77777777" w:rsidR="000E32C3" w:rsidRPr="005C5529" w:rsidRDefault="000E32C3" w:rsidP="0033263D">
      <w:pPr>
        <w:pStyle w:val="NormalHanging12a"/>
      </w:pPr>
      <w:r w:rsidRPr="005C5529">
        <w:t>–</w:t>
      </w:r>
      <w:r w:rsidRPr="005C5529">
        <w:tab/>
        <w:t>so zreteľom na osobitnú správu Európskeho dvora audítorov 22/2024 z 21. októbra 2024 s názvom Dvojité financovanie z rozpočtu EÚ – Kontrolným systémom chýbajú základné prvky na zmiernenie zvýšeného rizika vyplývajúceho z toho, že model financovania Mechanizmu na podporu obnovy a odolnosti nie je spojený s nákladmi,</w:t>
      </w:r>
    </w:p>
    <w:p w14:paraId="3E0002AB" w14:textId="77777777" w:rsidR="000E32C3" w:rsidRPr="005C5529" w:rsidRDefault="000E32C3" w:rsidP="0033263D">
      <w:pPr>
        <w:pStyle w:val="NormalHanging12a"/>
      </w:pPr>
      <w:r w:rsidRPr="005C5529">
        <w:t>–</w:t>
      </w:r>
      <w:r w:rsidRPr="005C5529">
        <w:tab/>
        <w:t>so zreteľom na osobitnú správu Európskeho dvora audítorov 13/2024 s názvom Čerpanie finančných prostriedkov z Mechanizmu na podporu obnovy a odolnosti – Postupuje sa s oneskorením a naďalej je ohrozené dokončenie opatrení, a tým aj plnenie cieľov mechanizmu,</w:t>
      </w:r>
    </w:p>
    <w:p w14:paraId="21731DEF" w14:textId="77777777" w:rsidR="000E32C3" w:rsidRPr="005C5529" w:rsidRDefault="000E32C3" w:rsidP="0033263D">
      <w:pPr>
        <w:pStyle w:val="NormalHanging12a"/>
      </w:pPr>
      <w:r w:rsidRPr="005C5529">
        <w:t>–</w:t>
      </w:r>
      <w:r w:rsidRPr="005C5529">
        <w:tab/>
        <w:t>so zreteľom na článok 55 rokovacieho poriadku,</w:t>
      </w:r>
    </w:p>
    <w:p w14:paraId="58501C0F" w14:textId="77777777" w:rsidR="000E32C3" w:rsidRPr="005C5529" w:rsidRDefault="000E32C3" w:rsidP="0033263D">
      <w:pPr>
        <w:pStyle w:val="NormalHanging12a"/>
      </w:pPr>
      <w:r w:rsidRPr="005C5529">
        <w:t>–</w:t>
      </w:r>
      <w:r w:rsidRPr="005C5529">
        <w:tab/>
        <w:t>so zreteľom na stanoviská Výboru pre rozpočet a Výboru pre kontrolu rozpočtu,</w:t>
      </w:r>
    </w:p>
    <w:p w14:paraId="14515B2C" w14:textId="77777777" w:rsidR="000E32C3" w:rsidRPr="005C5529" w:rsidRDefault="000E32C3" w:rsidP="0033263D">
      <w:pPr>
        <w:pStyle w:val="NormalHanging12a"/>
      </w:pPr>
      <w:r w:rsidRPr="005C5529">
        <w:t>–</w:t>
      </w:r>
      <w:r w:rsidRPr="005C5529">
        <w:tab/>
        <w:t>so zreteľom na stanovisko vo forme listu Výboru pre zamestnanosť a sociálne veci,</w:t>
      </w:r>
    </w:p>
    <w:p w14:paraId="102353CB" w14:textId="77777777" w:rsidR="000E32C3" w:rsidRPr="005C5529" w:rsidRDefault="000E32C3" w:rsidP="0033263D">
      <w:pPr>
        <w:pStyle w:val="NormalHanging12a"/>
      </w:pPr>
      <w:r w:rsidRPr="005C5529">
        <w:t>–</w:t>
      </w:r>
      <w:r w:rsidRPr="005C5529">
        <w:tab/>
        <w:t>so zreteľom na správu Výboru pre regionálny rozvoj (A10-0138/2025),</w:t>
      </w:r>
    </w:p>
    <w:p w14:paraId="36525E0D" w14:textId="77777777" w:rsidR="000E32C3" w:rsidRPr="005C5529" w:rsidRDefault="000E32C3" w:rsidP="0033263D">
      <w:pPr>
        <w:pStyle w:val="NormalHanging12a"/>
      </w:pPr>
      <w:r w:rsidRPr="005C5529">
        <w:t>A.</w:t>
      </w:r>
      <w:r w:rsidRPr="005C5529">
        <w:tab/>
        <w:t>keďže politika súdržnosti je najdôležitejším investičným nástrojom EÚ na znižovanie hospodárskych, sociálnych a územných rozdielov a jej dlhodobý charakter nesmie byť ohrozený núdzovými opatreniami alebo zmenami zameranými na zmenu účelu kohéznych fondov na iné priority; keďže finančné prostriedky politiky súdržnosti musia byť naďalej vyhradené na jej hlavné ciele;</w:t>
      </w:r>
    </w:p>
    <w:p w14:paraId="10EEE142" w14:textId="77777777" w:rsidR="000E32C3" w:rsidRPr="005C5529" w:rsidRDefault="000E32C3" w:rsidP="0033263D">
      <w:pPr>
        <w:pStyle w:val="NormalHanging12a"/>
      </w:pPr>
      <w:r w:rsidRPr="005C5529">
        <w:t>B.</w:t>
      </w:r>
      <w:r w:rsidRPr="005C5529">
        <w:tab/>
        <w:t>keďže regionálna spolupráca môže byť katalyzátorom inovácií a odolnosti a nástroje politiky súdržnosti by mali umožňovať, aby takáto spolupráca prosperovala nad rámec územných a administratívnych hraníc;</w:t>
      </w:r>
    </w:p>
    <w:p w14:paraId="37444DDC" w14:textId="77777777" w:rsidR="000E32C3" w:rsidRPr="005C5529" w:rsidRDefault="000E32C3" w:rsidP="0033263D">
      <w:pPr>
        <w:pStyle w:val="NormalHanging12a"/>
        <w:rPr>
          <w:szCs w:val="24"/>
        </w:rPr>
      </w:pPr>
      <w:r w:rsidRPr="005C5529">
        <w:t>C.</w:t>
      </w:r>
      <w:r w:rsidRPr="005C5529">
        <w:tab/>
        <w:t>keďže politika súdržnosti zohráva kľúčovú úlohu pri realizácii Európskeho piliera sociálnych práv, jeho akčného plánu a hlavných cieľov na boj proti chudobe, zvýšenie miery zamestnanosti a stimuláciu celoživotného vzdelávania; keďže podmienenosť týkajúca sa právneho štátu, ako aj sociálnych noriem a noriem v oblasti ľudských práv je nevyhnutná a nesmie byť oslabená úsilím o zjednodušenie; keďže prístup k finančným prostriedkom politiky súdržnosti musí zaručovať ochranu a začlenenie všetkým ľuďom vo ich regiónoch bez ohľadu na ich pohlavie, vek, štátnu príslušnosť, zdravotný stav, sociálnu triedu, etnickú príslušnosť, sexuálnu orientáciu alebo rodovú identitu;</w:t>
      </w:r>
    </w:p>
    <w:p w14:paraId="526BC331" w14:textId="77777777" w:rsidR="000E32C3" w:rsidRPr="005C5529" w:rsidRDefault="000E32C3" w:rsidP="0033263D">
      <w:pPr>
        <w:pStyle w:val="NormalHanging12a"/>
        <w:rPr>
          <w:szCs w:val="24"/>
        </w:rPr>
      </w:pPr>
      <w:r w:rsidRPr="005C5529">
        <w:t>D.</w:t>
      </w:r>
      <w:r w:rsidRPr="005C5529">
        <w:tab/>
        <w:t>keďže finančné prostriedky politika súdržnosti predstavujú približne 30 % celkového rozpočtu EÚ a slúžia ako kľúčový pilier podpory európskych regiónov a v budúcom viacročnom finančnom rámci (VFR) by mali zostať oddelené a nemali by sa deliť medzi ďalšie fondy, aby sa zaručila ich efektívnosť pri znižovaní územných rozdielov a posilňovaní hospodárskej konvergencie;</w:t>
      </w:r>
    </w:p>
    <w:p w14:paraId="0B2C1994" w14:textId="77777777" w:rsidR="000E32C3" w:rsidRPr="005C5529" w:rsidRDefault="000E32C3" w:rsidP="0033263D">
      <w:pPr>
        <w:pStyle w:val="NormalHanging12a"/>
        <w:rPr>
          <w:szCs w:val="24"/>
        </w:rPr>
      </w:pPr>
      <w:r w:rsidRPr="005C5529">
        <w:t>E.</w:t>
      </w:r>
      <w:r w:rsidRPr="005C5529">
        <w:tab/>
        <w:t>keďže zjednodušená politika súdržnosti je kľúčom k zabezpečeniu európskej odolnosti, spravodlivej a udržateľnej zelenej  a digitálnej transformácie, práva zdržiavať sa (na príslušnom území) pre všetkých občanov EÚ a podpore konkurencieschopnosti EÚ;</w:t>
      </w:r>
    </w:p>
    <w:p w14:paraId="35DDF006" w14:textId="77777777" w:rsidR="000E32C3" w:rsidRPr="005C5529" w:rsidRDefault="000E32C3" w:rsidP="0033263D">
      <w:pPr>
        <w:pStyle w:val="NormalHanging12a"/>
        <w:rPr>
          <w:szCs w:val="24"/>
        </w:rPr>
      </w:pPr>
      <w:r w:rsidRPr="005C5529">
        <w:t>F.</w:t>
      </w:r>
      <w:r w:rsidRPr="005C5529">
        <w:tab/>
        <w:t xml:space="preserve">keďže miestne a regionálne orgány majú najlepšie predpoklady na to, aby identifikovali </w:t>
      </w:r>
      <w:r w:rsidRPr="005C5529">
        <w:lastRenderedPageBreak/>
        <w:t>miestne výzvy a príležitosti, a sú kľúčoví partneri pri plnení politického programu a politiky súdržnosti EÚ, pretože sú zodpovedné za 54 až 58 % celkového objemu verejných investícií, ktoré vlády realizujú;</w:t>
      </w:r>
    </w:p>
    <w:p w14:paraId="1E4DE4EF" w14:textId="77777777" w:rsidR="000E32C3" w:rsidRPr="005C5529" w:rsidRDefault="000E32C3" w:rsidP="0033263D">
      <w:pPr>
        <w:pStyle w:val="NormalHanging12a"/>
        <w:rPr>
          <w:szCs w:val="24"/>
        </w:rPr>
      </w:pPr>
      <w:r w:rsidRPr="005C5529">
        <w:t>G.</w:t>
      </w:r>
      <w:r w:rsidRPr="005C5529">
        <w:tab/>
        <w:t>keďže rozvoju kľúčových strategických rámcov, ako sú partnerské dohody, plány spravodlivej transformácie a národné programy reforiem, často chýba koordinovaný prístup a zmysluplné zapojenie príslušných miestnych a regionálnych samospráv;</w:t>
      </w:r>
    </w:p>
    <w:p w14:paraId="2D5454A1" w14:textId="77777777" w:rsidR="000E32C3" w:rsidRPr="005C5529" w:rsidRDefault="000E32C3" w:rsidP="0033263D">
      <w:pPr>
        <w:pStyle w:val="NormalHanging12a"/>
        <w:rPr>
          <w:szCs w:val="24"/>
        </w:rPr>
      </w:pPr>
      <w:r w:rsidRPr="005C5529">
        <w:t>H.</w:t>
      </w:r>
      <w:r w:rsidRPr="005C5529">
        <w:tab/>
        <w:t>keďže súčasné programové obdobie 2021 – 2027, ktoré vychádza z predchádzajúcich iniciatív zameraných na ďalšie rozširovanie zjednodušeného vykazovania nákladov, má zúžený zoznam politických cieľov a jasnejšiu intervenčnú logiku prostredníctvom ukazovateľov, jednoduchších požiadaviek na podávanie správ a jednotného režimu auditu;</w:t>
      </w:r>
    </w:p>
    <w:p w14:paraId="173F79FC" w14:textId="77777777" w:rsidR="000E32C3" w:rsidRPr="005C5529" w:rsidRDefault="000E32C3" w:rsidP="0033263D">
      <w:pPr>
        <w:pStyle w:val="NormalHanging12a"/>
        <w:rPr>
          <w:szCs w:val="24"/>
        </w:rPr>
      </w:pPr>
      <w:r w:rsidRPr="005C5529">
        <w:t>I.</w:t>
      </w:r>
      <w:r w:rsidRPr="005C5529">
        <w:tab/>
        <w:t>keďže politika súdržnosti zostáva jedným z najviditeľnejších a najhmatateľnejších symbolov európskej solidarity a keďže v budúcnosti by sa mala uplatňovať zásada „nenarušiť súdržnosť“, aby sa zabezpečilo, že politika súdržnosti sa bude naďalej zameriavať na svoje hlavné poslanie – znižovanie regionálnych rozdielov a posilňovanie hospodárskej a sociálnej konvergencie v celej EÚ;</w:t>
      </w:r>
    </w:p>
    <w:p w14:paraId="793775AF" w14:textId="77777777" w:rsidR="000E32C3" w:rsidRPr="005C5529" w:rsidRDefault="000E32C3" w:rsidP="0033263D">
      <w:pPr>
        <w:pStyle w:val="NormalHanging12a"/>
        <w:rPr>
          <w:szCs w:val="24"/>
        </w:rPr>
      </w:pPr>
      <w:r w:rsidRPr="005C5529">
        <w:t>J.</w:t>
      </w:r>
      <w:r w:rsidRPr="005C5529">
        <w:tab/>
        <w:t>keďže však riadiace orgány, sprostredkovateľské orgány, prijímatelia a občania stále čelia značnej administratívnej záťaži a výzvam, ktoré ovplyvňujú nielen mieru realizácie projektov, ale podkopávajú aj účinnosť, dôveryhodnosť, vplyv, viditeľnosť a vnímanie politiky súdržnosti ako celku;</w:t>
      </w:r>
    </w:p>
    <w:p w14:paraId="5FAAC32B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K.</w:t>
      </w:r>
      <w:r w:rsidRPr="005C5529">
        <w:tab/>
        <w:t>keďže administratívna záťaž príjemcov pri podávaní žiadostí o projekty podporované z kohéznych fondov a ich realizácii sa s každým obdobím financovania zvýšila, čo má čoraz väčší odrádzajúci účinok, a keďže zložitosť a časová náročnosť procesu podávania žiadostí často vedie k výpočtu nákladov a prínosov, ktorý prijímateľov odrádza od podávania žiadostí, čím sa obmedzuje celková účinnosť a dostupnosť politiky súdržnosti;</w:t>
      </w:r>
    </w:p>
    <w:p w14:paraId="350E278E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L.</w:t>
      </w:r>
      <w:r w:rsidRPr="005C5529">
        <w:tab/>
        <w:t>keďže zjednodušenie finančných prostriedkov politiky súdržnosti by malo dopĺňať ostatné nástroje, aby sa zabezpečila ďalšia harmonizácia a integrácia;</w:t>
      </w:r>
    </w:p>
    <w:p w14:paraId="7B1051BE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M.</w:t>
      </w:r>
      <w:r w:rsidRPr="005C5529">
        <w:tab/>
        <w:t xml:space="preserve">keďže pravidlá verejného obstarávania a štátnej pomoci sú jedným z hlavných zdrojov administratívnych nákladov a záťaže, ktoré čiastočne vyplývajú z tzv. </w:t>
      </w:r>
      <w:proofErr w:type="spellStart"/>
      <w:r w:rsidRPr="005C5529">
        <w:t>gold-platingu</w:t>
      </w:r>
      <w:proofErr w:type="spellEnd"/>
      <w:r w:rsidRPr="005C5529">
        <w:t xml:space="preserve"> vo všetkých členských štátoch, konkrétne z dodatočných požiadaviek ukladaných prijímateľom vnútroštátnymi orgánmi a orgánmi na nižšej ako celoštátnej úrovni nad rámec požiadaviek vyplývajúcich z ustanovení práva EÚ, ako aj zo zložitého výkladu a uplatňovania všeobecného nariadenia o skupinových výnimkách</w:t>
      </w:r>
      <w:r w:rsidRPr="005C5529">
        <w:rPr>
          <w:rStyle w:val="FootnoteReference"/>
          <w:bCs/>
          <w:iCs/>
        </w:rPr>
        <w:footnoteReference w:id="13"/>
      </w:r>
      <w:r w:rsidRPr="005C5529">
        <w:t xml:space="preserve"> v rôznych územných kontextoch;</w:t>
      </w:r>
    </w:p>
    <w:p w14:paraId="3C1CDA17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N.</w:t>
      </w:r>
      <w:r w:rsidRPr="005C5529">
        <w:tab/>
        <w:t>keďže predchádzajúce obdobia financovania politiky súdržnosti sa opakovane začali príliš neskoro, najmä súčasné obdobie financovania 2021 – 2027, čo vedie k obrovskému tlaku v dôsledku nahromadených platieb a pomalému odlevu finančných prostriedkov politiky súdržnosti;</w:t>
      </w:r>
    </w:p>
    <w:p w14:paraId="39E765C5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lastRenderedPageBreak/>
        <w:t>O.</w:t>
      </w:r>
      <w:r w:rsidRPr="005C5529">
        <w:tab/>
        <w:t>keďže viacero faktorov vrátane oneskorení pri finalizácii legislatívneho balíka a partnerských dohôd a programov, súbežné vykonávanie Mechanizmu na podporu obnovy a odolnosti, vyvíjajúce sa a zložité regulačné prostredie zohrávajú rozhodujúcu úlohu pri súčasnej nízkej miere vykonávania politiky súdržnosti vo všetkých členských štátoch;</w:t>
      </w:r>
    </w:p>
    <w:p w14:paraId="7D37FFFE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P.</w:t>
      </w:r>
      <w:r w:rsidRPr="005C5529">
        <w:tab/>
        <w:t>keďže vyvíjajúce sa a zložité regulačné prostredie zásadne bráni včasnému, efektívnemu a účinnému vykonávaniu politiky súdržnosti a keďže táto zložitosť spôsobila, že prístup k financovaniu v rámci politiky súdržnosti je obzvlášť náročný pre menšie miestne orgány, malé a stredné podniky (MSP) a organizácie občianskej spoločnosti v celej EÚ;</w:t>
      </w:r>
    </w:p>
    <w:p w14:paraId="6864B3C6" w14:textId="77777777" w:rsidR="000E32C3" w:rsidRPr="005C5529" w:rsidRDefault="000E32C3" w:rsidP="0033263D">
      <w:pPr>
        <w:pStyle w:val="NormalHanging12a"/>
        <w:rPr>
          <w:szCs w:val="24"/>
        </w:rPr>
      </w:pPr>
      <w:r w:rsidRPr="005C5529">
        <w:t>Q.</w:t>
      </w:r>
      <w:r w:rsidRPr="005C5529">
        <w:tab/>
        <w:t>keďže zjednodušujúce opatrenia by mali nájsť rovnováhu medzi potrebou jednoduchšieho a lepšieho prístupu k finančným prostriedkom na dosiahnutie udržateľných výsledkov na jednej strane a potrebou chrániť rozpočet EÚ na strane druhej, pričom by sa mali náležite zohľadniť obavy a príspevky inštitucionálnych a neinštitucionálnych zainteresovaných strán, a nemali by byť oslabené opätovným zavedením komplexnosti v rámci požiadaviek na vnútroštátne audity;</w:t>
      </w:r>
    </w:p>
    <w:p w14:paraId="7A51A08C" w14:textId="77777777" w:rsidR="000E32C3" w:rsidRPr="005C5529" w:rsidRDefault="000E32C3" w:rsidP="0033263D">
      <w:pPr>
        <w:pStyle w:val="NormalHanging12a"/>
        <w:rPr>
          <w:szCs w:val="24"/>
        </w:rPr>
      </w:pPr>
      <w:r w:rsidRPr="005C5529">
        <w:t>R.</w:t>
      </w:r>
      <w:r w:rsidRPr="005C5529">
        <w:tab/>
        <w:t>keďže v nariadení o rozpočtových pravidlách</w:t>
      </w:r>
      <w:r w:rsidRPr="005C5529">
        <w:rPr>
          <w:rStyle w:val="FootnoteReference"/>
        </w:rPr>
        <w:footnoteReference w:id="14"/>
      </w:r>
      <w:r w:rsidRPr="005C5529">
        <w:t xml:space="preserve"> sa od Komisie vyžaduje, aby prijala nápravné opatrenia, ako je zjednodušenie platných ustanovení, zlepšenie systémov kontroly a prepracovanie programu alebo dodávateľských systémov, ak je počas plnenia rozpočtu EÚ úroveň chybovosti neustále vysoká;</w:t>
      </w:r>
    </w:p>
    <w:p w14:paraId="28891119" w14:textId="77777777" w:rsidR="000E32C3" w:rsidRPr="005C5529" w:rsidRDefault="000E32C3" w:rsidP="0033263D">
      <w:pPr>
        <w:pStyle w:val="NormalHanging12a"/>
        <w:rPr>
          <w:szCs w:val="24"/>
        </w:rPr>
      </w:pPr>
      <w:r w:rsidRPr="005C5529">
        <w:t>S.</w:t>
      </w:r>
      <w:r w:rsidRPr="005C5529">
        <w:tab/>
        <w:t>keďže upravený alokačný kľúč s názvom berlínsky vzorec vo svojej súčasnej formulácii uvedenej v prílohe XXVI k nariadeniu o spoločných ustanoveniach, ktorý pridáva k HDP ďalšie zásadné prvky, zatiaľ primerane neodráža skutočné rozdiely;</w:t>
      </w:r>
    </w:p>
    <w:p w14:paraId="2D61B7D6" w14:textId="77777777" w:rsidR="000E32C3" w:rsidRPr="005C5529" w:rsidRDefault="000E32C3" w:rsidP="0033263D">
      <w:pPr>
        <w:pStyle w:val="NormalHanging12a"/>
        <w:rPr>
          <w:szCs w:val="24"/>
        </w:rPr>
      </w:pPr>
      <w:r w:rsidRPr="005C5529">
        <w:t>T.</w:t>
      </w:r>
      <w:r w:rsidRPr="005C5529">
        <w:tab/>
        <w:t>keďže pri každom pokuse Komisie o zjednodušenie politiky súdržnosti sa musí zohľadniť, že zmeny existujúcich vykonávacích postupov môžu byť spočiatku ďalšou záťažou pre správne orgány a prijímateľov;</w:t>
      </w:r>
    </w:p>
    <w:p w14:paraId="18D658B9" w14:textId="77777777" w:rsidR="000E32C3" w:rsidRPr="005C5529" w:rsidRDefault="000E32C3" w:rsidP="0033263D">
      <w:pPr>
        <w:pStyle w:val="NormalHanging12a"/>
        <w:rPr>
          <w:szCs w:val="24"/>
        </w:rPr>
      </w:pPr>
      <w:r w:rsidRPr="005C5529">
        <w:t>U.</w:t>
      </w:r>
      <w:r w:rsidRPr="005C5529">
        <w:tab/>
        <w:t>keďže zdieľané riadenie, zásada partnerstva, viacúrovňové riadenie. subsidiarita a miestne orientovaný prístup by mali zostať základným kameňom každej reformy a zjednodušenia politiky súdržnosti; keďže sa ukázalo, že model zdieľaného riadenia je základným pilierom politiky súdržnosti, ktorý zabezpečuje, aby boli finančné prostriedky EÚ prispôsobené osobitným potrebám regiónov a miestnych oblastí, a zároveň podporuje zodpovednosť a iniciatívnosť na všetkých úrovniach riadenia; keďže rámec viacúrovňového riadenia posilňuje spoluprácu medzi EÚ, vnútroštátnymi, regionálnymi a miestnymi orgánmi a zabezpečuje, aby sa politiky účinne navrhovali a vykonávali spôsobom, ktorý odráža územnú rozmanitosť a maximalizuje vplyv v praxi;</w:t>
      </w:r>
    </w:p>
    <w:p w14:paraId="72166BB9" w14:textId="77777777" w:rsidR="000E32C3" w:rsidRPr="005C5529" w:rsidRDefault="000E32C3" w:rsidP="0033263D">
      <w:pPr>
        <w:pStyle w:val="NormalHanging12a"/>
        <w:rPr>
          <w:szCs w:val="24"/>
        </w:rPr>
      </w:pPr>
      <w:r w:rsidRPr="005C5529">
        <w:t>V.</w:t>
      </w:r>
      <w:r w:rsidRPr="005C5529">
        <w:tab/>
        <w:t>keďže zásada subsidiarity by sa mohla pri financovaní súdržnosti lepšie uplatňovať napríklad zavedením prahových hodnôt, v rámci ktorých by sa mohlo upustiť od určitých povinností a požiadaviek, ako je to v prípade iných fondov EÚ;</w:t>
      </w:r>
    </w:p>
    <w:p w14:paraId="612F9316" w14:textId="77777777" w:rsidR="000E32C3" w:rsidRPr="005C5529" w:rsidRDefault="000E32C3" w:rsidP="0033263D">
      <w:pPr>
        <w:pStyle w:val="NormalHanging12a"/>
        <w:rPr>
          <w:szCs w:val="24"/>
        </w:rPr>
      </w:pPr>
      <w:r w:rsidRPr="005C5529">
        <w:t>W.</w:t>
      </w:r>
      <w:r w:rsidRPr="005C5529">
        <w:tab/>
        <w:t xml:space="preserve">keďže technické zjednodušenia nástrojov územného rozvoja (ako sú integrované </w:t>
      </w:r>
      <w:r w:rsidRPr="005C5529">
        <w:lastRenderedPageBreak/>
        <w:t>územné investície a miestny rozvoj vedený komunitou) už boli začlenené do rámca politiky súdržnosti na programové obdobie 2021 – 2027, ale malé projekty stále vykazujú úmerne vyššiu administratívnu záťaž (v prípade prijímateľov) a vyššie administratívne náklady (v prípade orgánov zodpovedných za programy) ako väčšie projekty; keďže je potrebné riešiť obavy Európskeho dvora audítorov týkajúce sa miestneho rozvoja vedeného komunitou, najmä neprimerané administratívne náklady v porovnaní s rozpočtami miestnych akčných skupín;</w:t>
      </w:r>
    </w:p>
    <w:p w14:paraId="792AAEFF" w14:textId="77777777" w:rsidR="000E32C3" w:rsidRPr="005C5529" w:rsidRDefault="000E32C3" w:rsidP="0033263D">
      <w:pPr>
        <w:pStyle w:val="NormalHanging12a"/>
        <w:rPr>
          <w:szCs w:val="24"/>
        </w:rPr>
      </w:pPr>
      <w:r w:rsidRPr="005C5529">
        <w:t>X.</w:t>
      </w:r>
      <w:r w:rsidRPr="005C5529">
        <w:tab/>
        <w:t>keďže vzhľadom na súčasné geopolitické výzvy môže politika súdržnosti zohrávať úlohu pri rozvoji kľúčovej infraštruktúry dvojakého použitia, ktorá slúži civilným potrebám v čase mieru a zároveň zvyšuje územnú odolnosť a reakciu na krízu, a keďže nové priority nemôžu byť na úkor zníženia dlhodobých investícií do hospodárskej, sociálnej a územnej súdržnosti EÚ ani k nemu nemôžu viesť;</w:t>
      </w:r>
    </w:p>
    <w:p w14:paraId="75885E13" w14:textId="77777777" w:rsidR="000E32C3" w:rsidRPr="005C5529" w:rsidRDefault="000E32C3" w:rsidP="0033263D">
      <w:pPr>
        <w:pStyle w:val="NormalHanging12a"/>
        <w:rPr>
          <w:szCs w:val="24"/>
        </w:rPr>
      </w:pPr>
      <w:r w:rsidRPr="005C5529">
        <w:t>Y.</w:t>
      </w:r>
      <w:r w:rsidRPr="005C5529">
        <w:tab/>
        <w:t>keďže politika súdržnosti dôsledne vykazuje schopnosť absorbovať a účinne investovať prevažne všetky finančné prostriedky EÚ, ktoré na ňu boli pridelené; keďže postupné zvyšovanie platieb ku koncu programového obdobia je neodmysliteľnou súčasťou viacročných plánov, a preto do konca súčasného programového obdobia možno realisticky očakávať podobný pozitívny výsledok;</w:t>
      </w:r>
    </w:p>
    <w:p w14:paraId="0B8DFF68" w14:textId="77777777" w:rsidR="000E32C3" w:rsidRPr="005C5529" w:rsidRDefault="000E32C3" w:rsidP="0033263D">
      <w:pPr>
        <w:pStyle w:val="NormalHanging12a"/>
        <w:rPr>
          <w:szCs w:val="24"/>
        </w:rPr>
      </w:pPr>
      <w:r w:rsidRPr="005C5529">
        <w:t>Z.</w:t>
      </w:r>
      <w:r w:rsidRPr="005C5529">
        <w:tab/>
        <w:t>keďže spolu s pravidelnými auditmi Komisie by sa mala zachovať a posilniť zásada jednotného auditu a mali by sa zaviesť opatrenia na obmedzenie duplicitných kontrol a auditov, ktoré sa prekrývajú s národným dohľadom na regionálnej a vnútroštátnej úrovni a na úrovni EÚ v prípade toho istého projektu a prijímateľa, a to aj tým, že sa zabezpečí jednotný výklad predpisov a minimalizuje administratívne zaťaženie prijímateľov a riadiacich orgánov;</w:t>
      </w:r>
    </w:p>
    <w:p w14:paraId="618C0009" w14:textId="77777777" w:rsidR="000E32C3" w:rsidRPr="005C5529" w:rsidRDefault="000E32C3" w:rsidP="0033263D">
      <w:pPr>
        <w:pStyle w:val="NormalHanging12a"/>
        <w:rPr>
          <w:szCs w:val="24"/>
        </w:rPr>
      </w:pPr>
      <w:r w:rsidRPr="005C5529">
        <w:t>AA.</w:t>
      </w:r>
      <w:r w:rsidRPr="005C5529">
        <w:tab/>
        <w:t>keďže zásada správneho finančného riadenia si vyžaduje nezávislé audítorské postupy na zabezpečenie súladu s pravidlami EÚ; keďže spoliehanie sa len na vnútroštátny dohľad môže viesť k nezrovnalostiam pri presadzovaní a monitorovaní, čím sa oslabí jednotné uplatňovanie finančnej kontroly vo všetkých členských štátoch a v konečnom dôsledku ohrozí ochrana finančných záujmov EÚ;</w:t>
      </w:r>
    </w:p>
    <w:p w14:paraId="52EA4F81" w14:textId="2115E6A4" w:rsidR="000E32C3" w:rsidRPr="005C5529" w:rsidRDefault="0032247C" w:rsidP="0033263D">
      <w:pPr>
        <w:pStyle w:val="NormalHanging12a"/>
        <w:rPr>
          <w:bCs/>
          <w:iCs/>
          <w:szCs w:val="24"/>
        </w:rPr>
      </w:pPr>
      <w:r w:rsidRPr="005C5529">
        <w:t>AB</w:t>
      </w:r>
      <w:r w:rsidR="000E32C3" w:rsidRPr="005C5529">
        <w:t>.</w:t>
      </w:r>
      <w:r w:rsidR="000E32C3" w:rsidRPr="005C5529">
        <w:tab/>
        <w:t xml:space="preserve">keďže je nevyhnutné zabezpečiť spoľahlivé mechanizmy auditu, aby sa pri používaní finančných prostriedkov EÚ zachovala zodpovednosť, </w:t>
      </w:r>
      <w:proofErr w:type="spellStart"/>
      <w:r w:rsidR="000E32C3" w:rsidRPr="005C5529">
        <w:t>vysledovateľnosť</w:t>
      </w:r>
      <w:proofErr w:type="spellEnd"/>
      <w:r w:rsidR="000E32C3" w:rsidRPr="005C5529">
        <w:t xml:space="preserve"> a účinnosť, čo pomáha predchádzať podvodom, zlému riadeniu a nezrovnalostiam vo vnútroštátnych systémoch dohľadu;</w:t>
      </w:r>
    </w:p>
    <w:p w14:paraId="01F8F9D5" w14:textId="603DF7BE" w:rsidR="000E32C3" w:rsidRPr="005C5529" w:rsidRDefault="0032247C" w:rsidP="0033263D">
      <w:pPr>
        <w:pStyle w:val="NormalHanging12a"/>
        <w:rPr>
          <w:bCs/>
          <w:iCs/>
          <w:szCs w:val="24"/>
        </w:rPr>
      </w:pPr>
      <w:r w:rsidRPr="005C5529">
        <w:t>AC</w:t>
      </w:r>
      <w:r w:rsidR="000E32C3" w:rsidRPr="005C5529">
        <w:t>.</w:t>
      </w:r>
      <w:r w:rsidR="000E32C3" w:rsidRPr="005C5529">
        <w:tab/>
        <w:t>keďže politika súdržnosti musí zostať odolná voči podvodom, korupcii a akýmkoľvek pokusom o odklon prostriedkov od jej pôvodného poslania a dohodnutých programových priorít na investície, ktoré slúžia osobitným súkromným alebo stranícko-politickým záujmom; keďže na tento účel sa musia posilniť podmienky a zabudované mechanizmy na predchádzanie nezrovnalostiam vrátane podvodov, ich odhaľovanie a nápravu; keďže riadne uplatňovanie zásady partnerstva, požiadaviek na transparentnosť a politík boja proti podvodom má zásadný význam;</w:t>
      </w:r>
    </w:p>
    <w:p w14:paraId="47951E6B" w14:textId="44562FE1" w:rsidR="000E32C3" w:rsidRPr="005C5529" w:rsidRDefault="0032247C" w:rsidP="0033263D">
      <w:pPr>
        <w:pStyle w:val="NormalHanging12a"/>
        <w:rPr>
          <w:bCs/>
          <w:iCs/>
          <w:szCs w:val="24"/>
        </w:rPr>
      </w:pPr>
      <w:r w:rsidRPr="005C5529">
        <w:t>AD</w:t>
      </w:r>
      <w:r w:rsidR="000E32C3" w:rsidRPr="005C5529">
        <w:t>.</w:t>
      </w:r>
      <w:r w:rsidR="000E32C3" w:rsidRPr="005C5529">
        <w:tab/>
        <w:t>keďže prekrývajúce sa priority Mechanizmu na podporu obnovy a odolnosti a politiky súdržnosti, poukazujú na fragmentáciu financovania EÚ a zdôrazňujú potrebu zjednodušeného a súdržného prístupu;</w:t>
      </w:r>
    </w:p>
    <w:p w14:paraId="3EBCD800" w14:textId="3977AE3E" w:rsidR="000E32C3" w:rsidRPr="005C5529" w:rsidRDefault="0032247C" w:rsidP="0033263D">
      <w:pPr>
        <w:pStyle w:val="NormalHanging12a"/>
        <w:rPr>
          <w:bCs/>
          <w:iCs/>
          <w:szCs w:val="24"/>
        </w:rPr>
      </w:pPr>
      <w:r w:rsidRPr="005C5529">
        <w:t>AE</w:t>
      </w:r>
      <w:r w:rsidR="000E32C3" w:rsidRPr="005C5529">
        <w:t>.</w:t>
      </w:r>
      <w:r w:rsidR="000E32C3" w:rsidRPr="005C5529">
        <w:tab/>
        <w:t xml:space="preserve">keďže článok 20 NSU už umožňuje aktivovať dočasné opatrenia v dôsledku </w:t>
      </w:r>
      <w:r w:rsidR="000E32C3" w:rsidRPr="005C5529">
        <w:lastRenderedPageBreak/>
        <w:t>mimoriadnych alebo nezvyčajných okolností;</w:t>
      </w:r>
    </w:p>
    <w:p w14:paraId="6DB73C68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1.</w:t>
      </w:r>
      <w:r w:rsidRPr="005C5529">
        <w:tab/>
        <w:t>zdôrazňuje kľúčovú úlohu, ktorú politika súdržnosti za posledných päť rokov zohrávala pri riešení viacrozmerných núdzových situácií a sociálno-ekonomických výziev, a to pružným spôsobom, ktorý posilňuje solidaritu medzi jej členskými štátmi; domnieva sa však, že neustále zmeny regulačného rámca narušili jeho strategické zameranie; zdôrazňuje, že treba zachovať vysoké ambície, pokiaľ ide o jeho dlhodobé investície a miestne orientované dôvody a priority, dodržiavať zásadu „nenarušiť súdržnosť“ a zamerať sa na rast, tvorbu pracovných miest a sociálne služby, aby bolo možné čeliť výzvam spojeným s nerovnováhou medzi regiónmi EÚ, zlepšovaním kvality života, spravodlivou, zelenou a digitálnou transformáciou, vytváraním kvalitných pracovných miest, odstraňovaním chudoby so zameraním na chudobu detí a krízou v oblasti bývania;</w:t>
      </w:r>
    </w:p>
    <w:p w14:paraId="29955BC4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2.</w:t>
      </w:r>
      <w:r w:rsidRPr="005C5529">
        <w:tab/>
        <w:t xml:space="preserve">varuje pred systematickým </w:t>
      </w:r>
      <w:proofErr w:type="spellStart"/>
      <w:r w:rsidRPr="005C5529">
        <w:t>presmerovávaním</w:t>
      </w:r>
      <w:proofErr w:type="spellEnd"/>
      <w:r w:rsidRPr="005C5529">
        <w:t xml:space="preserve"> kohéznych fondov na reakciu na krízy, pretože to oslabuje ich hlavný cieľ posilňovania hospodárskej, územnej a sociálnej súdržnosti, znižovania regionálnych rozdielov a podpory udržateľného rozvoja, keďže financovanie je na tento účel obmedzené; namiesto toho vyzýva na vytvorenie stáleho posilneného a špecializovaného núdzového nástroja v rozpočte EÚ, ktorým sa zabezpečí rýchla a koordinovaná reakcia na budúce krízy bez toho, aby sa ohrozila štrukturálna integrita politiky súdržnosti s cieľom zabezpečiť, aby sa mohla využívať na jej hlavné ciele;</w:t>
      </w:r>
    </w:p>
    <w:p w14:paraId="61EE3CF3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3.</w:t>
      </w:r>
      <w:r w:rsidRPr="005C5529">
        <w:tab/>
        <w:t>trvá na tom, že všetky budúce reformy musia podporovať zdieľané riadenie, viacúrovňové riadenie a miestne orientovaný prístup, aby sa zabezpečila účinnosť; okrem toho vyzýva na modernú, decentralizovanú a posilnenú politiku súdržnosti tým, že sa do centra pozornosti postavia ľudia a budú ju podporovať silné partnerstvá na všetkých úrovniach, keďže je to nevyhnutné na zachovanie a podporu jednoty EÚ v kontexte rastúcich geopolitických výziev; trvá na záväznom uplatňovaní zásady partnerstva, ako sa uvádza v článku 8 NSU, a na jej prísnom overovaní Komisiou;</w:t>
      </w:r>
    </w:p>
    <w:p w14:paraId="0BA532D0" w14:textId="77777777" w:rsidR="000E32C3" w:rsidRPr="005C5529" w:rsidRDefault="000E32C3" w:rsidP="0033263D">
      <w:pPr>
        <w:pStyle w:val="NormalHanging12a"/>
        <w:rPr>
          <w:bCs/>
          <w:iCs/>
        </w:rPr>
      </w:pPr>
      <w:r w:rsidRPr="005C5529">
        <w:t>4.</w:t>
      </w:r>
      <w:r w:rsidRPr="005C5529">
        <w:tab/>
        <w:t>uznáva dôležité zjednodušujúce opatrenia, ktoré už boli zavedené v programovom období 2021 – 2027, a najmä posilnené digitálne nástroje pre e-súdržnosť, širšiu harmonizáciu pravidiel vo viacerých fondoch, zvýšenú flexibilitu pri riadení programov a zefektívnenie pravidiel oprávnenosti; zdôrazňuje, že treba prejsť od hybridnej a papierovej správy k plne digitálnym procesom, čím sa zvýši efektívnosť a uľahčí elektronická komunikácia medzi prijímateľmi a riadiacimi orgánmi; domnieva sa, že toto zjednodušenie čiastočne oslabilo niekoľko faktorov vrátane pracovného zaťaženia v dôsledku oneskorení v programovaní na roky 2021 – 2027, častých zmien nariadení počas tohto obdobia, zložitých viacvrstvových predpisov o audite a kontrolách, ako aj tzv. </w:t>
      </w:r>
      <w:proofErr w:type="spellStart"/>
      <w:r w:rsidRPr="005C5529">
        <w:t>gold-platingu</w:t>
      </w:r>
      <w:proofErr w:type="spellEnd"/>
      <w:r w:rsidRPr="005C5529">
        <w:t>, pričom záťaž uložená prijímateľom, ktorá ide nad rámec požiadaviek EÚ, tomuto procesu zjednodušovania bránila;</w:t>
      </w:r>
    </w:p>
    <w:p w14:paraId="5B9B04B1" w14:textId="77777777" w:rsidR="000E32C3" w:rsidRPr="005C5529" w:rsidRDefault="000E32C3" w:rsidP="0033263D">
      <w:pPr>
        <w:pStyle w:val="NormalHanging12a"/>
        <w:rPr>
          <w:bCs/>
          <w:iCs/>
        </w:rPr>
      </w:pPr>
      <w:r w:rsidRPr="005C5529">
        <w:t>5.</w:t>
      </w:r>
      <w:r w:rsidRPr="005C5529">
        <w:tab/>
        <w:t>zdôrazňuje, že digitalizácia riadenia, podávania správ, monitorovania a auditu fondov Únie je nevyhnutná na zlepšenie prístupu potenciálnych prijímateľov a na zefektívnenie a sprehľadnenie riadenia fondov;</w:t>
      </w:r>
    </w:p>
    <w:p w14:paraId="650FDDCE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6.</w:t>
      </w:r>
      <w:r w:rsidRPr="005C5529">
        <w:tab/>
        <w:t xml:space="preserve">zdôrazňuje, že zjednodušenie by malo byť hlavnou zásadou politiky súdržnosti; zdôrazňuje, že úsilie o zjednodušenie sa musí zamerať predovšetkým na zníženie zaťaženia prijímateľov, uľahčenie ich prístupu k finančným prostriedkom a zníženie administratívnej práce, odstránenie zbytočnej duplicity procesov; v tejto súvislosti </w:t>
      </w:r>
      <w:r w:rsidRPr="005C5529">
        <w:lastRenderedPageBreak/>
        <w:t xml:space="preserve">vyzýva členské štáty, aby zabránili tzv. </w:t>
      </w:r>
      <w:proofErr w:type="spellStart"/>
      <w:r w:rsidRPr="005C5529">
        <w:t>gold-platingu</w:t>
      </w:r>
      <w:proofErr w:type="spellEnd"/>
      <w:r w:rsidRPr="005C5529">
        <w:t xml:space="preserve"> – pridávaniu zbytočných vnútroštátnych pravidiel k požiadavkám EÚ – čím sa zavádza dodatočná záťaž pre prijímateľov; konštatuje, že vykonávanie pravidiel štátnej pomoci v členských štátoch môže v niektorých prípadoch zvýšiť zložitosť, a zdôrazňuje, že ďalšími faktormi </w:t>
      </w:r>
      <w:proofErr w:type="spellStart"/>
      <w:r w:rsidRPr="005C5529">
        <w:t>prispievajúcimi</w:t>
      </w:r>
      <w:proofErr w:type="spellEnd"/>
      <w:r w:rsidRPr="005C5529">
        <w:t xml:space="preserve"> k oneskoreniam bolo prekrývanie programových období 2014 – 2020 a 2021 – 2027, ako aj zriadenie Mechanizmu na podporu obnovy a odolnosti;</w:t>
      </w:r>
    </w:p>
    <w:p w14:paraId="2CBD0A12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7.</w:t>
      </w:r>
      <w:r w:rsidRPr="005C5529">
        <w:tab/>
        <w:t>zdôrazňuje, že zjednodušená regulácia politiky súdržnosti je kľúčom k zabezpečeniu lepšieho vykonávania; domnieva sa, že neskoré prijatie odvetvových právnych predpisov a zdĺhavý proces prijímania programových dokumentov viedli k oneskoreniam vo vykonávaní počas predchádzajúcich programových období, a preto vyzýva Komisiu, aby včas predložila návrhy na finančné obdobie 2028 – 2034, aby sa regionálne programy mohli schváliť rýchlo po začiatku budúceho VFR; odporúča preskúmať, či by sa niektoré technické predpisy a požiadavky mohli z NSU vyňať a začleniť do súboru usmernení/príručky s cieľom, aby riadiace orgány a prijímatelia nadobudli istotu a vytvorili si rutinné postupy; pripomína, že v dôsledku nedostatočnej istoty pri vykonávaní nástrojov financovania majú správne orgány v súlade so zásadou obozretnosti často tendenciu vykladať nejasné ustanovenia reštriktívnejšie;</w:t>
      </w:r>
    </w:p>
    <w:p w14:paraId="6B380D08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8.</w:t>
      </w:r>
      <w:r w:rsidRPr="005C5529">
        <w:tab/>
        <w:t xml:space="preserve">vyjadruje znepokojenie nad nedostatočnou </w:t>
      </w:r>
      <w:proofErr w:type="spellStart"/>
      <w:r w:rsidRPr="005C5529">
        <w:t>komplementaritou</w:t>
      </w:r>
      <w:proofErr w:type="spellEnd"/>
      <w:r w:rsidRPr="005C5529">
        <w:t xml:space="preserve"> financovania EÚ s viac než 50 viacročnými programami v rokoch 2021 – 2027, ako aj nad tým, že rastúci podiel – v súčasnosti 40 % – je centrálne riadený v rámci súčasného VFR, a domnieva sa, že celkový rozpočet vyčlenený na politiku súdržnosti by sa mal zachovať alebo dokonca zvýšiť, aby politika súdržnosti primerane uspokojovala budúce investičné potreby; zdôrazňuje potrebu účinnej koordinácie financovania EÚ a vnútroštátnych finančných prostriedkov a prízvukuje, že akýkoľvek budúci regulačný rámec musí zahŕňať dôkladné posúdenie jeho administratívneho vplyvu; vyzýva Komisiu, aby podporovala najlepšie postupy, hodnotila vnútroštátne systémy členských štátov a prijala opatrenia na odstránenie postupov, ktoré spôsobujú zbytočnú zložitosť; opätovne potvrdzuje zásadnú úlohu európskych štrukturálnych a investičných fondov pri znižovaní regionálnych rozdielov a zlepšovaní územnej dostupnosti a prepojenosti, najmä v znevýhodnených oblastiach, ako sú vidiecke, ostrovné, horské, najvzdialenejšie a východné pohraničné regióny;</w:t>
      </w:r>
    </w:p>
    <w:p w14:paraId="6058EA75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9.</w:t>
      </w:r>
      <w:r w:rsidRPr="005C5529">
        <w:tab/>
        <w:t>vyzýva Komisiu, aby v nadchádzajúcich návrhoch, ktorými sa zjednoduší navrhovanie novej politiky súdržnosti, podporovala a zaručila decentralizovaný prístup zdola nahor, zabezpečila povinné konzultácie s miestnymi a regionálnymi samosprávami a partnermi, ako sa uvádza v článkoch 3 a 4  európskeho kódexu správania pre partnerstvo vrátane organizácií občianskej spoločnosti a MSP;</w:t>
      </w:r>
    </w:p>
    <w:p w14:paraId="4E2782C3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10.</w:t>
      </w:r>
      <w:r w:rsidRPr="005C5529">
        <w:tab/>
        <w:t xml:space="preserve">domnieva sa, že lepšia koordinácia medzi fondmi spravovanými jasnejším, súdržnejším, koordinovanejším a harmonizovanejším rámcom pre rôzne kohézne fondy by mohla pripraviť pôdu pre efektívnejšiu a flexibilnejšiu politiku súdržnosti vrátane jednotného súboru pravidiel a jedného audítorského záznamu pre vykonávanie, monitorovanie a kontrolu; domnieva sa, že jednotné, integrované IT rozhranie pre príjemcov v každom členskom štáte, ktoré by pokrývalo všetky fázy programového cyklu a umožňovalo by jednoduché elektronické výmeny údajov a dokumentov, podporované automatizovaným nástrojom na podávanie správ a podliehajúce dôkladnému posúdeniu vplyvu, by mohlo v tejto súvislosti priniesť pridanú hodnotu a zvýšiť transparentnosť poskytovaním pravidelných a ľahko dostupných aktualizácií o výsledkoch projektov v rámci politiky súdržnosti; domnieva sa, že by sa malo zabrániť vytváraniu nových malých oddelených </w:t>
      </w:r>
      <w:r w:rsidRPr="005C5529">
        <w:lastRenderedPageBreak/>
        <w:t xml:space="preserve">fondov, aby sa nepodporovala ďalšia fragmentácia nástrojov financovania a vytváranie paralelných štruktúr; domnieva sa, že finančné prostriedky </w:t>
      </w:r>
      <w:proofErr w:type="spellStart"/>
      <w:r w:rsidRPr="005C5529">
        <w:t>defragmentované</w:t>
      </w:r>
      <w:proofErr w:type="spellEnd"/>
      <w:r w:rsidRPr="005C5529">
        <w:t xml:space="preserve"> svojím rozsahom môžu byť v niektorých prípadoch účinnejšie pri vykonávaní riešení strategických výziev EÚ;</w:t>
      </w:r>
    </w:p>
    <w:p w14:paraId="5CD06122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11.</w:t>
      </w:r>
      <w:r w:rsidRPr="005C5529">
        <w:tab/>
        <w:t>uznáva potenciál vytvorenia jednotnej európskej platformy zlúčenej s národnými platformami pri ďalšej revízii po roku 2027, ktorá prijímateľom, najmä malým prijímateľom, umožní rýchly prístup k rôznym fondom EÚ; domnieva sa, že Komisia a členské štáty by mali príjemcom poskytovať všetky potrebné informácie na prístup k finančným prostriedkom EÚ prostredníctvom tejto platformy, a to aj zabezpečením výmeny údajov v reálnom čase o konečných príjemcoch finančných prostriedkov vrátane lepšieho zberu údajov a vytvorenia spoločných prehľadov monitorovania v rámci programov politiky súdržnosti; domnieva sa, že to môže byť potrebné na zlepšenie akceptácie a informovanosti medzi príjemcami a mohlo by to mať potenciál zvýšiť transparentnosť, zabrániť dvojitému financovaniu a posilniť finančnú kontrolu vrátane odhaľovania podvodov;</w:t>
      </w:r>
    </w:p>
    <w:p w14:paraId="412B3D94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12.</w:t>
      </w:r>
      <w:r w:rsidRPr="005C5529">
        <w:tab/>
        <w:t>trvá na tom, že všetky nové IT systémy alebo iné digitálne platformy zavedené v programovom období po roku 2027 by mali pomôcť zefektívniť žiadosti o zber údajov a nemali by pridávať dodatočné alebo opakujúce sa požiadavky na údaje o žiadateľoch;</w:t>
      </w:r>
    </w:p>
    <w:p w14:paraId="32E623A5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13.</w:t>
      </w:r>
      <w:r w:rsidRPr="005C5529">
        <w:tab/>
        <w:t>zdôrazňuje však, že zvýšená flexibilita by nemala byť na úkor dlhodobého strategického plánovania a stability investícií do súdržnosti a nemala by viesť k finančnej neistote a väčšej zložitosti pre konečných príjemcov; vyzýva na zabezpečenie toho, aby všetky úpravy priorít financovania počas programového obdobia po roku 2027 zostali zosúladené s cieľmi regionálneho rozvoja;</w:t>
      </w:r>
    </w:p>
    <w:p w14:paraId="41F2325B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14.</w:t>
      </w:r>
      <w:r w:rsidRPr="005C5529">
        <w:tab/>
        <w:t xml:space="preserve">opakuje svoju podporu pre nariadenie </w:t>
      </w:r>
      <w:proofErr w:type="spellStart"/>
      <w:r w:rsidRPr="005C5529">
        <w:t>BRIDGEforEU</w:t>
      </w:r>
      <w:proofErr w:type="spellEnd"/>
      <w:r w:rsidRPr="005C5529">
        <w:t xml:space="preserve"> a zdôrazňuje, že je potrebné ďalšie zjednodušenie, najmä v cezhraničných programoch, pomocou prispôsobených riešení, ktoré zohľadňujú osobitné hospodárske, sociálne a geopolitické výzvy, ktorým cezhraničné regióny čelia; zdôrazňuje, že politika súdržnosti musí naďalej podporovať a zjednodušovať cezhraničnú, nadnárodnú a medziregionálnu spoluprácu;</w:t>
      </w:r>
    </w:p>
    <w:p w14:paraId="0382967E" w14:textId="77777777" w:rsidR="000E32C3" w:rsidRPr="005C5529" w:rsidRDefault="000E32C3" w:rsidP="0033263D">
      <w:pPr>
        <w:pStyle w:val="NormalHanging12a"/>
        <w:rPr>
          <w:bCs/>
          <w:iCs/>
        </w:rPr>
      </w:pPr>
      <w:r w:rsidRPr="005C5529">
        <w:t>15.</w:t>
      </w:r>
      <w:r w:rsidRPr="005C5529">
        <w:tab/>
        <w:t>domnieva sa, že uplatňovanie hľadiska rodovej rovnosti a začlenenie rodového hľadiska by sa mali podporovať vo všetkých fázach navrhovania a vykonávania programov v budúcom rámci politiky súdržnosti; vyzýva na dôslednejšie využívanie nástroja na sledovanie rodového rozpočtovania všetkými členskými štátmi a zdôrazňuje, že opatrenia na zjednodušenie nesmú oslabovať úsilie o uplatňovanie hľadiska rodovej rovnosti;</w:t>
      </w:r>
    </w:p>
    <w:p w14:paraId="43D4138D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16.</w:t>
      </w:r>
      <w:r w:rsidRPr="005C5529">
        <w:tab/>
        <w:t>domnieva sa, že súčasné vymedzenie pojmu „podnik v ťažkostiach“ vytvára neprimeranú záťaž pre organizácie a zbytočné komplikácie pre inovácie, konkurencieschopnosť a potenciálnych konečných prijímateľov kohéznych fondov, a preto by sa malo zrevidovať;</w:t>
      </w:r>
    </w:p>
    <w:p w14:paraId="39FECF68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17.</w:t>
      </w:r>
      <w:r w:rsidRPr="005C5529">
        <w:tab/>
        <w:t xml:space="preserve">poukazuje na to, že aktívne a povinné zapojenie miestnych a regionálnych samospráv do prípravy, programovania, vykonávania, monitorovania a hodnotenia projektov v oblastiach, ktoré spravujú, je základným predpokladom úspešného a prispôsobeného zjednodušenia; zdôrazňuje, že bez silného partnerstva s miestnou a regionálnou úrovňou a bez posilnenia ich administratívnych kapacít hrozí, že politika súdržnosti sa stane nadmerne centralizovaným procesom s príliš malým vplyvom na vyvážený rozvoj </w:t>
      </w:r>
      <w:r w:rsidRPr="005C5529">
        <w:lastRenderedPageBreak/>
        <w:t>európskych regiónov;</w:t>
      </w:r>
    </w:p>
    <w:p w14:paraId="7F6791AF" w14:textId="77777777" w:rsidR="000E32C3" w:rsidRPr="005C5529" w:rsidRDefault="000E32C3" w:rsidP="0033263D">
      <w:pPr>
        <w:pStyle w:val="NormalHanging12a"/>
        <w:rPr>
          <w:bCs/>
          <w:iCs/>
        </w:rPr>
      </w:pPr>
      <w:r w:rsidRPr="005C5529">
        <w:t>18.</w:t>
      </w:r>
      <w:r w:rsidRPr="005C5529">
        <w:tab/>
        <w:t>vyzýva Komisiu, aby preskúmala začlenenie posúdenia územného a správneho dosahu do európskeho semestra; zdôrazňuje, že európsky semester by mal byť v súlade s cieľmi politiky súdržnosti podľa článkov 174 a 175 ZFEÚ, a vyzýva na účasť regiónov na plnení týchto cieľov a na silnejší územný prístup; zdôrazňuje, že regionálny HDP na obyvateľa musí zostať hlavným kritériom na určovanie prostriedkov pridelených členským štátom v rámci politiky súdržnosti, a domnieva sa, že regionálny HDP na obyvateľa by mohol byť prípadne doplnený ďalšími regionálnymi sociálno-ekonomickými ukazovateľmi (napr. sociálnymi, demografickými atď.), ktoré pomôžu presnejšie zohľadniť sociálno-ekonomickú situáciu regiónov s cieľom ďalej znižovať sociálne a územné rozdiely – a to aj v rámci regiónov – a umožniť účinnejšie cielené investície tam, kde sú najviac potrebné;</w:t>
      </w:r>
    </w:p>
    <w:p w14:paraId="434CDCA9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19.</w:t>
      </w:r>
      <w:r w:rsidRPr="005C5529">
        <w:tab/>
        <w:t>domnieva sa, že národné kontaktné miesta z programov priameho riadenia by sa mali začleniť do vnútroštátneho a regionálneho programovania kohéznych fondov a fondov na rozvoj vidieka s cieľom podporiť synergie a posilniť budovanie kapacít v rámci centrálne a spoločne riadených programov pôsobiacich na tých istých územiach a v tých istých oblastiach politiky;</w:t>
      </w:r>
    </w:p>
    <w:p w14:paraId="76BA236C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20.</w:t>
      </w:r>
      <w:r w:rsidRPr="005C5529">
        <w:tab/>
        <w:t>podporuje využívanie integrovaných nástrojov regionálneho rozvoja, ako sú integrované územné investície a miestny rozvoj vedený komunitou, a navrhuje preskúmať možnosti zamerané na zvýšenie podielu rozpočtu politiky súdržnosti na integrované územné investície, miestny rozvoj vedený komunitou alebo iné územné nástroje pre všetky regióny – a to aj s prihliadnutím na osobitné potreby vidieckych a odľahlých oblastí a východných pohraničných regiónov EÚ so zameraním na projekty schopné účinne riešiť skutočné územné potreby; odporúča preskúmať návrhy na riešenie problémov a technickú pomoc pri vykonávaní stratégií a príprave štúdií; domnieva sa, že čoraz väčšiemu počtu iniciatív integrovaného územného rozvoja – v rámci politiky súdržnosti a rozvoja vidieka a mimo nej – často chýbajú konkrétne väzby na európske štrukturálne a investičné fondy, čo môže obmedzovať ich trvalý vplyv;</w:t>
      </w:r>
    </w:p>
    <w:p w14:paraId="5DEDD2E1" w14:textId="77777777" w:rsidR="000E32C3" w:rsidRPr="005C5529" w:rsidRDefault="000E32C3" w:rsidP="0033263D">
      <w:pPr>
        <w:pStyle w:val="NormalHanging12a"/>
        <w:rPr>
          <w:bCs/>
          <w:iCs/>
        </w:rPr>
      </w:pPr>
      <w:r w:rsidRPr="005C5529">
        <w:t>21.</w:t>
      </w:r>
      <w:r w:rsidRPr="005C5529">
        <w:tab/>
        <w:t>odmieta akúkoľvek formu centralizačnej alebo racionalizačnej reformy plánovania politiky súdržnosti zhora nadol a opakuje, že viacúrovňové riadenie, subsidiarita, zdieľané riadenie a miestne orientovaný prístup musia zostať jej základnými zásadami; domnieva sa, že hoci Mechanizmus na podporu obnovy a odolnosti bol navrhnutý tak, aby poskytoval rýchlu reakciu na hospodárske výzvy, jeho vykonávanie sa stretlo s viacerými ťažkosťami vrátane nízkej miery čerpania, oneskorení pri vyplácaní finančných prostriedkov a nedostatočnej transparentnosti v procese prideľovania prostriedkov; uznáva však určitý pozitívny vývoj v rámci Mechanizmu na podporu obnovy a odolnosti, najmä zavedenie noriem pre ekologické investície a zásady „nespôsobovať významnú škodu“; upozorňuje na skutočnosť, že v programoch v rámci priameho riadenia vyplácanie finančných prostriedkov členským štátom nemusí nevyhnutne odrážať množstvo a význam stanovených míľnikov a cieľov;</w:t>
      </w:r>
    </w:p>
    <w:p w14:paraId="07BFEA44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22.</w:t>
      </w:r>
      <w:r w:rsidRPr="005C5529">
        <w:tab/>
        <w:t xml:space="preserve">zdôrazňuje, že centralizovaný model odhalil niekoľko nedostatkov, najmä pokiaľ ide o </w:t>
      </w:r>
      <w:proofErr w:type="spellStart"/>
      <w:r w:rsidRPr="005C5529">
        <w:t>vysledovateľnosť</w:t>
      </w:r>
      <w:proofErr w:type="spellEnd"/>
      <w:r w:rsidRPr="005C5529">
        <w:t>, zodpovednosť, efektívnosť a dlhodobý vplyv financovania EÚ</w:t>
      </w:r>
      <w:r w:rsidRPr="005C5529">
        <w:rPr>
          <w:bCs/>
          <w:iCs/>
          <w:vertAlign w:val="superscript"/>
        </w:rPr>
        <w:footnoteReference w:id="15"/>
      </w:r>
      <w:r w:rsidRPr="005C5529">
        <w:t xml:space="preserve">; zdôrazňuje, že medzi </w:t>
      </w:r>
      <w:proofErr w:type="spellStart"/>
      <w:r w:rsidRPr="005C5529">
        <w:t>ne</w:t>
      </w:r>
      <w:proofErr w:type="spellEnd"/>
      <w:r w:rsidRPr="005C5529">
        <w:t xml:space="preserve"> patrí nedostatočné zapojenie miestnych a regionálnych </w:t>
      </w:r>
      <w:r w:rsidRPr="005C5529">
        <w:lastRenderedPageBreak/>
        <w:t>samospráv a občianskej spoločnosti, ako aj oneskorenia, obmedzená transparentnosť a riziká nedokončenia opatrení; varuje, že absencia spoľahlivých monitorovacích mechanizmov a jasných požiadaviek na audit môže ohroziť dôveryhodnosť a dlhodobý vplyv finančných nástrojov EÚ; požaduje prísnejší dohľad a väčšie zosúladenie medzi vyplácaním prostriedkov a overenými výsledkami s cieľom zabezpečiť, aby finančné prostriedky EÚ prinášali občanom a sociálnym a hospodárskym aktérom konkrétne výhody; zdôrazňuje, že viacúrovňové riadenie umožňuje rozvoj prispôsobených riešení pre všetky regióny, a zdôrazňuje význam inkluzívnych procesov spoločného navrhovania, do ktorých sú zapojené miestne a regionálne samosprávy;</w:t>
      </w:r>
    </w:p>
    <w:p w14:paraId="688AF516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23.</w:t>
      </w:r>
      <w:r w:rsidRPr="005C5529">
        <w:tab/>
        <w:t xml:space="preserve">nesúhlasí s myšlienkou jednotného národného programu, pretože nedostatočne zahŕňa miestne a regionálne samosprávy a je vzdialený od situácie v teréne, a pretože by ohrozil alebo dokonca odstránil schopnosť politiky súdržnosti zohľadniť rozličné potreby odvetvových politík, </w:t>
      </w:r>
      <w:proofErr w:type="spellStart"/>
      <w:r w:rsidRPr="005C5529">
        <w:t>makroregionálnych</w:t>
      </w:r>
      <w:proofErr w:type="spellEnd"/>
      <w:r w:rsidRPr="005C5529">
        <w:t>, vnútroštátnych, regionálnych alebo miestnych cieľov a špecifík nástrojov; trvá na tom, že využívanie miestne orientovaných programov riadených z regionálnej úrovne NUTS 2</w:t>
      </w:r>
      <w:r w:rsidRPr="005C5529">
        <w:rPr>
          <w:rStyle w:val="FootnoteReference"/>
          <w:bCs/>
          <w:iCs/>
        </w:rPr>
        <w:footnoteReference w:id="16"/>
      </w:r>
      <w:r w:rsidRPr="005C5529">
        <w:t xml:space="preserve"> bolo kľúčom k riešeniu skutočných potrieb v praxi a k účinnému znižovaniu regionálnych sociálno-hospodárskych rozdielov v minulosti, a preto musí byť aj v budúcnosti naďalej oporou politiky súdržnosti;</w:t>
      </w:r>
    </w:p>
    <w:p w14:paraId="35E94AA6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24.</w:t>
      </w:r>
      <w:r w:rsidRPr="005C5529">
        <w:tab/>
        <w:t xml:space="preserve">zdôrazňuje význam spolupráce, výmeny poznatkov a budovania kapacít pre miestne a regionálne samosprávy vrátane investícií do ich technických a administratívnych kapacít; varuje, že bez silného partnerstva s miestnymi a regionálnymi samosprávami hrozí, že politika súdržnosti sa stane príliš centralizovanou a menej účinnou pri podpore vyváženého regionálneho rozvoja; zdôrazňuje, že úsilie o zjednodušenie by malo podporovať úlohu miestnych a regionálnych samospráv, ktoré sú kľúčové pre úspešnú realizáciu projektov financovaných EÚ, najmä v rámci Európskeho fondu regionálneho rozvoja (EFRR), Kohézneho fondu a programov </w:t>
      </w:r>
      <w:proofErr w:type="spellStart"/>
      <w:r w:rsidRPr="005C5529">
        <w:t>Interreg</w:t>
      </w:r>
      <w:proofErr w:type="spellEnd"/>
      <w:r w:rsidRPr="005C5529">
        <w:t>; zdôrazňuje, že posilnenie zapojenia miestnych a regionálnych samospráv, a to aj vo fáze programovania, je kľúčom k zabezpečeniu účinnosti, územného významu a odolnosti politiky súdržnosti; požaduje vyvážený prístup, ktorý zjednodušuje postupy a zároveň zachováva viacúrovňové riadenie a územnú pridanú hodnotu miestnej a regionálnej angažovanosti;</w:t>
      </w:r>
    </w:p>
    <w:p w14:paraId="51E18D3B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25.</w:t>
      </w:r>
      <w:r w:rsidRPr="005C5529">
        <w:tab/>
        <w:t>uznáva, že mechanizmy založené na výkonnosti môžu byť nápomocné pri zefektívňovaní politiky súdržnosti a jej väčšej orientácii na výsledky; varuje však pred prísnym alebo univerzálnym zavedením tohto modelu v kontexte programového obdobia 2028 – 2034; zdôrazňuje, že hoci takéto mechanizmy môžu stimulovať účinnosť, musia zohľadňovať osobitosti rôznych výdavkových odvetví a rôznorodosť konečných príjemcov, najmä v oblastiach, ako je výskum, sociálne politiky a miestna infraštruktúra, kde krátkodobé merateľné výsledky nemusia v plnej miere zachytiť dlhodobý vplyv;</w:t>
      </w:r>
    </w:p>
    <w:p w14:paraId="54F402D9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26.</w:t>
      </w:r>
      <w:r w:rsidRPr="005C5529">
        <w:tab/>
        <w:t xml:space="preserve">varuje, že súčasné modely založené na výkonnosti sa často opierajú o centralizované riadiace štruktúry, čo môže brániť kapacite regionálnych a miestnych orgánov účinne riešiť konkrétne územné potreby; zdôrazňuje, že akékoľvek budúce uplatňovanie vykonávania založeného na výkonnosti by nemalo byť na úkor základných zásad politiky súdržnosti, ako je viacúrovňové riadenie, subsidiarita a miestne orientovaný </w:t>
      </w:r>
      <w:r w:rsidRPr="005C5529">
        <w:lastRenderedPageBreak/>
        <w:t>prístup, a musia ho sprevádzať výrazne silnejšie záruky na zabezpečenie riadneho hospodárenia s finančnými prostriedkami EÚ;</w:t>
      </w:r>
    </w:p>
    <w:p w14:paraId="301E26AF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27.</w:t>
      </w:r>
      <w:r w:rsidRPr="005C5529">
        <w:tab/>
        <w:t>vyzýva Komisiu, aby prijala flexibilný a vyvážený rámec financovania, v ktorom sa kombinuje financovanie založené na výsledkoch a tradičné financovanie založené na nákladoch, čo umožní riešenia prispôsobené miestnym podmienkam; podporuje intenzívnejšie využívanie jednorazových platieb na základe čiastkových cieľov, ako sa uplatňuje v programe Kreatívna Európa, pričom treba zároveň zabezpečiť, aby si regionálne a miestne orgány zachovali autonómiu potrebnú na vykonávanie politiky súdržnosti;</w:t>
      </w:r>
    </w:p>
    <w:p w14:paraId="0FBED7FA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28.</w:t>
      </w:r>
      <w:r w:rsidRPr="005C5529">
        <w:tab/>
        <w:t>osobitne uznáva, že orgány, organizácie občianskej spoločnosti a MSP by nemali byť negatívne zasiahnuté zavedením modelov založených na výkonnosti, najmä s prihliadnutím na obmedzenia ich priemerných finančných zdrojov na predbežné financovanie opatrení alebo vyrovnávania potenciálnych strát v prípade nedosiahnutia cieľov;</w:t>
      </w:r>
    </w:p>
    <w:p w14:paraId="2770417A" w14:textId="77777777" w:rsidR="000E32C3" w:rsidRPr="005C5529" w:rsidRDefault="000E32C3" w:rsidP="0033263D">
      <w:pPr>
        <w:pStyle w:val="NormalHanging12a"/>
        <w:rPr>
          <w:bCs/>
          <w:iCs/>
        </w:rPr>
      </w:pPr>
      <w:r w:rsidRPr="005C5529">
        <w:t>29.</w:t>
      </w:r>
      <w:r w:rsidRPr="005C5529">
        <w:tab/>
        <w:t>uznáva, že problémy s likviditou odrádzajú potenciálnych príjemcov vrátane miestnych orgánov, ktorí v niektorých členských štátoch trpia nedostatkom fiškálnej a rozpočtovej autonómie, od toho, aby sa uchádzali o projekty financované v rámci politiky súdržnosti; vyzýva preto na výrazné a prispôsobené zvýšenie predbežného financovania v takýchto prípadoch, ako aj vo vidieckych, cezhraničných a ostrovných oblastiach s cieľom podporiť rýchle vyplácanie finančných prostriedkov politiky súdržnosti spolu so zjednodušením pravidiel spolufinancovania;</w:t>
      </w:r>
    </w:p>
    <w:p w14:paraId="188CACE1" w14:textId="77777777" w:rsidR="000E32C3" w:rsidRPr="005C5529" w:rsidRDefault="000E32C3" w:rsidP="0033263D">
      <w:pPr>
        <w:pStyle w:val="NormalHanging12a"/>
        <w:rPr>
          <w:bCs/>
          <w:iCs/>
        </w:rPr>
      </w:pPr>
      <w:r w:rsidRPr="005C5529">
        <w:t>30.</w:t>
      </w:r>
      <w:r w:rsidRPr="005C5529">
        <w:tab/>
        <w:t>víta návrh Komisie uvedený v jej preskúmaní politiky súdržnosti na roky 2021 – 2027 v polovici trvania, aby sa na programy v rámci cieľa Investovanie do zamestnanosti a rastu v regiónoch úrovne NUTS 2, ktoré hraničia s Ruskom, Bieloruskom alebo Ukrajinou, mala vzťahovať možnosť jednorazovej zálohovej platby vo výške 9,5 % prostriedkov pridelených na program a možnosť 100 % financovania z EÚ. naliehavo vyzýva Komisiu, aby navrhla dodatočné opatrenia na riešenie potrieb východných pohraničných regiónov EÚ;</w:t>
      </w:r>
    </w:p>
    <w:p w14:paraId="1C538DEE" w14:textId="3F6462C1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31.</w:t>
      </w:r>
      <w:r w:rsidRPr="005C5529">
        <w:tab/>
        <w:t xml:space="preserve">je znepokojený pravidelnými správami zainteresovaných strán o neuplatňovaní horizontálnych zásad členskými štátmi pri príprave dohôd o partnerstve; navrhuje, že revízia európskeho kódexu správania by sa mala priamo začleniť do NSU s cieľom zabezpečiť jeho záväzný charakter a zahrnúť programy priameho riadenia s územným vplyvom; vyzýva Komisiu, aby prísne presadzovala uplatňovanie zásady partnerstva, preskúmala opatrenia na posilnenie právomocí </w:t>
      </w:r>
      <w:r w:rsidR="0033263D" w:rsidRPr="005C5529">
        <w:t>Európskeho p</w:t>
      </w:r>
      <w:r w:rsidRPr="005C5529">
        <w:t>arlamentu v oblasti dohľadu a monitorovania partnerských dohôd a programov; vyzýva Komisiu, aby zabezpečila, že členské štáty budú vykonávať pravidelný dohľad, a to aj nad partnermi počas monitorovania a výberu odborníkov s cieľom zaručiť spôsobilosť a predchádzať podvodom;</w:t>
      </w:r>
    </w:p>
    <w:p w14:paraId="1968DD91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32.</w:t>
      </w:r>
      <w:r w:rsidRPr="005C5529">
        <w:tab/>
        <w:t xml:space="preserve">pripomína význam prísneho uplatňovania finančných pravidiel EÚ vo všetkých programoch a u všetkých prijímateľov s cieľom zabrániť všetkým formám podvodov, konfliktu záujmov, korupcii, dvojitému financovaniu a praniu špinavých peňazí; vyzýva Komisiu a členské štáty, aby navrhli ďalšie opatrenia s cieľom predchádzať dvojitému financovaniu a zamedziť mu, na rozšírenie príležitostí pre integrované projekty, zabezpečiť </w:t>
      </w:r>
      <w:proofErr w:type="spellStart"/>
      <w:r w:rsidRPr="005C5529">
        <w:t>interoperabilitu</w:t>
      </w:r>
      <w:proofErr w:type="spellEnd"/>
      <w:r w:rsidRPr="005C5529">
        <w:t xml:space="preserve"> nástrojov na hĺbkovú analýzu údajov a minimalizovať povinnosti na uchovávanie údajov pre riadiace orgány; opätovne vyzýva Komisiu, aby </w:t>
      </w:r>
      <w:r w:rsidRPr="005C5529">
        <w:lastRenderedPageBreak/>
        <w:t xml:space="preserve">zaviedla povinné používanie IT nástrojov, ako je systém včasného odhaľovania a vylúčenia (EDES) a ARACHNE, pre všetky fondy EÚ, vrátane fondov na zdieľané hospodárenie, a zabezpečila lepšie využívanie nových technológií s cieľom zvýšiť kontrolu a chrániť rozpočet EÚ pred podvodmi a zneužitím finančných prostriedkov; zdôrazňuje, že treba zaručiť rovnováhu medzi zjednodušením a ochranou rozpočtu EÚ; pripomína, že úsilie o zjednodušenie by malo byť v súlade so zásadami dobrej správy vecí verejných, verejného obstarávania a kontroly, čo sú všetko kľúčové prvky na zachovanie sociálnych a environmentálnych </w:t>
      </w:r>
      <w:proofErr w:type="spellStart"/>
      <w:r w:rsidRPr="005C5529">
        <w:t>kondicionalít</w:t>
      </w:r>
      <w:proofErr w:type="spellEnd"/>
      <w:r w:rsidRPr="005C5529">
        <w:t xml:space="preserve"> a zásad právneho štátu;</w:t>
      </w:r>
    </w:p>
    <w:p w14:paraId="6708B188" w14:textId="77777777" w:rsidR="000E32C3" w:rsidRPr="005C5529" w:rsidRDefault="000E32C3" w:rsidP="0033263D">
      <w:pPr>
        <w:pStyle w:val="NormalHanging12a"/>
        <w:rPr>
          <w:bCs/>
          <w:iCs/>
        </w:rPr>
      </w:pPr>
      <w:r w:rsidRPr="005C5529">
        <w:t>33.</w:t>
      </w:r>
      <w:r w:rsidRPr="005C5529">
        <w:tab/>
        <w:t>vyzýva Komisiu, aby rovnako ako pri programe Horizont Európa vypracovala štúdie o synergii medzi kohéznymi fondmi a odvetvovými programami;</w:t>
      </w:r>
    </w:p>
    <w:p w14:paraId="538F8E8A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 xml:space="preserve">34. </w:t>
      </w:r>
      <w:r w:rsidRPr="005C5529">
        <w:tab/>
        <w:t>požaduje priamejší prístup regionálnych a miestnych orgánov, ako aj miest a mestských orgánov k finančným prostriedkom EÚ, okrem iného rozšírením využívania integrovaných územných investícií a zameraním sa na projekty zamerané na sociálnych a hospodárskych partnerov; vyzýva Komisiu, aby preskúmala dodatočné spôsoby zabezpečenia toho, aby miestne a regionálne samosprávy, občianska spoločnosť a iní príjemcovia mohli naďalej využívať finančné prostriedky EÚ v prípadoch porušovania zásady právneho štátu národnými vládami bez toho, aby sa oslabilo uplatňovanie nariadenia o podmienenosti právnym štátom</w:t>
      </w:r>
      <w:r w:rsidRPr="005C5529">
        <w:rPr>
          <w:rStyle w:val="FootnoteReference"/>
          <w:bCs/>
          <w:iCs/>
        </w:rPr>
        <w:footnoteReference w:id="17"/>
      </w:r>
      <w:r w:rsidRPr="005C5529">
        <w:t>; zdôrazňuje, že finančné prostriedky sa nesmú prerozdeliť na iné programy, aby sa zachovala integrita rozhodnutia o pozastavení, kým sa nedosiahnu jeho ciele a nesplnia všetky podmienky prístupu k financovaniu;</w:t>
      </w:r>
    </w:p>
    <w:p w14:paraId="455C1FB2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35.</w:t>
      </w:r>
      <w:r w:rsidRPr="005C5529">
        <w:tab/>
        <w:t>okrem toho nabáda na vytvorenie stálej poradenskej siete, ktorá by koordinovala svoju prácu s už jestvujúcimi programami alebo štruktúrami na pomoc obciam pri zvládaní zložitosti vykonávania politiky súdržnosti;</w:t>
      </w:r>
    </w:p>
    <w:p w14:paraId="7A38C827" w14:textId="77777777" w:rsidR="000E32C3" w:rsidRPr="005C5529" w:rsidRDefault="000E32C3" w:rsidP="0033263D">
      <w:pPr>
        <w:pStyle w:val="NormalHanging12a"/>
        <w:rPr>
          <w:bCs/>
          <w:iCs/>
        </w:rPr>
      </w:pPr>
      <w:r w:rsidRPr="005C5529">
        <w:t>36.</w:t>
      </w:r>
      <w:r w:rsidRPr="005C5529">
        <w:tab/>
        <w:t>víta nástroje, ako je súbor nástrojov EÚ pre vidiek, ktorých cieľom je usmerňovať prijímateľov prostredníctvom dostupných programov; zdôrazňuje však, že potreba takýchto jednotných kontaktných miest poukazuje na nadmernú zložitosť súčasných štruktúr, ktoré sú pre mnohých prijímateľov naďalej nedostupné, najmä pre malé verejné orgány;</w:t>
      </w:r>
    </w:p>
    <w:p w14:paraId="6F636DDC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37.</w:t>
      </w:r>
      <w:r w:rsidRPr="005C5529">
        <w:tab/>
        <w:t>zdôrazňuje naliehavú potrebu navýšiť investície do budovania účinných a primeraných administratívnych kapacít s vyčlenenými finančnými zdrojmi a technickou pomocou, najmä pre miestne a regionálne samosprávy vrátane miestnych a regionálnych samospráv v ostrovných a odľahlých oblastiach, a s osobitným zameraním na regióny s historicky nízkou mierou čerpania s cieľom podporiť decentralizované a efektívne riadenie a využívanie finančných prostriedkov EÚ;</w:t>
      </w:r>
    </w:p>
    <w:p w14:paraId="547A8E20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38.</w:t>
      </w:r>
      <w:r w:rsidRPr="005C5529">
        <w:tab/>
        <w:t xml:space="preserve">vyzýva na posilnenie nástrojov technickej pomoci v rámci politiky súdržnosti, ako sú nástroje vytvorené v spolupráci medzi Európskou investičnou bankou a Komisiou s cieľom podporiť kapacity strategického plánovania pre územné investície, ako aj cielenú poradenskú podporu pri identifikácii, plánovaní a príprave projektov; uznáva ústrednú úlohu finančných nástrojov na podporu konkurencieschopnosti vo všetkých </w:t>
      </w:r>
      <w:r w:rsidRPr="005C5529">
        <w:lastRenderedPageBreak/>
        <w:t>regiónoch EÚ a na využívanie súkromných aj verejných finančných prostriedkov;</w:t>
      </w:r>
    </w:p>
    <w:p w14:paraId="7CAB4F8B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39.</w:t>
      </w:r>
      <w:r w:rsidRPr="005C5529">
        <w:tab/>
        <w:t>zdôrazňuje, že úspech politiky súdržnosti závisí od výhľadových a inkluzívnych stratégií, riadneho zapojenia zainteresovaných strán a občianskej spoločnosti a riadnej správy vecí verejných; uznáva, že treba podporovať prístupy k riadeniu založené na výsledkoch vrátane používania merateľných ukazovateľov a modelov teórie zmien pri hodnotení programov; zdôrazňuje, že je dôležité vyčleniť osobitné zdroje na budovanie kapacít sociálnych partnerov a pre organizácie občianskej spoločnosti s cieľom posilniť ich úlohu pri dobrej správe a využívaní finančných prostriedkov EÚ;</w:t>
      </w:r>
    </w:p>
    <w:p w14:paraId="5317733E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40.</w:t>
      </w:r>
      <w:r w:rsidRPr="005C5529">
        <w:tab/>
        <w:t>žiada Komisiu, aby v novom rámci štátnej pomoci navrhla ďalšie zjednodušenie uplatňovania pravidiel štátnej pomoci v prípade medziodvetvového financovania súvisiaceho so súdržnosťou, ktoré kombinuje finančné prostriedky EÚ a vnútroštátne prostriedky (napríklad pri financovaní z viacerých zdrojov v rámci Európskeho sociálneho fondu plus a EFRR), s cieľom znížiť množstvo chýb a administratívnu záťaž na vnútroštátnej a regionálnej úrovni a zároveň zvýšiť účinnosť investícií v rámci politiky súdržnosti v praxi a zabrániť narušeniu trhu; vyzýva Komisiu, aby preskúmala, či by programy zdieľaného riadenia mohli v niektorých prípadoch mať prospech z podobných výnimiek z pravidiel štátnej pomoci ako na programy v rámci priameho riadenia, ako je Horizont Európa alebo Nástroj na prepájanie Európy;</w:t>
      </w:r>
    </w:p>
    <w:p w14:paraId="45ACF328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41.</w:t>
      </w:r>
      <w:r w:rsidRPr="005C5529">
        <w:tab/>
        <w:t>naliehavo vyzýva Komisiu, aby v súvislosti s nadchádzajúcou revíziou európskej smernice o verejnom obstarávaní</w:t>
      </w:r>
      <w:r w:rsidRPr="005C5529">
        <w:rPr>
          <w:rStyle w:val="FootnoteReference"/>
          <w:bCs/>
          <w:iCs/>
        </w:rPr>
        <w:footnoteReference w:id="18"/>
      </w:r>
      <w:r w:rsidRPr="005C5529">
        <w:t xml:space="preserve"> ďalej podporovala využívanie sociálnej doložky a kolektívne vyjednávanie; zdôrazňuje, že verejní obstarávatelia musia vylúčiť z verejných súťaží hospodárske subjekty, ktoré sa zapojili do trestnej činnosti; žiada, aby pravidlá, ktorými sa riadi politika súdržnosti, umožňovali prideľovanie verejných prostriedkov len tým podnikom, ktoré rešpektujú práva pracovníkov a platné pravidlá týkajúce sa pracovných podmienok;</w:t>
      </w:r>
    </w:p>
    <w:p w14:paraId="16F91303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42.</w:t>
      </w:r>
      <w:r w:rsidRPr="005C5529">
        <w:tab/>
        <w:t xml:space="preserve">domnieva sa, že by mala posilniť zásada jednotného auditu a pripomína, že uplatňovanie prístupu jednotného auditu závisí v praxi od hodnovernej a spoľahlivej audítorskej práce vykonávanej audítorskými orgánmi v členských štátoch; zdôrazňuje, že v budúcej politike súdržnosti by sa mal zaviesť revidovaný, posilnený a jednotný prístup k auditom a kontrolám a že tento prístup by sa mal zamerať na zníženie chybovosti aj miery podvodov posilnením preventívnych (ex </w:t>
      </w:r>
      <w:proofErr w:type="spellStart"/>
      <w:r w:rsidRPr="005C5529">
        <w:t>ante</w:t>
      </w:r>
      <w:proofErr w:type="spellEnd"/>
      <w:r w:rsidRPr="005C5529">
        <w:t>) kontrol na začiatku rozpočtového obdobia s cieľom znížiť nedostatky a riziká v oblasti kontroly; zdôrazňuje, že je dôležité zosúladiť tento prístup s odporúčaniami Európskeho dvora audítorov, najmä pri posilňovaní finančného riadenia, zlepšovaní efektívnosti výdavkov a zabezpečovaní toho, aby sa neopakovali chyby zistené v predchádzajúcich programových obdobiach;</w:t>
      </w:r>
    </w:p>
    <w:p w14:paraId="6C5B0685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43.</w:t>
      </w:r>
      <w:r w:rsidRPr="005C5529">
        <w:tab/>
        <w:t xml:space="preserve">požaduje jednotnejší výklad nariadení audítorskými orgánmi v celej EÚ a vo všetkých fondoch a zasadzuje sa za stratégiu auditu viac založenú na riziku s cieľom zabrániť zbytočnej duplicite a zároveň zabezpečiť účinný finančný dohľad a predchádzanie podvodom; zdôrazňuje, že programy vykonávané členskými štátmi, na ktoré sa vzťahuje mechanizmus podmienenosti právnym štátom alebo postup podľa článku 7, </w:t>
      </w:r>
      <w:r w:rsidRPr="005C5529">
        <w:lastRenderedPageBreak/>
        <w:t>alebo ktoré sa nepripojili k Európskej prokuratúre, musia podliehať prísnejšej kontrole;</w:t>
      </w:r>
    </w:p>
    <w:p w14:paraId="7B161180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44.</w:t>
      </w:r>
      <w:r w:rsidRPr="005C5529">
        <w:tab/>
        <w:t xml:space="preserve">vyzýva Komisiu, aby navrhla štandardizáciu a širšie využívanie zjednodušených možností vykazovania nákladov a financovania, ktoré nie je spojené s nákladmi, a zdôrazňuje ich kľúčovú úlohu pri znižovaní administratívnej záťaže, znižovaní chybovosti a zlepšovaní plnenia; odporúča rozšíriť tieto mechanizmy, najmä zjednodušením požiadaviek vo verejnom obstarávaní, overovaní a </w:t>
      </w:r>
      <w:proofErr w:type="spellStart"/>
      <w:r w:rsidRPr="005C5529">
        <w:t>auditových</w:t>
      </w:r>
      <w:proofErr w:type="spellEnd"/>
      <w:r w:rsidRPr="005C5529">
        <w:t xml:space="preserve"> prahových hodnotách; zdôrazňuje ich užitočnosť v kontexte, v ktorom sú ciele jasne overiteľné, najmä v prípade menších príjemcov, ako sú miestne orgány, organizácie občianskej spoločnosti a miestne akčné skupiny, alebo v projektoch, do ktorých sú zapojené </w:t>
      </w:r>
      <w:proofErr w:type="spellStart"/>
      <w:r w:rsidRPr="005C5529">
        <w:t>mikropodniky</w:t>
      </w:r>
      <w:proofErr w:type="spellEnd"/>
      <w:r w:rsidRPr="005C5529">
        <w:t xml:space="preserve"> a subjekty sociálneho hospodárstva, na zníženie byrokracie a urýchlenie vykonávania; vyzýva Komisiu, aby preskúmala možnosti zamerané na zavedenie zjednodušených postupov podávania správ a auditu pre miestne orgány s menej ako 100000 obyvateľmi a pre príjemcov vo vidieckych oblastiach, na ostrovoch a v najvzdialenejších regiónoch EÚ s cieľom dosiahnuť rovnováhu medzi zjednodušením a riadnym finančným riadením;</w:t>
      </w:r>
    </w:p>
    <w:p w14:paraId="18AA5F00" w14:textId="77777777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45.</w:t>
      </w:r>
      <w:r w:rsidRPr="005C5529">
        <w:tab/>
        <w:t xml:space="preserve">domnieva sa, že je potrebná zmena v prístupe k auditom a kontrolám, a to odklonom od využívania štatistickej </w:t>
      </w:r>
      <w:proofErr w:type="spellStart"/>
      <w:r w:rsidRPr="005C5529">
        <w:t>extrapolácie</w:t>
      </w:r>
      <w:proofErr w:type="spellEnd"/>
      <w:r w:rsidRPr="005C5529">
        <w:t xml:space="preserve"> finančných opráv s cieľom jasne rozlišovať medzi neúmyselnými chybami a podvodmi, aby sa zabezpečilo, že takéto opravy sa budú zameriavať len na prípady systémových nezrovnalostí a úmyselného podvodu, a aby sa zabránilo nadmernému pracovnému zaťaženiu alebo finančnému tlaku na príjemcov a riadiace orgány; zdôrazňuje, že administratívna a finančná záťaž súvisiaca s finančnou kontrolou a audítorskou činnosťou, ako aj následné opatrenia by mali byť vždy úmerné objemu finančných prostriedkov a súvisiacim rizikám;</w:t>
      </w:r>
    </w:p>
    <w:p w14:paraId="5B0B5472" w14:textId="77777777" w:rsidR="000E32C3" w:rsidRPr="005C5529" w:rsidRDefault="000E32C3" w:rsidP="0033263D">
      <w:pPr>
        <w:pStyle w:val="NormalHanging12a"/>
        <w:rPr>
          <w:bCs/>
          <w:iCs/>
        </w:rPr>
      </w:pPr>
      <w:r w:rsidRPr="005C5529">
        <w:t>46.</w:t>
      </w:r>
      <w:r w:rsidRPr="005C5529">
        <w:tab/>
        <w:t>vyzýva Komisiu, aby preskúmala rôzne možnosti zlepšenia komplementárnosti fondov EÚ, a to aj opätovným začlenením komunitných intervencií a intervencií miestneho rozvoja z EPFRV do NSU;</w:t>
      </w:r>
    </w:p>
    <w:p w14:paraId="6DE5D8ED" w14:textId="31B91229" w:rsidR="000E32C3" w:rsidRPr="005C5529" w:rsidRDefault="000E32C3" w:rsidP="0033263D">
      <w:pPr>
        <w:pStyle w:val="NormalHanging12a"/>
        <w:rPr>
          <w:bCs/>
          <w:iCs/>
          <w:szCs w:val="24"/>
        </w:rPr>
      </w:pPr>
      <w:r w:rsidRPr="005C5529">
        <w:t>47.</w:t>
      </w:r>
      <w:r w:rsidRPr="005C5529">
        <w:tab/>
        <w:t>poveruje svoju predsedníčku, aby postúpila toto uznesenie Rade, Komisii, Európskemu dvoru audítorov, Európskemu hospodárskemu a sociálnemu výboru, Výboru regiónov a národným a regionálnym parlamentom členských štátov.</w:t>
      </w:r>
    </w:p>
    <w:sectPr w:rsidR="000E32C3" w:rsidRPr="005C5529" w:rsidSect="004304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2AB9D" w14:textId="77777777" w:rsidR="00511AEF" w:rsidRPr="004304BE" w:rsidRDefault="00511AEF">
      <w:r w:rsidRPr="004304BE">
        <w:separator/>
      </w:r>
    </w:p>
  </w:endnote>
  <w:endnote w:type="continuationSeparator" w:id="0">
    <w:p w14:paraId="4D625497" w14:textId="77777777" w:rsidR="00511AEF" w:rsidRPr="004304BE" w:rsidRDefault="00511AEF">
      <w:r w:rsidRPr="004304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38592" w14:textId="77777777" w:rsidR="00064002" w:rsidRPr="004304B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E90A2" w14:textId="77777777" w:rsidR="00064002" w:rsidRPr="004304B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AE867" w14:textId="77777777" w:rsidR="00064002" w:rsidRPr="004304B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11C2F" w14:textId="77777777" w:rsidR="00511AEF" w:rsidRPr="004304BE" w:rsidRDefault="00511AEF">
      <w:r w:rsidRPr="004304BE">
        <w:separator/>
      </w:r>
    </w:p>
  </w:footnote>
  <w:footnote w:type="continuationSeparator" w:id="0">
    <w:p w14:paraId="484D185A" w14:textId="77777777" w:rsidR="00511AEF" w:rsidRPr="004304BE" w:rsidRDefault="00511AEF">
      <w:r w:rsidRPr="004304BE">
        <w:continuationSeparator/>
      </w:r>
    </w:p>
  </w:footnote>
  <w:footnote w:id="1">
    <w:p w14:paraId="03738688" w14:textId="31232648" w:rsidR="000E32C3" w:rsidRPr="004304BE" w:rsidRDefault="000E32C3" w:rsidP="004304BE">
      <w:pPr>
        <w:pStyle w:val="FootnoteText"/>
        <w:ind w:left="567" w:hanging="567"/>
        <w:rPr>
          <w:sz w:val="24"/>
          <w:lang w:val="sk-SK"/>
        </w:rPr>
      </w:pPr>
      <w:r w:rsidRPr="004304BE">
        <w:rPr>
          <w:rStyle w:val="FootnoteReference"/>
          <w:sz w:val="24"/>
          <w:lang w:val="sk-SK"/>
        </w:rPr>
        <w:footnoteRef/>
      </w:r>
      <w:r w:rsidR="004304BE" w:rsidRPr="004304BE">
        <w:rPr>
          <w:sz w:val="24"/>
          <w:lang w:val="sk-SK"/>
        </w:rPr>
        <w:t xml:space="preserve"> </w:t>
      </w:r>
      <w:r w:rsidR="004304BE" w:rsidRPr="004304BE">
        <w:rPr>
          <w:sz w:val="24"/>
          <w:lang w:val="sk-SK"/>
        </w:rPr>
        <w:tab/>
      </w:r>
      <w:r w:rsidRPr="004304BE">
        <w:rPr>
          <w:sz w:val="24"/>
          <w:lang w:val="sk-SK"/>
        </w:rPr>
        <w:t xml:space="preserve">Ú. v. EÚ L 231, 30.6.2021, s. 159, ELI: </w:t>
      </w:r>
      <w:hyperlink r:id="rId1" w:history="1">
        <w:r w:rsidRPr="004304BE">
          <w:rPr>
            <w:rStyle w:val="Hyperlink"/>
            <w:sz w:val="24"/>
            <w:lang w:val="sk-SK"/>
          </w:rPr>
          <w:t>http://data.europa.eu/eli/reg/2021/1060/oj</w:t>
        </w:r>
      </w:hyperlink>
      <w:r w:rsidRPr="004304BE">
        <w:rPr>
          <w:sz w:val="24"/>
          <w:lang w:val="sk-SK"/>
        </w:rPr>
        <w:t>.</w:t>
      </w:r>
    </w:p>
  </w:footnote>
  <w:footnote w:id="2">
    <w:p w14:paraId="01FCB7F2" w14:textId="55E45DD8" w:rsidR="000E32C3" w:rsidRPr="004304BE" w:rsidRDefault="000E32C3" w:rsidP="004304BE">
      <w:pPr>
        <w:pStyle w:val="FootnoteText"/>
        <w:ind w:left="567" w:hanging="567"/>
        <w:rPr>
          <w:sz w:val="24"/>
          <w:lang w:val="sk-SK"/>
        </w:rPr>
      </w:pPr>
      <w:r w:rsidRPr="004304BE">
        <w:rPr>
          <w:rStyle w:val="FootnoteReference"/>
          <w:sz w:val="24"/>
          <w:lang w:val="sk-SK"/>
        </w:rPr>
        <w:footnoteRef/>
      </w:r>
      <w:r w:rsidR="004304BE" w:rsidRPr="004304BE">
        <w:rPr>
          <w:sz w:val="24"/>
          <w:lang w:val="sk-SK"/>
        </w:rPr>
        <w:t xml:space="preserve"> </w:t>
      </w:r>
      <w:r w:rsidR="004304BE" w:rsidRPr="004304BE">
        <w:rPr>
          <w:sz w:val="24"/>
          <w:lang w:val="sk-SK"/>
        </w:rPr>
        <w:tab/>
      </w:r>
      <w:r w:rsidRPr="004304BE">
        <w:rPr>
          <w:sz w:val="24"/>
          <w:lang w:val="sk-SK"/>
        </w:rPr>
        <w:t>Ú. v. EÚ L 231, 30.6.2021, s. </w:t>
      </w:r>
      <w:r w:rsidRPr="004304BE">
        <w:rPr>
          <w:sz w:val="24"/>
          <w:lang w:val="sk-SK"/>
        </w:rPr>
        <w:t xml:space="preserve">60, ELI: </w:t>
      </w:r>
      <w:hyperlink r:id="rId2" w:history="1">
        <w:r w:rsidRPr="004304BE">
          <w:rPr>
            <w:rStyle w:val="Hyperlink"/>
            <w:sz w:val="24"/>
            <w:lang w:val="sk-SK"/>
          </w:rPr>
          <w:t>http://data.europa.eu/eli/reg/2021/1058/oj</w:t>
        </w:r>
      </w:hyperlink>
      <w:r w:rsidRPr="004304BE">
        <w:rPr>
          <w:sz w:val="24"/>
          <w:lang w:val="sk-SK"/>
        </w:rPr>
        <w:t>.</w:t>
      </w:r>
    </w:p>
  </w:footnote>
  <w:footnote w:id="3">
    <w:p w14:paraId="57297CA7" w14:textId="1D3F0033" w:rsidR="000E32C3" w:rsidRPr="004304BE" w:rsidRDefault="000E32C3" w:rsidP="004304BE">
      <w:pPr>
        <w:pStyle w:val="FootnoteText"/>
        <w:ind w:left="567" w:hanging="567"/>
        <w:rPr>
          <w:sz w:val="24"/>
          <w:lang w:val="sk-SK"/>
        </w:rPr>
      </w:pPr>
      <w:r w:rsidRPr="004304BE">
        <w:rPr>
          <w:rStyle w:val="FootnoteReference"/>
          <w:sz w:val="24"/>
          <w:lang w:val="sk-SK"/>
        </w:rPr>
        <w:footnoteRef/>
      </w:r>
      <w:r w:rsidR="004304BE" w:rsidRPr="004304BE">
        <w:rPr>
          <w:sz w:val="24"/>
          <w:lang w:val="sk-SK"/>
        </w:rPr>
        <w:t xml:space="preserve"> </w:t>
      </w:r>
      <w:r w:rsidR="004304BE" w:rsidRPr="004304BE">
        <w:rPr>
          <w:sz w:val="24"/>
          <w:lang w:val="sk-SK"/>
        </w:rPr>
        <w:tab/>
      </w:r>
      <w:r w:rsidRPr="004304BE">
        <w:rPr>
          <w:sz w:val="24"/>
          <w:lang w:val="sk-SK"/>
        </w:rPr>
        <w:t>Ú. v. EÚ L 231, 30.6.2021, s. </w:t>
      </w:r>
      <w:r w:rsidRPr="004304BE">
        <w:rPr>
          <w:sz w:val="24"/>
          <w:lang w:val="sk-SK"/>
        </w:rPr>
        <w:t xml:space="preserve">1, ELI: </w:t>
      </w:r>
      <w:hyperlink r:id="rId3" w:history="1">
        <w:r w:rsidRPr="004304BE">
          <w:rPr>
            <w:rStyle w:val="Hyperlink"/>
            <w:sz w:val="24"/>
            <w:lang w:val="sk-SK"/>
          </w:rPr>
          <w:t>http://data.europa.eu/eli/reg/2021/1056/oj</w:t>
        </w:r>
      </w:hyperlink>
      <w:r w:rsidRPr="004304BE">
        <w:rPr>
          <w:sz w:val="24"/>
          <w:lang w:val="sk-SK"/>
        </w:rPr>
        <w:t>.</w:t>
      </w:r>
    </w:p>
  </w:footnote>
  <w:footnote w:id="4">
    <w:p w14:paraId="6DA00648" w14:textId="73F18240" w:rsidR="000E32C3" w:rsidRPr="004304BE" w:rsidRDefault="000E32C3" w:rsidP="004304BE">
      <w:pPr>
        <w:pStyle w:val="FootnoteText"/>
        <w:ind w:left="567" w:hanging="567"/>
        <w:rPr>
          <w:sz w:val="24"/>
          <w:lang w:val="sk-SK"/>
        </w:rPr>
      </w:pPr>
      <w:r w:rsidRPr="004304BE">
        <w:rPr>
          <w:rStyle w:val="FootnoteReference"/>
          <w:sz w:val="24"/>
          <w:lang w:val="sk-SK"/>
        </w:rPr>
        <w:footnoteRef/>
      </w:r>
      <w:r w:rsidR="004304BE" w:rsidRPr="004304BE">
        <w:rPr>
          <w:sz w:val="24"/>
          <w:lang w:val="sk-SK"/>
        </w:rPr>
        <w:t xml:space="preserve"> </w:t>
      </w:r>
      <w:r w:rsidR="004304BE" w:rsidRPr="004304BE">
        <w:rPr>
          <w:sz w:val="24"/>
          <w:lang w:val="sk-SK"/>
        </w:rPr>
        <w:tab/>
      </w:r>
      <w:r w:rsidRPr="004304BE">
        <w:rPr>
          <w:sz w:val="24"/>
          <w:lang w:val="sk-SK"/>
        </w:rPr>
        <w:t>Ú. v. EÚ L 231, 30.6.2021, s. </w:t>
      </w:r>
      <w:r w:rsidRPr="004304BE">
        <w:rPr>
          <w:sz w:val="24"/>
          <w:lang w:val="sk-SK"/>
        </w:rPr>
        <w:t xml:space="preserve">94, ELI: </w:t>
      </w:r>
      <w:hyperlink r:id="rId4" w:history="1">
        <w:r w:rsidRPr="004304BE">
          <w:rPr>
            <w:rStyle w:val="Hyperlink"/>
            <w:sz w:val="24"/>
            <w:lang w:val="sk-SK"/>
          </w:rPr>
          <w:t>http://data.europa.eu/eli/reg/2021/1059/oj</w:t>
        </w:r>
      </w:hyperlink>
      <w:r w:rsidRPr="004304BE">
        <w:rPr>
          <w:sz w:val="24"/>
          <w:lang w:val="sk-SK"/>
        </w:rPr>
        <w:t>.</w:t>
      </w:r>
    </w:p>
  </w:footnote>
  <w:footnote w:id="5">
    <w:p w14:paraId="2F1DF36A" w14:textId="201CA37A" w:rsidR="000E32C3" w:rsidRPr="004304BE" w:rsidRDefault="000E32C3" w:rsidP="004304BE">
      <w:pPr>
        <w:pStyle w:val="FootnoteText"/>
        <w:ind w:left="567" w:hanging="567"/>
        <w:rPr>
          <w:sz w:val="24"/>
          <w:lang w:val="sk-SK"/>
        </w:rPr>
      </w:pPr>
      <w:r w:rsidRPr="004304BE">
        <w:rPr>
          <w:rStyle w:val="FootnoteReference"/>
          <w:sz w:val="24"/>
          <w:lang w:val="sk-SK"/>
        </w:rPr>
        <w:footnoteRef/>
      </w:r>
      <w:r w:rsidR="004304BE" w:rsidRPr="004304BE">
        <w:rPr>
          <w:sz w:val="24"/>
          <w:lang w:val="sk-SK"/>
        </w:rPr>
        <w:t xml:space="preserve"> </w:t>
      </w:r>
      <w:r w:rsidR="004304BE" w:rsidRPr="004304BE">
        <w:rPr>
          <w:sz w:val="24"/>
          <w:lang w:val="sk-SK"/>
        </w:rPr>
        <w:tab/>
      </w:r>
      <w:r w:rsidRPr="004304BE">
        <w:rPr>
          <w:sz w:val="24"/>
          <w:lang w:val="sk-SK"/>
        </w:rPr>
        <w:t>Ú. v. EÚ L 231, 30.6.2021, s. </w:t>
      </w:r>
      <w:r w:rsidRPr="004304BE">
        <w:rPr>
          <w:sz w:val="24"/>
          <w:lang w:val="sk-SK"/>
        </w:rPr>
        <w:t xml:space="preserve">21, ELI: </w:t>
      </w:r>
      <w:hyperlink r:id="rId5" w:history="1">
        <w:r w:rsidRPr="004304BE">
          <w:rPr>
            <w:rStyle w:val="Hyperlink"/>
            <w:sz w:val="24"/>
            <w:lang w:val="sk-SK"/>
          </w:rPr>
          <w:t>http://data.europa.eu/eli/reg/2021/1057/oj</w:t>
        </w:r>
      </w:hyperlink>
      <w:r w:rsidRPr="004304BE">
        <w:rPr>
          <w:sz w:val="24"/>
          <w:lang w:val="sk-SK"/>
        </w:rPr>
        <w:t>.</w:t>
      </w:r>
    </w:p>
  </w:footnote>
  <w:footnote w:id="6">
    <w:p w14:paraId="2B0FFBB5" w14:textId="085618B4" w:rsidR="000E32C3" w:rsidRPr="004304BE" w:rsidRDefault="000E32C3" w:rsidP="004304BE">
      <w:pPr>
        <w:pStyle w:val="FootnoteText"/>
        <w:ind w:left="567" w:hanging="567"/>
        <w:rPr>
          <w:sz w:val="24"/>
          <w:lang w:val="sk-SK"/>
        </w:rPr>
      </w:pPr>
      <w:r w:rsidRPr="004304BE">
        <w:rPr>
          <w:rStyle w:val="FootnoteReference"/>
          <w:sz w:val="24"/>
          <w:lang w:val="sk-SK"/>
        </w:rPr>
        <w:footnoteRef/>
      </w:r>
      <w:r w:rsidR="004304BE" w:rsidRPr="004304BE">
        <w:rPr>
          <w:sz w:val="24"/>
          <w:lang w:val="sk-SK"/>
        </w:rPr>
        <w:t xml:space="preserve"> </w:t>
      </w:r>
      <w:r w:rsidR="004304BE" w:rsidRPr="004304BE">
        <w:rPr>
          <w:sz w:val="24"/>
          <w:lang w:val="sk-SK"/>
        </w:rPr>
        <w:tab/>
      </w:r>
      <w:r w:rsidRPr="004304BE">
        <w:rPr>
          <w:sz w:val="24"/>
          <w:lang w:val="sk-SK"/>
        </w:rPr>
        <w:t>Ú. v. EÚ L 99, 31.3.2020, s. </w:t>
      </w:r>
      <w:r w:rsidRPr="004304BE">
        <w:rPr>
          <w:sz w:val="24"/>
          <w:lang w:val="sk-SK"/>
        </w:rPr>
        <w:t xml:space="preserve">5, ELI: </w:t>
      </w:r>
      <w:hyperlink r:id="rId6" w:history="1">
        <w:r w:rsidRPr="004304BE">
          <w:rPr>
            <w:rStyle w:val="Hyperlink"/>
            <w:sz w:val="24"/>
            <w:lang w:val="sk-SK"/>
          </w:rPr>
          <w:t>http://data.europa.eu/eli/reg/2020/460/oj</w:t>
        </w:r>
      </w:hyperlink>
      <w:r w:rsidRPr="004304BE">
        <w:rPr>
          <w:sz w:val="24"/>
          <w:lang w:val="sk-SK"/>
        </w:rPr>
        <w:t>.</w:t>
      </w:r>
    </w:p>
  </w:footnote>
  <w:footnote w:id="7">
    <w:p w14:paraId="1F380C33" w14:textId="6230AAA2" w:rsidR="000E32C3" w:rsidRPr="004304BE" w:rsidRDefault="000E32C3" w:rsidP="004304BE">
      <w:pPr>
        <w:pStyle w:val="FootnoteText"/>
        <w:ind w:left="567" w:hanging="567"/>
        <w:rPr>
          <w:sz w:val="24"/>
          <w:lang w:val="sk-SK"/>
        </w:rPr>
      </w:pPr>
      <w:r w:rsidRPr="004304BE">
        <w:rPr>
          <w:rStyle w:val="FootnoteReference"/>
          <w:sz w:val="24"/>
          <w:lang w:val="sk-SK"/>
        </w:rPr>
        <w:footnoteRef/>
      </w:r>
      <w:r w:rsidR="004304BE" w:rsidRPr="004304BE">
        <w:rPr>
          <w:sz w:val="24"/>
          <w:lang w:val="sk-SK"/>
        </w:rPr>
        <w:t xml:space="preserve"> </w:t>
      </w:r>
      <w:r w:rsidR="004304BE" w:rsidRPr="004304BE">
        <w:rPr>
          <w:sz w:val="24"/>
          <w:lang w:val="sk-SK"/>
        </w:rPr>
        <w:tab/>
      </w:r>
      <w:r w:rsidRPr="004304BE">
        <w:rPr>
          <w:sz w:val="24"/>
          <w:lang w:val="sk-SK"/>
        </w:rPr>
        <w:t xml:space="preserve">Ú. v. </w:t>
      </w:r>
      <w:r w:rsidRPr="004304BE">
        <w:rPr>
          <w:sz w:val="24"/>
          <w:lang w:val="sk-SK"/>
        </w:rPr>
        <w:t xml:space="preserve">EÚ L, 2025/925, 19.5.2025, ELI: </w:t>
      </w:r>
      <w:hyperlink r:id="rId7" w:history="1">
        <w:r w:rsidRPr="004304BE">
          <w:rPr>
            <w:rStyle w:val="Hyperlink"/>
            <w:sz w:val="24"/>
            <w:lang w:val="sk-SK"/>
          </w:rPr>
          <w:t>http://data.europa.eu/eli/reg/2025/925/oj</w:t>
        </w:r>
      </w:hyperlink>
      <w:r w:rsidRPr="004304BE">
        <w:rPr>
          <w:sz w:val="24"/>
          <w:lang w:val="sk-SK"/>
        </w:rPr>
        <w:t>.</w:t>
      </w:r>
    </w:p>
  </w:footnote>
  <w:footnote w:id="8">
    <w:p w14:paraId="4438B1E8" w14:textId="62DDA1CC" w:rsidR="000E32C3" w:rsidRPr="004304BE" w:rsidRDefault="000E32C3" w:rsidP="004304BE">
      <w:pPr>
        <w:pStyle w:val="FootnoteText"/>
        <w:ind w:left="567" w:hanging="567"/>
        <w:rPr>
          <w:sz w:val="24"/>
          <w:lang w:val="sk-SK"/>
        </w:rPr>
      </w:pPr>
      <w:r w:rsidRPr="004304BE">
        <w:rPr>
          <w:rStyle w:val="FootnoteReference"/>
          <w:sz w:val="24"/>
          <w:lang w:val="sk-SK"/>
        </w:rPr>
        <w:footnoteRef/>
      </w:r>
      <w:r w:rsidR="004304BE" w:rsidRPr="004304BE">
        <w:rPr>
          <w:sz w:val="24"/>
          <w:lang w:val="sk-SK"/>
        </w:rPr>
        <w:t xml:space="preserve"> </w:t>
      </w:r>
      <w:r w:rsidR="004304BE" w:rsidRPr="004304BE">
        <w:rPr>
          <w:sz w:val="24"/>
          <w:lang w:val="sk-SK"/>
        </w:rPr>
        <w:tab/>
      </w:r>
      <w:r w:rsidRPr="004304BE">
        <w:rPr>
          <w:sz w:val="24"/>
          <w:lang w:val="sk-SK"/>
        </w:rPr>
        <w:t xml:space="preserve">Ú. v. </w:t>
      </w:r>
      <w:r w:rsidRPr="004304BE">
        <w:rPr>
          <w:sz w:val="24"/>
          <w:lang w:val="sk-SK"/>
        </w:rPr>
        <w:t>EÚ L 347, 20.12.20</w:t>
      </w:r>
      <w:r w:rsidR="0067290D">
        <w:rPr>
          <w:sz w:val="24"/>
          <w:lang w:val="sk-SK"/>
        </w:rPr>
        <w:t>13</w:t>
      </w:r>
      <w:r w:rsidRPr="004304BE">
        <w:rPr>
          <w:sz w:val="24"/>
          <w:lang w:val="sk-SK"/>
        </w:rPr>
        <w:t xml:space="preserve">, s. 487, ELI: </w:t>
      </w:r>
      <w:hyperlink r:id="rId8" w:history="1">
        <w:r w:rsidRPr="004304BE">
          <w:rPr>
            <w:rStyle w:val="Hyperlink"/>
            <w:sz w:val="24"/>
            <w:lang w:val="sk-SK"/>
          </w:rPr>
          <w:t>http://data.europa.eu/eli/reg/2013/1305/oj</w:t>
        </w:r>
      </w:hyperlink>
      <w:r w:rsidRPr="004304BE">
        <w:rPr>
          <w:sz w:val="24"/>
          <w:lang w:val="sk-SK"/>
        </w:rPr>
        <w:t>.</w:t>
      </w:r>
    </w:p>
  </w:footnote>
  <w:footnote w:id="9">
    <w:p w14:paraId="4E0DDFA8" w14:textId="53DC503B" w:rsidR="000E32C3" w:rsidRPr="004304BE" w:rsidRDefault="000E32C3" w:rsidP="004304BE">
      <w:pPr>
        <w:pStyle w:val="FootnoteText"/>
        <w:ind w:left="567" w:hanging="567"/>
        <w:rPr>
          <w:sz w:val="24"/>
          <w:lang w:val="sk-SK"/>
        </w:rPr>
      </w:pPr>
      <w:r w:rsidRPr="004304BE">
        <w:rPr>
          <w:rStyle w:val="FootnoteReference"/>
          <w:sz w:val="24"/>
          <w:lang w:val="sk-SK"/>
        </w:rPr>
        <w:footnoteRef/>
      </w:r>
      <w:r w:rsidR="004304BE" w:rsidRPr="004304BE">
        <w:rPr>
          <w:sz w:val="24"/>
          <w:lang w:val="sk-SK"/>
        </w:rPr>
        <w:t xml:space="preserve"> </w:t>
      </w:r>
      <w:r w:rsidR="004304BE" w:rsidRPr="004304BE">
        <w:rPr>
          <w:sz w:val="24"/>
          <w:lang w:val="sk-SK"/>
        </w:rPr>
        <w:tab/>
      </w:r>
      <w:r w:rsidRPr="004304BE">
        <w:rPr>
          <w:sz w:val="24"/>
          <w:lang w:val="sk-SK"/>
        </w:rPr>
        <w:t>Ú. v. EÚ L 74, 14.3.2014, s. </w:t>
      </w:r>
      <w:r w:rsidRPr="004304BE">
        <w:rPr>
          <w:sz w:val="24"/>
          <w:lang w:val="sk-SK"/>
        </w:rPr>
        <w:t xml:space="preserve">1, ELI: </w:t>
      </w:r>
      <w:hyperlink r:id="rId9" w:history="1">
        <w:r w:rsidRPr="004304BE">
          <w:rPr>
            <w:rStyle w:val="Hyperlink"/>
            <w:sz w:val="24"/>
            <w:lang w:val="sk-SK"/>
          </w:rPr>
          <w:t>http://data.europa.eu/eli/reg_del/2014/240/oj</w:t>
        </w:r>
      </w:hyperlink>
      <w:r w:rsidRPr="004304BE">
        <w:rPr>
          <w:sz w:val="24"/>
          <w:lang w:val="sk-SK"/>
        </w:rPr>
        <w:t>.</w:t>
      </w:r>
    </w:p>
  </w:footnote>
  <w:footnote w:id="10">
    <w:p w14:paraId="054A09B9" w14:textId="587A7569" w:rsidR="000E32C3" w:rsidRPr="004304BE" w:rsidRDefault="000E32C3" w:rsidP="004304BE">
      <w:pPr>
        <w:pStyle w:val="FootnoteText"/>
        <w:ind w:left="567" w:hanging="567"/>
        <w:rPr>
          <w:sz w:val="24"/>
          <w:lang w:val="sk-SK"/>
        </w:rPr>
      </w:pPr>
      <w:r w:rsidRPr="004304BE">
        <w:rPr>
          <w:rStyle w:val="FootnoteReference"/>
          <w:sz w:val="24"/>
          <w:lang w:val="sk-SK"/>
        </w:rPr>
        <w:footnoteRef/>
      </w:r>
      <w:r w:rsidR="004304BE" w:rsidRPr="004304BE">
        <w:rPr>
          <w:sz w:val="24"/>
          <w:lang w:val="sk-SK"/>
        </w:rPr>
        <w:t xml:space="preserve"> </w:t>
      </w:r>
      <w:r w:rsidR="004304BE" w:rsidRPr="004304BE">
        <w:rPr>
          <w:sz w:val="24"/>
          <w:lang w:val="sk-SK"/>
        </w:rPr>
        <w:tab/>
      </w:r>
      <w:r w:rsidRPr="004304BE">
        <w:rPr>
          <w:sz w:val="24"/>
          <w:lang w:val="sk-SK"/>
        </w:rPr>
        <w:t>Ú. v. </w:t>
      </w:r>
      <w:r w:rsidRPr="004304BE">
        <w:rPr>
          <w:sz w:val="24"/>
          <w:lang w:val="sk-SK"/>
        </w:rPr>
        <w:t xml:space="preserve">EÚ C, C/2024/5704, 17.10.2024, ELI: </w:t>
      </w:r>
      <w:hyperlink r:id="rId10" w:history="1">
        <w:r w:rsidRPr="004304BE">
          <w:rPr>
            <w:rStyle w:val="Hyperlink"/>
            <w:sz w:val="24"/>
            <w:lang w:val="sk-SK"/>
          </w:rPr>
          <w:t>http://data.europa.eu/eli/C/2024/5704/oj</w:t>
        </w:r>
      </w:hyperlink>
      <w:r w:rsidRPr="004304BE">
        <w:rPr>
          <w:sz w:val="24"/>
          <w:lang w:val="sk-SK"/>
        </w:rPr>
        <w:t>.</w:t>
      </w:r>
    </w:p>
  </w:footnote>
  <w:footnote w:id="11">
    <w:p w14:paraId="0463C1F2" w14:textId="6261235E" w:rsidR="000E32C3" w:rsidRPr="004304BE" w:rsidRDefault="000E32C3" w:rsidP="004304BE">
      <w:pPr>
        <w:pStyle w:val="FootnoteText"/>
        <w:ind w:left="567" w:hanging="567"/>
        <w:rPr>
          <w:sz w:val="24"/>
          <w:lang w:val="sk-SK"/>
        </w:rPr>
      </w:pPr>
      <w:r w:rsidRPr="004304BE">
        <w:rPr>
          <w:rStyle w:val="FootnoteReference"/>
          <w:sz w:val="24"/>
          <w:lang w:val="sk-SK"/>
        </w:rPr>
        <w:footnoteRef/>
      </w:r>
      <w:r w:rsidR="004304BE" w:rsidRPr="004304BE">
        <w:rPr>
          <w:sz w:val="24"/>
          <w:lang w:val="sk-SK"/>
        </w:rPr>
        <w:t xml:space="preserve"> </w:t>
      </w:r>
      <w:r w:rsidR="004304BE" w:rsidRPr="004304BE">
        <w:rPr>
          <w:sz w:val="24"/>
          <w:lang w:val="sk-SK"/>
        </w:rPr>
        <w:tab/>
      </w:r>
      <w:r w:rsidRPr="004304BE">
        <w:rPr>
          <w:sz w:val="24"/>
          <w:lang w:val="sk-SK"/>
        </w:rPr>
        <w:t>Ú. v. </w:t>
      </w:r>
      <w:r w:rsidRPr="004304BE">
        <w:rPr>
          <w:sz w:val="24"/>
          <w:lang w:val="sk-SK"/>
        </w:rPr>
        <w:t xml:space="preserve">EÚ C, C/2025/2018, 30.4.2025, ELI: </w:t>
      </w:r>
      <w:hyperlink r:id="rId11" w:history="1">
        <w:r w:rsidRPr="004304BE">
          <w:rPr>
            <w:rStyle w:val="Hyperlink"/>
            <w:sz w:val="24"/>
            <w:lang w:val="sk-SK"/>
          </w:rPr>
          <w:t>http://data.europa.eu/eli/C/2025/2018/oj</w:t>
        </w:r>
      </w:hyperlink>
      <w:r w:rsidRPr="004304BE">
        <w:rPr>
          <w:sz w:val="24"/>
          <w:lang w:val="sk-SK"/>
        </w:rPr>
        <w:t>.</w:t>
      </w:r>
    </w:p>
  </w:footnote>
  <w:footnote w:id="12">
    <w:p w14:paraId="02141C30" w14:textId="06F5798D" w:rsidR="000E32C3" w:rsidRPr="004304BE" w:rsidRDefault="000E32C3" w:rsidP="004304BE">
      <w:pPr>
        <w:pStyle w:val="FootnoteText"/>
        <w:ind w:left="567" w:hanging="567"/>
        <w:rPr>
          <w:sz w:val="24"/>
          <w:lang w:val="sk-SK"/>
        </w:rPr>
      </w:pPr>
      <w:r w:rsidRPr="004304BE">
        <w:rPr>
          <w:rStyle w:val="FootnoteReference"/>
          <w:sz w:val="24"/>
          <w:lang w:val="sk-SK"/>
        </w:rPr>
        <w:footnoteRef/>
      </w:r>
      <w:r w:rsidR="004304BE" w:rsidRPr="004304BE">
        <w:rPr>
          <w:sz w:val="24"/>
          <w:lang w:val="sk-SK"/>
        </w:rPr>
        <w:t xml:space="preserve"> </w:t>
      </w:r>
      <w:r w:rsidR="004304BE" w:rsidRPr="004304BE">
        <w:rPr>
          <w:sz w:val="24"/>
          <w:lang w:val="sk-SK"/>
        </w:rPr>
        <w:tab/>
      </w:r>
      <w:r w:rsidRPr="004304BE">
        <w:rPr>
          <w:sz w:val="24"/>
          <w:lang w:val="sk-SK"/>
        </w:rPr>
        <w:t xml:space="preserve">Ú. v. </w:t>
      </w:r>
      <w:r w:rsidRPr="004304BE">
        <w:rPr>
          <w:sz w:val="24"/>
          <w:lang w:val="sk-SK"/>
        </w:rPr>
        <w:t xml:space="preserve">EÚ C, C/2025/773, 11.2.2025, ELI: </w:t>
      </w:r>
      <w:hyperlink r:id="rId12" w:history="1">
        <w:r w:rsidRPr="004304BE">
          <w:rPr>
            <w:rStyle w:val="Hyperlink"/>
            <w:sz w:val="24"/>
            <w:lang w:val="sk-SK"/>
          </w:rPr>
          <w:t>http://data.europa.eu/eli/C/2025/773/oj</w:t>
        </w:r>
      </w:hyperlink>
      <w:r w:rsidRPr="004304BE">
        <w:rPr>
          <w:sz w:val="24"/>
          <w:lang w:val="sk-SK"/>
        </w:rPr>
        <w:t>.</w:t>
      </w:r>
    </w:p>
  </w:footnote>
  <w:footnote w:id="13">
    <w:p w14:paraId="588A048D" w14:textId="70271310" w:rsidR="000E32C3" w:rsidRPr="004304BE" w:rsidRDefault="000E32C3" w:rsidP="004304BE">
      <w:pPr>
        <w:pStyle w:val="FootnoteText"/>
        <w:ind w:left="567" w:hanging="567"/>
        <w:rPr>
          <w:sz w:val="24"/>
          <w:lang w:val="sk-SK"/>
        </w:rPr>
      </w:pPr>
      <w:r w:rsidRPr="004304BE">
        <w:rPr>
          <w:rStyle w:val="FootnoteReference"/>
          <w:sz w:val="24"/>
          <w:lang w:val="sk-SK"/>
        </w:rPr>
        <w:footnoteRef/>
      </w:r>
      <w:r w:rsidR="004304BE" w:rsidRPr="004304BE">
        <w:rPr>
          <w:sz w:val="24"/>
          <w:lang w:val="sk-SK"/>
        </w:rPr>
        <w:t xml:space="preserve"> </w:t>
      </w:r>
      <w:r w:rsidR="004304BE" w:rsidRPr="004304BE">
        <w:rPr>
          <w:sz w:val="24"/>
          <w:lang w:val="sk-SK"/>
        </w:rPr>
        <w:tab/>
      </w:r>
      <w:r w:rsidRPr="004304BE">
        <w:rPr>
          <w:sz w:val="24"/>
          <w:lang w:val="sk-SK"/>
        </w:rPr>
        <w:t>Nariadenie Komisie (EÚ) č. 651/2014 zo 17. júna 2014 o vyhlásení určitých kategórií pomoci za zlučiteľné s vnútorným trhom podľa článkov 107 a 108 zmluvy (Ú. v. EÚ L 187, 26.6.2014, s. </w:t>
      </w:r>
      <w:r w:rsidRPr="004304BE">
        <w:rPr>
          <w:sz w:val="24"/>
          <w:lang w:val="sk-SK"/>
        </w:rPr>
        <w:t xml:space="preserve">1, ELI: </w:t>
      </w:r>
      <w:hyperlink r:id="rId13" w:history="1">
        <w:r w:rsidRPr="004304BE">
          <w:rPr>
            <w:rStyle w:val="Hyperlink"/>
            <w:sz w:val="24"/>
            <w:lang w:val="sk-SK"/>
          </w:rPr>
          <w:t>http://data.europa.eu/eli/reg/2014/651/oj</w:t>
        </w:r>
      </w:hyperlink>
      <w:r w:rsidRPr="004304BE">
        <w:rPr>
          <w:sz w:val="24"/>
          <w:lang w:val="sk-SK"/>
        </w:rPr>
        <w:t>).</w:t>
      </w:r>
    </w:p>
  </w:footnote>
  <w:footnote w:id="14">
    <w:p w14:paraId="41DD6805" w14:textId="60F4C1B3" w:rsidR="000E32C3" w:rsidRPr="004304BE" w:rsidRDefault="000E32C3" w:rsidP="004304BE">
      <w:pPr>
        <w:pStyle w:val="FootnoteText"/>
        <w:ind w:left="567" w:hanging="567"/>
        <w:rPr>
          <w:sz w:val="24"/>
          <w:lang w:val="sk-SK"/>
        </w:rPr>
      </w:pPr>
      <w:r w:rsidRPr="004304BE">
        <w:rPr>
          <w:rStyle w:val="FootnoteReference"/>
          <w:sz w:val="24"/>
          <w:lang w:val="sk-SK"/>
        </w:rPr>
        <w:footnoteRef/>
      </w:r>
      <w:r w:rsidR="004304BE" w:rsidRPr="004304BE">
        <w:rPr>
          <w:sz w:val="24"/>
          <w:lang w:val="sk-SK"/>
        </w:rPr>
        <w:t xml:space="preserve"> </w:t>
      </w:r>
      <w:r w:rsidR="004304BE" w:rsidRPr="004304BE">
        <w:rPr>
          <w:sz w:val="24"/>
          <w:lang w:val="sk-SK"/>
        </w:rPr>
        <w:tab/>
      </w:r>
      <w:r w:rsidRPr="004304BE">
        <w:rPr>
          <w:sz w:val="24"/>
          <w:lang w:val="sk-SK"/>
        </w:rPr>
        <w:t xml:space="preserve">Nariadenie Európskeho parlamentu a Rady (EÚ, </w:t>
      </w:r>
      <w:proofErr w:type="spellStart"/>
      <w:r w:rsidRPr="004304BE">
        <w:rPr>
          <w:sz w:val="24"/>
          <w:lang w:val="sk-SK"/>
        </w:rPr>
        <w:t>Euratom</w:t>
      </w:r>
      <w:proofErr w:type="spellEnd"/>
      <w:r w:rsidRPr="004304BE">
        <w:rPr>
          <w:sz w:val="24"/>
          <w:lang w:val="sk-SK"/>
        </w:rPr>
        <w:t>) 2024/2509 z 23. septembra 2024 o rozpočtových pravidlách, ktoré sa vzťahujú na všeobecný rozpočet Únie (Ú. v. </w:t>
      </w:r>
      <w:r w:rsidRPr="004304BE">
        <w:rPr>
          <w:sz w:val="24"/>
          <w:lang w:val="sk-SK"/>
        </w:rPr>
        <w:t xml:space="preserve">EÚ L, 2024/2509, 26.9.2024, ELI: </w:t>
      </w:r>
      <w:hyperlink r:id="rId14" w:history="1">
        <w:r w:rsidRPr="004304BE">
          <w:rPr>
            <w:rStyle w:val="Hyperlink"/>
            <w:sz w:val="24"/>
            <w:lang w:val="sk-SK"/>
          </w:rPr>
          <w:t>http://data.europa.eu/eli/reg/2024/2509/oj</w:t>
        </w:r>
      </w:hyperlink>
      <w:r w:rsidRPr="004304BE">
        <w:rPr>
          <w:sz w:val="24"/>
          <w:lang w:val="sk-SK"/>
        </w:rPr>
        <w:t>).</w:t>
      </w:r>
    </w:p>
  </w:footnote>
  <w:footnote w:id="15">
    <w:p w14:paraId="65EC6DA4" w14:textId="261342AD" w:rsidR="000E32C3" w:rsidRPr="004304BE" w:rsidRDefault="000E32C3" w:rsidP="004304BE">
      <w:pPr>
        <w:pStyle w:val="FootnoteText"/>
        <w:ind w:left="567" w:hanging="567"/>
        <w:rPr>
          <w:sz w:val="24"/>
          <w:lang w:val="sk-SK"/>
        </w:rPr>
      </w:pPr>
      <w:r w:rsidRPr="004304BE">
        <w:rPr>
          <w:rStyle w:val="FootnoteReference"/>
          <w:sz w:val="24"/>
          <w:lang w:val="sk-SK"/>
        </w:rPr>
        <w:footnoteRef/>
      </w:r>
      <w:r w:rsidR="004304BE" w:rsidRPr="004304BE">
        <w:rPr>
          <w:sz w:val="24"/>
          <w:lang w:val="sk-SK"/>
        </w:rPr>
        <w:t xml:space="preserve"> </w:t>
      </w:r>
      <w:r w:rsidR="004304BE" w:rsidRPr="004304BE">
        <w:rPr>
          <w:sz w:val="24"/>
          <w:lang w:val="sk-SK"/>
        </w:rPr>
        <w:tab/>
      </w:r>
      <w:r w:rsidRPr="004304BE">
        <w:rPr>
          <w:sz w:val="24"/>
          <w:lang w:val="sk-SK"/>
        </w:rPr>
        <w:t>Ú. v. EÚ C 114, 29.3.2023, s. 5</w:t>
      </w:r>
      <w:r w:rsidR="0032247C">
        <w:rPr>
          <w:sz w:val="24"/>
          <w:lang w:val="sk-SK"/>
        </w:rPr>
        <w:t>,</w:t>
      </w:r>
      <w:r w:rsidRPr="004304BE">
        <w:rPr>
          <w:sz w:val="24"/>
          <w:lang w:val="sk-SK"/>
        </w:rPr>
        <w:t xml:space="preserve"> Ú. v. </w:t>
      </w:r>
      <w:r w:rsidRPr="004304BE">
        <w:rPr>
          <w:sz w:val="24"/>
          <w:lang w:val="sk-SK"/>
        </w:rPr>
        <w:t xml:space="preserve">EÚ C, C/2024/5471, 10.9.2024, ELI: </w:t>
      </w:r>
      <w:hyperlink r:id="rId15" w:history="1">
        <w:r w:rsidRPr="004304BE">
          <w:rPr>
            <w:rStyle w:val="Hyperlink"/>
            <w:sz w:val="24"/>
            <w:lang w:val="sk-SK"/>
          </w:rPr>
          <w:t>http://data.europa.eu/eli/C/2024/5471/oj</w:t>
        </w:r>
      </w:hyperlink>
      <w:r w:rsidR="0032247C">
        <w:rPr>
          <w:rStyle w:val="Hyperlink"/>
          <w:sz w:val="24"/>
          <w:lang w:val="sk-SK"/>
        </w:rPr>
        <w:t>,</w:t>
      </w:r>
      <w:r w:rsidRPr="004304BE">
        <w:rPr>
          <w:sz w:val="24"/>
          <w:lang w:val="sk-SK"/>
        </w:rPr>
        <w:t xml:space="preserve"> (body 53 – 56).</w:t>
      </w:r>
    </w:p>
  </w:footnote>
  <w:footnote w:id="16">
    <w:p w14:paraId="3A372703" w14:textId="468AF888" w:rsidR="000E32C3" w:rsidRPr="004304BE" w:rsidRDefault="000E32C3" w:rsidP="004304BE">
      <w:pPr>
        <w:pStyle w:val="FootnoteText"/>
        <w:ind w:left="567" w:hanging="567"/>
        <w:rPr>
          <w:sz w:val="24"/>
          <w:lang w:val="sk-SK"/>
        </w:rPr>
      </w:pPr>
      <w:r w:rsidRPr="004304BE">
        <w:rPr>
          <w:rStyle w:val="FootnoteReference"/>
          <w:sz w:val="24"/>
          <w:lang w:val="sk-SK"/>
        </w:rPr>
        <w:footnoteRef/>
      </w:r>
      <w:r w:rsidR="004304BE" w:rsidRPr="004304BE">
        <w:rPr>
          <w:sz w:val="24"/>
          <w:lang w:val="sk-SK"/>
        </w:rPr>
        <w:t xml:space="preserve"> </w:t>
      </w:r>
      <w:r w:rsidR="004304BE" w:rsidRPr="004304BE">
        <w:rPr>
          <w:sz w:val="24"/>
          <w:lang w:val="sk-SK"/>
        </w:rPr>
        <w:tab/>
      </w:r>
      <w:r w:rsidRPr="004304BE">
        <w:rPr>
          <w:sz w:val="24"/>
          <w:lang w:val="sk-SK"/>
        </w:rPr>
        <w:t>NUTS (nomenklatúra územných jednotiek pre štatistické účely) je klasifikačný systém EÚ na označovanie regiónov krajín na štatistické účely. „NUTS 2“ sa vzťahuje na základné regióny (pre regionálne politiky).</w:t>
      </w:r>
    </w:p>
  </w:footnote>
  <w:footnote w:id="17">
    <w:p w14:paraId="70E07049" w14:textId="1B3439E6" w:rsidR="000E32C3" w:rsidRPr="004304BE" w:rsidRDefault="000E32C3" w:rsidP="004304BE">
      <w:pPr>
        <w:ind w:left="567" w:hanging="567"/>
      </w:pPr>
      <w:r w:rsidRPr="004304BE">
        <w:rPr>
          <w:rStyle w:val="FootnoteReference"/>
        </w:rPr>
        <w:footnoteRef/>
      </w:r>
      <w:r w:rsidR="004304BE" w:rsidRPr="004304BE">
        <w:t xml:space="preserve"> </w:t>
      </w:r>
      <w:r w:rsidR="004304BE" w:rsidRPr="004304BE">
        <w:tab/>
      </w:r>
      <w:r w:rsidRPr="004304BE">
        <w:t xml:space="preserve">Nariadenie Európskeho parlamentu a Rady (EÚ, </w:t>
      </w:r>
      <w:proofErr w:type="spellStart"/>
      <w:r w:rsidRPr="004304BE">
        <w:t>Euratom</w:t>
      </w:r>
      <w:proofErr w:type="spellEnd"/>
      <w:r w:rsidRPr="004304BE">
        <w:t xml:space="preserve">) 2020/2092 zo 16. decembra 2020 o všeobecnom režime podmienenosti na ochranu rozpočtu Únie </w:t>
      </w:r>
      <w:r w:rsidR="0032247C">
        <w:t>(</w:t>
      </w:r>
      <w:r w:rsidRPr="004304BE">
        <w:t>Ú. v. EÚ L 433</w:t>
      </w:r>
      <w:r w:rsidR="0032247C">
        <w:t xml:space="preserve"> </w:t>
      </w:r>
      <w:r w:rsidRPr="004304BE">
        <w:t xml:space="preserve">I, 22.12.2020, s. 1, ELI: </w:t>
      </w:r>
      <w:hyperlink r:id="rId16" w:history="1">
        <w:r w:rsidRPr="004304BE">
          <w:rPr>
            <w:rStyle w:val="Hyperlink"/>
          </w:rPr>
          <w:t>http://data.europa.eu/eli/reg/2020/2092/oj</w:t>
        </w:r>
      </w:hyperlink>
      <w:r w:rsidRPr="004304BE">
        <w:t>).</w:t>
      </w:r>
    </w:p>
  </w:footnote>
  <w:footnote w:id="18">
    <w:p w14:paraId="6D408452" w14:textId="4BF1B60C" w:rsidR="000E32C3" w:rsidRPr="004304BE" w:rsidRDefault="000E32C3" w:rsidP="004304BE">
      <w:pPr>
        <w:pStyle w:val="FootnoteText"/>
        <w:ind w:left="567" w:hanging="567"/>
        <w:rPr>
          <w:sz w:val="24"/>
          <w:lang w:val="sk-SK"/>
        </w:rPr>
      </w:pPr>
      <w:r w:rsidRPr="004304BE">
        <w:rPr>
          <w:rStyle w:val="FootnoteReference"/>
          <w:sz w:val="24"/>
          <w:lang w:val="sk-SK"/>
        </w:rPr>
        <w:footnoteRef/>
      </w:r>
      <w:r w:rsidR="004304BE" w:rsidRPr="004304BE">
        <w:rPr>
          <w:sz w:val="24"/>
          <w:lang w:val="sk-SK"/>
        </w:rPr>
        <w:t xml:space="preserve"> </w:t>
      </w:r>
      <w:r w:rsidR="004304BE" w:rsidRPr="004304BE">
        <w:rPr>
          <w:sz w:val="24"/>
          <w:lang w:val="sk-SK"/>
        </w:rPr>
        <w:tab/>
      </w:r>
      <w:r w:rsidRPr="004304BE">
        <w:rPr>
          <w:sz w:val="24"/>
          <w:lang w:val="sk-SK"/>
        </w:rPr>
        <w:t>Smernica Európskeho parlamentu a Rady 2014/24/EÚ z 26. februára 2014 o verejnom obstarávaní a o zrušení smernice 2004/18/ES (Ú. v. EÚ L 94, 28.3.2014, s. </w:t>
      </w:r>
      <w:r w:rsidRPr="004304BE">
        <w:rPr>
          <w:sz w:val="24"/>
          <w:lang w:val="sk-SK"/>
        </w:rPr>
        <w:t xml:space="preserve">65, ELI: </w:t>
      </w:r>
      <w:hyperlink r:id="rId17" w:history="1">
        <w:r w:rsidRPr="004304BE">
          <w:rPr>
            <w:rStyle w:val="Hyperlink"/>
            <w:sz w:val="24"/>
            <w:lang w:val="sk-SK"/>
          </w:rPr>
          <w:t>http://data.europa.eu/eli/dir/2014/24/oj</w:t>
        </w:r>
      </w:hyperlink>
      <w:r w:rsidRPr="004304BE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33EB4" w14:textId="77777777" w:rsidR="00064002" w:rsidRPr="004304B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17016" w14:textId="77777777" w:rsidR="00064002" w:rsidRPr="004304B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ACFF0" w14:textId="77777777" w:rsidR="00064002" w:rsidRPr="004304B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71054741">
    <w:abstractNumId w:val="9"/>
  </w:num>
  <w:num w:numId="2" w16cid:durableId="868949828">
    <w:abstractNumId w:val="9"/>
  </w:num>
  <w:num w:numId="3" w16cid:durableId="241986355">
    <w:abstractNumId w:val="7"/>
  </w:num>
  <w:num w:numId="4" w16cid:durableId="1585610100">
    <w:abstractNumId w:val="7"/>
  </w:num>
  <w:num w:numId="5" w16cid:durableId="10769503">
    <w:abstractNumId w:val="6"/>
  </w:num>
  <w:num w:numId="6" w16cid:durableId="886064526">
    <w:abstractNumId w:val="6"/>
  </w:num>
  <w:num w:numId="7" w16cid:durableId="317458721">
    <w:abstractNumId w:val="5"/>
  </w:num>
  <w:num w:numId="8" w16cid:durableId="729302156">
    <w:abstractNumId w:val="5"/>
  </w:num>
  <w:num w:numId="9" w16cid:durableId="629213766">
    <w:abstractNumId w:val="4"/>
  </w:num>
  <w:num w:numId="10" w16cid:durableId="788741130">
    <w:abstractNumId w:val="4"/>
  </w:num>
  <w:num w:numId="11" w16cid:durableId="1768573158">
    <w:abstractNumId w:val="8"/>
  </w:num>
  <w:num w:numId="12" w16cid:durableId="1101140673">
    <w:abstractNumId w:val="8"/>
  </w:num>
  <w:num w:numId="13" w16cid:durableId="1192262029">
    <w:abstractNumId w:val="3"/>
  </w:num>
  <w:num w:numId="14" w16cid:durableId="358092397">
    <w:abstractNumId w:val="3"/>
  </w:num>
  <w:num w:numId="15" w16cid:durableId="715548397">
    <w:abstractNumId w:val="2"/>
  </w:num>
  <w:num w:numId="16" w16cid:durableId="1033001548">
    <w:abstractNumId w:val="2"/>
  </w:num>
  <w:num w:numId="17" w16cid:durableId="1261336107">
    <w:abstractNumId w:val="1"/>
  </w:num>
  <w:num w:numId="18" w16cid:durableId="1548683670">
    <w:abstractNumId w:val="1"/>
  </w:num>
  <w:num w:numId="19" w16cid:durableId="200096160">
    <w:abstractNumId w:val="0"/>
  </w:num>
  <w:num w:numId="20" w16cid:durableId="1955820916">
    <w:abstractNumId w:val="0"/>
  </w:num>
  <w:num w:numId="21" w16cid:durableId="1342393471">
    <w:abstractNumId w:val="9"/>
  </w:num>
  <w:num w:numId="22" w16cid:durableId="902911838">
    <w:abstractNumId w:val="7"/>
  </w:num>
  <w:num w:numId="23" w16cid:durableId="314065821">
    <w:abstractNumId w:val="6"/>
  </w:num>
  <w:num w:numId="24" w16cid:durableId="313609638">
    <w:abstractNumId w:val="5"/>
  </w:num>
  <w:num w:numId="25" w16cid:durableId="150603681">
    <w:abstractNumId w:val="4"/>
  </w:num>
  <w:num w:numId="26" w16cid:durableId="1622610719">
    <w:abstractNumId w:val="8"/>
  </w:num>
  <w:num w:numId="27" w16cid:durableId="570241417">
    <w:abstractNumId w:val="3"/>
  </w:num>
  <w:num w:numId="28" w16cid:durableId="1169254699">
    <w:abstractNumId w:val="2"/>
  </w:num>
  <w:num w:numId="29" w16cid:durableId="1942373478">
    <w:abstractNumId w:val="1"/>
  </w:num>
  <w:num w:numId="30" w16cid:durableId="486167174">
    <w:abstractNumId w:val="0"/>
  </w:num>
  <w:num w:numId="31" w16cid:durableId="1285968008">
    <w:abstractNumId w:val="9"/>
  </w:num>
  <w:num w:numId="32" w16cid:durableId="1201164002">
    <w:abstractNumId w:val="7"/>
  </w:num>
  <w:num w:numId="33" w16cid:durableId="1734961188">
    <w:abstractNumId w:val="6"/>
  </w:num>
  <w:num w:numId="34" w16cid:durableId="781075787">
    <w:abstractNumId w:val="5"/>
  </w:num>
  <w:num w:numId="35" w16cid:durableId="1016738262">
    <w:abstractNumId w:val="4"/>
  </w:num>
  <w:num w:numId="36" w16cid:durableId="1088043340">
    <w:abstractNumId w:val="8"/>
  </w:num>
  <w:num w:numId="37" w16cid:durableId="769667460">
    <w:abstractNumId w:val="3"/>
  </w:num>
  <w:num w:numId="38" w16cid:durableId="468669678">
    <w:abstractNumId w:val="2"/>
  </w:num>
  <w:num w:numId="39" w16cid:durableId="629408412">
    <w:abstractNumId w:val="1"/>
  </w:num>
  <w:num w:numId="40" w16cid:durableId="2078553448">
    <w:abstractNumId w:val="0"/>
  </w:num>
  <w:num w:numId="41" w16cid:durableId="1704087372">
    <w:abstractNumId w:val="10"/>
  </w:num>
  <w:num w:numId="42" w16cid:durableId="780999212">
    <w:abstractNumId w:val="10"/>
  </w:num>
  <w:num w:numId="43" w16cid:durableId="964458361">
    <w:abstractNumId w:val="10"/>
  </w:num>
  <w:num w:numId="44" w16cid:durableId="7885510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8/2025"/>
    <w:docVar w:name="dvlangue" w:val="SK"/>
    <w:docVar w:name="dvnumam" w:val="72"/>
    <w:docVar w:name="dvpe" w:val="769.947"/>
    <w:docVar w:name="dvrapporteur" w:val="Spravodajca: "/>
    <w:docVar w:name="dvtitre" w:val="Uznesenie Európskeho parlamentu z xx. septembra 2025 o možnostiach zjednodušenia kohéznych fondov(2024/2106(INI))"/>
  </w:docVars>
  <w:rsids>
    <w:rsidRoot w:val="00511AEF"/>
    <w:rsid w:val="00002272"/>
    <w:rsid w:val="00064002"/>
    <w:rsid w:val="000677B9"/>
    <w:rsid w:val="000831BA"/>
    <w:rsid w:val="000A42CC"/>
    <w:rsid w:val="000E32C3"/>
    <w:rsid w:val="000E7DD9"/>
    <w:rsid w:val="0010095E"/>
    <w:rsid w:val="00125B37"/>
    <w:rsid w:val="00187494"/>
    <w:rsid w:val="001F32AE"/>
    <w:rsid w:val="002767FF"/>
    <w:rsid w:val="002B18FE"/>
    <w:rsid w:val="002B5493"/>
    <w:rsid w:val="0032247C"/>
    <w:rsid w:val="0033263D"/>
    <w:rsid w:val="00343214"/>
    <w:rsid w:val="00361C00"/>
    <w:rsid w:val="00395FA1"/>
    <w:rsid w:val="003E15D4"/>
    <w:rsid w:val="00411CCE"/>
    <w:rsid w:val="0041666E"/>
    <w:rsid w:val="00421060"/>
    <w:rsid w:val="004304BE"/>
    <w:rsid w:val="00471C19"/>
    <w:rsid w:val="004867E3"/>
    <w:rsid w:val="00494A28"/>
    <w:rsid w:val="004C0004"/>
    <w:rsid w:val="004C5D52"/>
    <w:rsid w:val="0050519A"/>
    <w:rsid w:val="005072A1"/>
    <w:rsid w:val="00511AEF"/>
    <w:rsid w:val="00514517"/>
    <w:rsid w:val="00545827"/>
    <w:rsid w:val="00556066"/>
    <w:rsid w:val="00560270"/>
    <w:rsid w:val="005C2568"/>
    <w:rsid w:val="005C5529"/>
    <w:rsid w:val="005F1B17"/>
    <w:rsid w:val="005F7498"/>
    <w:rsid w:val="006037C0"/>
    <w:rsid w:val="006631B6"/>
    <w:rsid w:val="0067290D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178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19E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4083"/>
    <w:rsid w:val="00D058B8"/>
    <w:rsid w:val="00D358B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09B7"/>
    <w:rsid w:val="00F87713"/>
    <w:rsid w:val="00FB4360"/>
    <w:rsid w:val="00FD0C70"/>
    <w:rsid w:val="00FF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6D9C37"/>
  <w15:chartTrackingRefBased/>
  <w15:docId w15:val="{C0381B79-EF61-4392-9EC1-143872E6C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E32C3"/>
    <w:pPr>
      <w:spacing w:after="240"/>
      <w:ind w:left="567" w:hanging="567"/>
    </w:pPr>
  </w:style>
  <w:style w:type="paragraph" w:customStyle="1" w:styleId="EPComma">
    <w:name w:val="EPComma"/>
    <w:basedOn w:val="Normal"/>
    <w:rsid w:val="000E32C3"/>
    <w:pPr>
      <w:spacing w:before="480" w:after="240"/>
    </w:pPr>
  </w:style>
  <w:style w:type="character" w:styleId="Hyperlink">
    <w:name w:val="Hyperlink"/>
    <w:basedOn w:val="DefaultParagraphFont"/>
    <w:rsid w:val="000E32C3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0E32C3"/>
    <w:rPr>
      <w:sz w:val="24"/>
      <w:lang w:val="sk-SK"/>
    </w:rPr>
  </w:style>
  <w:style w:type="paragraph" w:styleId="Revision">
    <w:name w:val="Revision"/>
    <w:hidden/>
    <w:uiPriority w:val="99"/>
    <w:semiHidden/>
    <w:rsid w:val="0033263D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13/1305/oj" TargetMode="External"/><Relationship Id="rId13" Type="http://schemas.openxmlformats.org/officeDocument/2006/relationships/hyperlink" Target="http://data.europa.eu/eli/reg/2014/651/oj" TargetMode="External"/><Relationship Id="rId3" Type="http://schemas.openxmlformats.org/officeDocument/2006/relationships/hyperlink" Target="http://data.europa.eu/eli/reg/2021/1056/oj" TargetMode="External"/><Relationship Id="rId7" Type="http://schemas.openxmlformats.org/officeDocument/2006/relationships/hyperlink" Target="http://data.europa.eu/eli/reg/2025/925/oj" TargetMode="External"/><Relationship Id="rId12" Type="http://schemas.openxmlformats.org/officeDocument/2006/relationships/hyperlink" Target="http://data.europa.eu/eli/C/2025/773/oj" TargetMode="External"/><Relationship Id="rId17" Type="http://schemas.openxmlformats.org/officeDocument/2006/relationships/hyperlink" Target="http://data.europa.eu/eli/dir/2014/24/oj" TargetMode="External"/><Relationship Id="rId2" Type="http://schemas.openxmlformats.org/officeDocument/2006/relationships/hyperlink" Target="http://data.europa.eu/eli/reg/2021/1058/oj" TargetMode="External"/><Relationship Id="rId16" Type="http://schemas.openxmlformats.org/officeDocument/2006/relationships/hyperlink" Target="http://data.europa.eu/eli/reg/2020/2092/oj" TargetMode="External"/><Relationship Id="rId1" Type="http://schemas.openxmlformats.org/officeDocument/2006/relationships/hyperlink" Target="http://data.europa.eu/eli/reg/2021/1060/oj" TargetMode="External"/><Relationship Id="rId6" Type="http://schemas.openxmlformats.org/officeDocument/2006/relationships/hyperlink" Target="http://data.europa.eu/eli/reg/2020/460/oj" TargetMode="External"/><Relationship Id="rId11" Type="http://schemas.openxmlformats.org/officeDocument/2006/relationships/hyperlink" Target="http://data.europa.eu/eli/C/2025/2018/oj" TargetMode="External"/><Relationship Id="rId5" Type="http://schemas.openxmlformats.org/officeDocument/2006/relationships/hyperlink" Target="http://data.europa.eu/eli/reg/2021/1057/oj" TargetMode="External"/><Relationship Id="rId15" Type="http://schemas.openxmlformats.org/officeDocument/2006/relationships/hyperlink" Target="http://data.europa.eu/eli/C/2024/5471/oj" TargetMode="External"/><Relationship Id="rId10" Type="http://schemas.openxmlformats.org/officeDocument/2006/relationships/hyperlink" Target="http://data.europa.eu/eli/C/2024/5704/oj" TargetMode="External"/><Relationship Id="rId4" Type="http://schemas.openxmlformats.org/officeDocument/2006/relationships/hyperlink" Target="http://data.europa.eu/eli/reg/2021/1059/oj" TargetMode="External"/><Relationship Id="rId9" Type="http://schemas.openxmlformats.org/officeDocument/2006/relationships/hyperlink" Target="http://data.europa.eu/eli/reg_del/2014/240/oj" TargetMode="External"/><Relationship Id="rId14" Type="http://schemas.openxmlformats.org/officeDocument/2006/relationships/hyperlink" Target="https://eur-lex.europa.eu/eli/reg/2024/2509/oj?eliuri=eli%3Areg%3A2024%3A2509%3Aoj&amp;locale=sk%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5968</Words>
  <Characters>38856</Characters>
  <Application>Microsoft Office Word</Application>
  <DocSecurity>0</DocSecurity>
  <Lines>323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DINGA-SUPOVA Lucia</cp:lastModifiedBy>
  <cp:revision>2</cp:revision>
  <cp:lastPrinted>2004-11-19T15:42:00Z</cp:lastPrinted>
  <dcterms:created xsi:type="dcterms:W3CDTF">2025-10-17T08:01:00Z</dcterms:created>
  <dcterms:modified xsi:type="dcterms:W3CDTF">2025-10-17T08:01:00Z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A10-0138/2025</vt:lpwstr>
  </property>
  <property fmtid="{D5CDD505-2E9C-101B-9397-08002B2CF9AE}" pid="4" name="&lt;Type&gt;">
    <vt:lpwstr>RR</vt:lpwstr>
  </property>
</Properties>
</file>