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401F" w14:paraId="0763A61C" w14:textId="77777777" w:rsidTr="0010095E">
        <w:trPr>
          <w:trHeight w:hRule="exact" w:val="1418"/>
        </w:trPr>
        <w:tc>
          <w:tcPr>
            <w:tcW w:w="6804" w:type="dxa"/>
            <w:shd w:val="clear" w:color="auto" w:fill="auto"/>
            <w:vAlign w:val="center"/>
          </w:tcPr>
          <w:p w14:paraId="53B70552" w14:textId="77777777" w:rsidR="00751A4A" w:rsidRPr="006D401F" w:rsidRDefault="00D62CF4" w:rsidP="0010095E">
            <w:pPr>
              <w:pStyle w:val="EPName"/>
            </w:pPr>
            <w:r w:rsidRPr="006D401F">
              <w:t>Evropský parlament</w:t>
            </w:r>
          </w:p>
          <w:p w14:paraId="2F54094F" w14:textId="77777777" w:rsidR="00751A4A" w:rsidRPr="006D401F" w:rsidRDefault="005F1B17" w:rsidP="005F1B17">
            <w:pPr>
              <w:pStyle w:val="EPTerm"/>
              <w:rPr>
                <w:rStyle w:val="HideTWBExt"/>
                <w:noProof w:val="0"/>
                <w:vanish w:val="0"/>
                <w:color w:val="auto"/>
              </w:rPr>
            </w:pPr>
            <w:r w:rsidRPr="006D401F">
              <w:t>2024</w:t>
            </w:r>
            <w:r w:rsidR="00817416" w:rsidRPr="006D401F">
              <w:t>-202</w:t>
            </w:r>
            <w:r w:rsidRPr="006D401F">
              <w:t>9</w:t>
            </w:r>
          </w:p>
        </w:tc>
        <w:tc>
          <w:tcPr>
            <w:tcW w:w="2268" w:type="dxa"/>
            <w:shd w:val="clear" w:color="auto" w:fill="auto"/>
          </w:tcPr>
          <w:p w14:paraId="45F5F277" w14:textId="77777777" w:rsidR="00751A4A" w:rsidRPr="006D401F" w:rsidRDefault="00187494" w:rsidP="0010095E">
            <w:pPr>
              <w:pStyle w:val="EPLogo"/>
            </w:pPr>
            <w:r w:rsidRPr="006D401F">
              <w:rPr>
                <w:noProof/>
                <w:lang w:eastAsia="ja-JP"/>
              </w:rPr>
              <w:drawing>
                <wp:inline distT="0" distB="0" distL="0" distR="0" wp14:anchorId="1354201B" wp14:editId="1D605F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E842B6" w14:textId="77777777" w:rsidR="00D058B8" w:rsidRPr="006D401F" w:rsidRDefault="00D058B8" w:rsidP="004C5D52">
      <w:pPr>
        <w:pStyle w:val="LineTop"/>
      </w:pPr>
    </w:p>
    <w:p w14:paraId="2D53FEFC" w14:textId="77777777" w:rsidR="00680577" w:rsidRPr="006D401F" w:rsidRDefault="00D62CF4" w:rsidP="00680577">
      <w:pPr>
        <w:pStyle w:val="EPBodyTA1"/>
      </w:pPr>
      <w:r w:rsidRPr="006D401F">
        <w:t>PŘIJATÉ TEXTY</w:t>
      </w:r>
    </w:p>
    <w:p w14:paraId="0A69CC3D" w14:textId="77777777" w:rsidR="00D058B8" w:rsidRPr="006D401F" w:rsidRDefault="00D058B8" w:rsidP="00D058B8">
      <w:pPr>
        <w:pStyle w:val="LineBottom"/>
      </w:pPr>
    </w:p>
    <w:p w14:paraId="17CCE69A" w14:textId="4E6D6D2D" w:rsidR="00D62CF4" w:rsidRPr="006D401F" w:rsidRDefault="00D62CF4" w:rsidP="00D62CF4">
      <w:pPr>
        <w:pStyle w:val="ATHeading1"/>
      </w:pPr>
      <w:bookmarkStart w:id="0" w:name="TANumber"/>
      <w:r w:rsidRPr="006D401F">
        <w:t>P10_</w:t>
      </w:r>
      <w:proofErr w:type="gramStart"/>
      <w:r w:rsidRPr="006D401F">
        <w:t>TA(</w:t>
      </w:r>
      <w:proofErr w:type="gramEnd"/>
      <w:r w:rsidRPr="006D401F">
        <w:t>2025)0</w:t>
      </w:r>
      <w:bookmarkEnd w:id="0"/>
      <w:r w:rsidR="00041C39">
        <w:t>189</w:t>
      </w:r>
    </w:p>
    <w:p w14:paraId="2AB75C64" w14:textId="77777777" w:rsidR="00D62CF4" w:rsidRPr="006D401F" w:rsidRDefault="00D62CF4" w:rsidP="00D62CF4">
      <w:pPr>
        <w:pStyle w:val="ATHeading2"/>
      </w:pPr>
      <w:bookmarkStart w:id="1" w:name="title"/>
      <w:r w:rsidRPr="006D401F">
        <w:t>Budoucnost zemědělství a společná zemědělská politika po roce 2027</w:t>
      </w:r>
      <w:bookmarkEnd w:id="1"/>
    </w:p>
    <w:p w14:paraId="576035E1" w14:textId="77777777" w:rsidR="00D62CF4" w:rsidRPr="006D401F" w:rsidRDefault="00D62CF4" w:rsidP="00D62CF4">
      <w:pPr>
        <w:rPr>
          <w:i/>
          <w:vanish/>
        </w:rPr>
      </w:pPr>
      <w:r w:rsidRPr="006D401F">
        <w:rPr>
          <w:i/>
        </w:rPr>
        <w:fldChar w:fldCharType="begin"/>
      </w:r>
      <w:r w:rsidRPr="006D401F">
        <w:rPr>
          <w:i/>
        </w:rPr>
        <w:instrText xml:space="preserve"> TC"(</w:instrText>
      </w:r>
      <w:bookmarkStart w:id="2" w:name="DocNumber"/>
      <w:r w:rsidRPr="006D401F">
        <w:rPr>
          <w:i/>
        </w:rPr>
        <w:instrText>A10-0143/2025</w:instrText>
      </w:r>
      <w:bookmarkEnd w:id="2"/>
      <w:r w:rsidRPr="006D401F">
        <w:rPr>
          <w:i/>
        </w:rPr>
        <w:instrText xml:space="preserve"> - Zpravodajka: Carmen </w:instrText>
      </w:r>
      <w:proofErr w:type="spellStart"/>
      <w:r w:rsidRPr="006D401F">
        <w:rPr>
          <w:i/>
        </w:rPr>
        <w:instrText>Crespo</w:instrText>
      </w:r>
      <w:proofErr w:type="spellEnd"/>
      <w:r w:rsidRPr="006D401F">
        <w:rPr>
          <w:i/>
        </w:rPr>
        <w:instrText xml:space="preserve"> </w:instrText>
      </w:r>
      <w:proofErr w:type="spellStart"/>
      <w:r w:rsidRPr="006D401F">
        <w:rPr>
          <w:i/>
        </w:rPr>
        <w:instrText>Díaz</w:instrText>
      </w:r>
      <w:proofErr w:type="spellEnd"/>
      <w:r w:rsidRPr="006D401F">
        <w:rPr>
          <w:i/>
        </w:rPr>
        <w:instrText xml:space="preserve">)"\l3 \n&gt; \* MERGEFORMAT </w:instrText>
      </w:r>
      <w:r w:rsidRPr="006D401F">
        <w:rPr>
          <w:i/>
        </w:rPr>
        <w:fldChar w:fldCharType="end"/>
      </w:r>
    </w:p>
    <w:p w14:paraId="20FFD281" w14:textId="77777777" w:rsidR="00D62CF4" w:rsidRPr="006D401F" w:rsidRDefault="00D62CF4" w:rsidP="00D62CF4">
      <w:pPr>
        <w:rPr>
          <w:vanish/>
        </w:rPr>
      </w:pPr>
      <w:bookmarkStart w:id="3" w:name="Commission"/>
      <w:r w:rsidRPr="006D401F">
        <w:rPr>
          <w:vanish/>
        </w:rPr>
        <w:t>Výbor pro zemědělství a rozvoj venkova</w:t>
      </w:r>
      <w:bookmarkEnd w:id="3"/>
    </w:p>
    <w:p w14:paraId="113B6992" w14:textId="77777777" w:rsidR="00D62CF4" w:rsidRPr="006D401F" w:rsidRDefault="00D62CF4" w:rsidP="00D62CF4">
      <w:pPr>
        <w:rPr>
          <w:vanish/>
        </w:rPr>
      </w:pPr>
      <w:bookmarkStart w:id="4" w:name="PE"/>
      <w:r w:rsidRPr="006D401F">
        <w:rPr>
          <w:vanish/>
        </w:rPr>
        <w:t>PE770.187</w:t>
      </w:r>
      <w:bookmarkEnd w:id="4"/>
    </w:p>
    <w:p w14:paraId="2F4DBD30" w14:textId="251240F8" w:rsidR="00D62CF4" w:rsidRPr="006D401F" w:rsidRDefault="00D62CF4" w:rsidP="00D62CF4">
      <w:pPr>
        <w:pStyle w:val="ATHeading3"/>
      </w:pPr>
      <w:bookmarkStart w:id="5" w:name="Sujet"/>
      <w:r w:rsidRPr="006D401F">
        <w:t>Usnesení Evropského parlamentu ze dne</w:t>
      </w:r>
      <w:r w:rsidR="00FB1054">
        <w:t xml:space="preserve"> </w:t>
      </w:r>
      <w:r w:rsidR="00E61C9E">
        <w:t>10</w:t>
      </w:r>
      <w:r w:rsidR="00FB1054">
        <w:t>. září</w:t>
      </w:r>
      <w:r w:rsidRPr="006D401F">
        <w:t xml:space="preserve"> 2025 o budoucnosti zemědělství a společné zemědělské politice po roce 2027</w:t>
      </w:r>
      <w:bookmarkEnd w:id="5"/>
      <w:r w:rsidRPr="006D401F">
        <w:t xml:space="preserve"> </w:t>
      </w:r>
      <w:bookmarkStart w:id="6" w:name="References"/>
      <w:r w:rsidRPr="006D401F">
        <w:t>(2025/2052(INI))</w:t>
      </w:r>
      <w:bookmarkEnd w:id="6"/>
    </w:p>
    <w:p w14:paraId="71F738D5" w14:textId="77777777" w:rsidR="00A21F59" w:rsidRPr="006D401F" w:rsidRDefault="00A21F59" w:rsidP="00A21F59">
      <w:pPr>
        <w:pStyle w:val="EPComma"/>
      </w:pPr>
      <w:r w:rsidRPr="006D401F">
        <w:rPr>
          <w:rStyle w:val="Italic"/>
        </w:rPr>
        <w:t>Evropský parlament</w:t>
      </w:r>
      <w:r w:rsidRPr="006D401F">
        <w:t>,</w:t>
      </w:r>
    </w:p>
    <w:p w14:paraId="344C29BB" w14:textId="77777777" w:rsidR="00A21F59" w:rsidRPr="006D401F" w:rsidRDefault="00A21F59" w:rsidP="00A21F59">
      <w:pPr>
        <w:pStyle w:val="NormalHanging12a"/>
        <w:rPr>
          <w:szCs w:val="24"/>
        </w:rPr>
      </w:pPr>
      <w:r w:rsidRPr="006D401F">
        <w:t>–</w:t>
      </w:r>
      <w:r w:rsidRPr="006D401F">
        <w:tab/>
        <w:t>s ohledem na články 13, 38 a 39 Smlouvy o fungování Evropské unie (SFEU), kterými se stanoví společná zemědělská politika (SZP) a její cíle,</w:t>
      </w:r>
    </w:p>
    <w:p w14:paraId="68E9C991" w14:textId="77777777" w:rsidR="00A21F59" w:rsidRPr="006D401F" w:rsidRDefault="00A21F59" w:rsidP="00A21F59">
      <w:pPr>
        <w:pStyle w:val="NormalHanging12a"/>
      </w:pPr>
      <w:r w:rsidRPr="006D401F">
        <w:t>–</w:t>
      </w:r>
      <w:r w:rsidRPr="006D401F">
        <w:tab/>
        <w:t>s ohledem na články 40 a 42 SFEU, kterými se stanoví společná organizace zemědělských trhů a rozsah, v jakém se pravidla hospodářské soutěže vztahují na zemědělskou produkci a obchod se zemědělskými produkty,</w:t>
      </w:r>
    </w:p>
    <w:p w14:paraId="6BE6A953" w14:textId="77777777" w:rsidR="00A21F59" w:rsidRPr="006D401F" w:rsidRDefault="00A21F59" w:rsidP="00A21F59">
      <w:pPr>
        <w:pStyle w:val="NormalHanging12a"/>
      </w:pPr>
      <w:r w:rsidRPr="006D401F">
        <w:t>–</w:t>
      </w:r>
      <w:r w:rsidRPr="006D401F">
        <w:tab/>
        <w:t>s ohledem na článek 349 SFEU, jenž definuje status nejvzdálenějších regionů a stanoví podmínky pro uplatňování Smluv v těchto regionech,</w:t>
      </w:r>
    </w:p>
    <w:p w14:paraId="0AFAB357" w14:textId="77777777" w:rsidR="00A21F59" w:rsidRPr="006D401F" w:rsidRDefault="00A21F59" w:rsidP="00A21F59">
      <w:pPr>
        <w:pStyle w:val="NormalHanging12a"/>
      </w:pPr>
      <w:r w:rsidRPr="006D401F">
        <w:t>–</w:t>
      </w:r>
      <w:r w:rsidRPr="006D401F">
        <w:tab/>
        <w:t>s ohledem na sdělení Komise ze dne 19. února 2025 s názvem „Vize pro zemědělství a potraviny – Společné utváření atraktivního zemědělského a potravinářského odvětví EU pro budoucí generace“ (</w:t>
      </w:r>
      <w:proofErr w:type="gramStart"/>
      <w:r w:rsidRPr="006D401F">
        <w:t>COM(</w:t>
      </w:r>
      <w:proofErr w:type="gramEnd"/>
      <w:r w:rsidRPr="006D401F">
        <w:t>2025)0075),</w:t>
      </w:r>
    </w:p>
    <w:p w14:paraId="4EBED085" w14:textId="77777777" w:rsidR="00A21F59" w:rsidRPr="006D401F" w:rsidRDefault="00A21F59" w:rsidP="00A21F59">
      <w:pPr>
        <w:pStyle w:val="NormalHanging12a"/>
      </w:pPr>
      <w:r w:rsidRPr="006D401F">
        <w:t>–</w:t>
      </w:r>
      <w:r w:rsidRPr="006D401F">
        <w:tab/>
        <w:t>s ohledem na průzkum Eurobarometr z roku 2024 s názvem „Evropané, zemědělství a SZP“</w:t>
      </w:r>
      <w:r w:rsidRPr="006D401F">
        <w:rPr>
          <w:rStyle w:val="FootnoteReference"/>
        </w:rPr>
        <w:footnoteReference w:id="1"/>
      </w:r>
      <w:r w:rsidRPr="006D401F">
        <w:t>,</w:t>
      </w:r>
    </w:p>
    <w:p w14:paraId="095255D6" w14:textId="77777777" w:rsidR="00A21F59" w:rsidRPr="006D401F" w:rsidRDefault="00A21F59" w:rsidP="00A21F59">
      <w:pPr>
        <w:pStyle w:val="NormalHanging12a"/>
      </w:pPr>
      <w:r w:rsidRPr="006D401F">
        <w:t>–</w:t>
      </w:r>
      <w:r w:rsidRPr="006D401F">
        <w:tab/>
        <w:t>s ohledem na směrnici Rady 98/58/ES ze dne 20. července 1998 o ochraně zvířat chovaných pro hospodářské účely</w:t>
      </w:r>
      <w:r w:rsidRPr="006D401F">
        <w:rPr>
          <w:rStyle w:val="FootnoteReference"/>
        </w:rPr>
        <w:footnoteReference w:id="2"/>
      </w:r>
      <w:r w:rsidRPr="006D401F">
        <w:t>,</w:t>
      </w:r>
    </w:p>
    <w:p w14:paraId="36B3AC37" w14:textId="77777777" w:rsidR="00A21F59" w:rsidRPr="006D401F" w:rsidRDefault="00A21F59" w:rsidP="00A21F59">
      <w:pPr>
        <w:pStyle w:val="NormalHanging12a"/>
      </w:pPr>
      <w:r w:rsidRPr="006D401F">
        <w:t>–</w:t>
      </w:r>
      <w:r w:rsidRPr="006D401F">
        <w:tab/>
        <w:t>s ohledem na sdělení Komise ze dne 29. ledna 2025 nazvané „Kompas konkurenceschopnosti pro EU“ (</w:t>
      </w:r>
      <w:proofErr w:type="gramStart"/>
      <w:r w:rsidRPr="006D401F">
        <w:t>COM(</w:t>
      </w:r>
      <w:proofErr w:type="gramEnd"/>
      <w:r w:rsidRPr="006D401F">
        <w:t>2025)0030),</w:t>
      </w:r>
    </w:p>
    <w:p w14:paraId="25E279AC" w14:textId="77777777" w:rsidR="00A21F59" w:rsidRPr="006D401F" w:rsidRDefault="00A21F59" w:rsidP="00A21F59">
      <w:pPr>
        <w:pStyle w:val="NormalHanging12a"/>
        <w:rPr>
          <w:szCs w:val="24"/>
        </w:rPr>
      </w:pPr>
      <w:r w:rsidRPr="006D401F">
        <w:lastRenderedPageBreak/>
        <w:t>–</w:t>
      </w:r>
      <w:r w:rsidRPr="006D401F">
        <w:tab/>
        <w:t>s ohledem na své usnesení ze dne 15. prosince 2022 k navýšení víceletého finančního rámce na období 2021–2027: odolný rozpočet EU připravený na nové výzvy</w:t>
      </w:r>
      <w:r w:rsidRPr="006D401F">
        <w:rPr>
          <w:rStyle w:val="FootnoteReference"/>
        </w:rPr>
        <w:footnoteReference w:id="3"/>
      </w:r>
      <w:r w:rsidRPr="006D401F">
        <w:t>,</w:t>
      </w:r>
    </w:p>
    <w:p w14:paraId="7C627E18" w14:textId="77777777" w:rsidR="00A21F59" w:rsidRPr="006D401F" w:rsidRDefault="00A21F59" w:rsidP="00A21F59">
      <w:pPr>
        <w:pStyle w:val="NormalHanging12a"/>
      </w:pPr>
      <w:r w:rsidRPr="006D401F">
        <w:t>–</w:t>
      </w:r>
      <w:r w:rsidRPr="006D401F">
        <w:tab/>
        <w:t xml:space="preserve">s ohledem na zprávu Maria </w:t>
      </w:r>
      <w:proofErr w:type="spellStart"/>
      <w:r w:rsidRPr="006D401F">
        <w:t>Draghiho</w:t>
      </w:r>
      <w:proofErr w:type="spellEnd"/>
      <w:r w:rsidRPr="006D401F">
        <w:t xml:space="preserve"> ze dne 9. září 2024 nazvanou „Budoucnost evropské konkurenceschopnosti“,</w:t>
      </w:r>
    </w:p>
    <w:p w14:paraId="698C4AEA" w14:textId="77777777" w:rsidR="00A21F59" w:rsidRPr="006D401F" w:rsidRDefault="00A21F59" w:rsidP="00A21F59">
      <w:pPr>
        <w:pStyle w:val="NormalHanging12a"/>
      </w:pPr>
      <w:r w:rsidRPr="006D401F">
        <w:t>–</w:t>
      </w:r>
      <w:r w:rsidRPr="006D401F">
        <w:tab/>
        <w:t xml:space="preserve">s ohledem na zprávu </w:t>
      </w:r>
      <w:proofErr w:type="spellStart"/>
      <w:r w:rsidRPr="006D401F">
        <w:t>Sauliho</w:t>
      </w:r>
      <w:proofErr w:type="spellEnd"/>
      <w:r w:rsidRPr="006D401F">
        <w:t xml:space="preserve"> </w:t>
      </w:r>
      <w:proofErr w:type="spellStart"/>
      <w:r w:rsidRPr="006D401F">
        <w:t>Niinistöa</w:t>
      </w:r>
      <w:proofErr w:type="spellEnd"/>
      <w:r w:rsidRPr="006D401F">
        <w:t xml:space="preserve"> ze dne 30. října 2024 nazvanou „Společně bezpečnější – posílení civilní a vojenské připravenosti a pohotovosti Evropy“,</w:t>
      </w:r>
    </w:p>
    <w:p w14:paraId="4622D7F0" w14:textId="77777777" w:rsidR="00A21F59" w:rsidRPr="006D401F" w:rsidRDefault="00A21F59" w:rsidP="00A21F59">
      <w:pPr>
        <w:pStyle w:val="NormalHanging12a"/>
        <w:rPr>
          <w:szCs w:val="24"/>
        </w:rPr>
      </w:pPr>
      <w:r w:rsidRPr="006D401F">
        <w:t>–</w:t>
      </w:r>
      <w:r w:rsidRPr="006D401F">
        <w:tab/>
        <w:t xml:space="preserve">s ohledem na zprávu Enrica </w:t>
      </w:r>
      <w:proofErr w:type="spellStart"/>
      <w:r w:rsidRPr="006D401F">
        <w:t>Letty</w:t>
      </w:r>
      <w:proofErr w:type="spellEnd"/>
      <w:r w:rsidRPr="006D401F">
        <w:t xml:space="preserve"> z dubna 2024 s názvem „Více než trh – rychlost, bezpečnost, solidarita“,</w:t>
      </w:r>
    </w:p>
    <w:p w14:paraId="41C2DF5D" w14:textId="77777777" w:rsidR="00A21F59" w:rsidRPr="006D401F" w:rsidRDefault="00A21F59" w:rsidP="00A21F59">
      <w:pPr>
        <w:pStyle w:val="NormalHanging12a"/>
        <w:rPr>
          <w:szCs w:val="24"/>
        </w:rPr>
      </w:pPr>
      <w:r w:rsidRPr="006D401F">
        <w:t>–</w:t>
      </w:r>
      <w:r w:rsidRPr="006D401F">
        <w:tab/>
        <w:t>s ohledem na sdělení Komise ze dne 27. března 2024 nazvané „Tvorba budoucnosti s pomocí přírody: posílení biotechnologií a biovýroby v EU“ (</w:t>
      </w:r>
      <w:proofErr w:type="gramStart"/>
      <w:r w:rsidRPr="006D401F">
        <w:t>COM(</w:t>
      </w:r>
      <w:proofErr w:type="gramEnd"/>
      <w:r w:rsidRPr="006D401F">
        <w:t>2024)0137),</w:t>
      </w:r>
    </w:p>
    <w:p w14:paraId="6BFFD012" w14:textId="77777777" w:rsidR="00A21F59" w:rsidRPr="006D401F" w:rsidRDefault="00A21F59" w:rsidP="00A21F59">
      <w:pPr>
        <w:pStyle w:val="NormalHanging12a"/>
      </w:pPr>
      <w:r w:rsidRPr="006D401F">
        <w:t>–</w:t>
      </w:r>
      <w:r w:rsidRPr="006D401F">
        <w:tab/>
        <w:t>s ohledem na nařízení Evropského parlamentu a Rady (EU) 2024/1468 ze dne 14. května 2024, kterým se mění nařízení (EU) 2021/2115 a (EU) 2021/2116, pokud jde o standardy dobrého zemědělského a environmentálního stavu, schémata pro klima, životní prostředí a dobré životní podmínky zvířat, změnu strategických plánů SZP, přezkum strategických plánů SZP a osvobození od kontrol a sankcí</w:t>
      </w:r>
      <w:r w:rsidRPr="006D401F">
        <w:rPr>
          <w:rStyle w:val="FootnoteReference"/>
        </w:rPr>
        <w:footnoteReference w:id="4"/>
      </w:r>
      <w:r w:rsidRPr="006D401F">
        <w:t>,</w:t>
      </w:r>
    </w:p>
    <w:p w14:paraId="4FDE21D9" w14:textId="77777777" w:rsidR="00A21F59" w:rsidRPr="006D401F" w:rsidRDefault="00A21F59" w:rsidP="00A21F59">
      <w:pPr>
        <w:pStyle w:val="NormalHanging12a"/>
      </w:pPr>
      <w:r w:rsidRPr="006D401F">
        <w:t>–</w:t>
      </w:r>
      <w:r w:rsidRPr="006D401F">
        <w:tab/>
        <w:t>s ohledem na nařízení Evropského parlamentu a Rady (EU) 2021/2115 ze dne 2. prosince 2021, kterým se stanoví pravidla podpory pro strategické plány, jež mají být vypracovány členskými státy v rámci společné zemědělské politiky (strategické plány SZP) a financovány Evropským zemědělským záručním fondem (EZZF) a Evropským zemědělským fondem pro rozvoj venkova (EZFRV), a kterým se zrušují nařízení (EU) č. 1305/2013 a (EU) č. 1307/2013</w:t>
      </w:r>
      <w:r w:rsidRPr="006D401F">
        <w:rPr>
          <w:rStyle w:val="FootnoteReference"/>
        </w:rPr>
        <w:footnoteReference w:id="5"/>
      </w:r>
      <w:r w:rsidRPr="006D401F">
        <w:t>,</w:t>
      </w:r>
    </w:p>
    <w:p w14:paraId="17C55D79" w14:textId="77777777" w:rsidR="00A21F59" w:rsidRPr="006D401F" w:rsidRDefault="00A21F59" w:rsidP="00A21F59">
      <w:pPr>
        <w:pStyle w:val="NormalHanging12a"/>
      </w:pPr>
      <w:r w:rsidRPr="006D401F">
        <w:t>–</w:t>
      </w:r>
      <w:r w:rsidRPr="006D401F">
        <w:tab/>
        <w:t>s ohledem na nařízení Evropského parlamentu a Rady (EU) 2021/2117 ze dne 2. prosince 2021, kterým se mění nařízení (EU) č. 1308/2013, kterým se stanoví společná organizace trhů se zemědělskými produkty, nařízení (EU) č. 1151/2012 o režimech jakosti zemědělských produktů a potravin, nařízení (EU) č. 251/2014 o definici, popisu, obchodní úpravě, označování a ochraně zeměpisných označení aromatizovaných vinných výrobků a nařízení (EU) č. 228/2013, kterým se stanoví zvláštní opatření v oblasti zemědělství ve prospěch nejvzdálenějších regionů Unie</w:t>
      </w:r>
      <w:r w:rsidRPr="006D401F">
        <w:rPr>
          <w:rStyle w:val="FootnoteReference"/>
        </w:rPr>
        <w:footnoteReference w:id="6"/>
      </w:r>
      <w:r w:rsidRPr="006D401F">
        <w:t>,</w:t>
      </w:r>
    </w:p>
    <w:p w14:paraId="099FA40E" w14:textId="77777777" w:rsidR="00A21F59" w:rsidRPr="006D401F" w:rsidRDefault="00A21F59" w:rsidP="00A21F59">
      <w:pPr>
        <w:pStyle w:val="NormalHanging12a"/>
      </w:pPr>
      <w:r w:rsidRPr="006D401F">
        <w:lastRenderedPageBreak/>
        <w:t>–</w:t>
      </w:r>
      <w:r w:rsidRPr="006D401F">
        <w:tab/>
        <w:t>s ohledem na nařízení Evropského parlamentu a Rady (EU) č. 228/2013 ze dne 13. března 2013, kterým se stanoví zvláštní opatření v oblasti zemědělství ve prospěch nejvzdálenějších regionů Unie a zrušuje nařízení Rady (ES) č. 247/2006</w:t>
      </w:r>
      <w:r w:rsidRPr="006D401F">
        <w:rPr>
          <w:szCs w:val="24"/>
          <w:vertAlign w:val="superscript"/>
        </w:rPr>
        <w:footnoteReference w:id="7"/>
      </w:r>
      <w:r w:rsidRPr="006D401F">
        <w:t>,</w:t>
      </w:r>
    </w:p>
    <w:p w14:paraId="4C65704C" w14:textId="77777777" w:rsidR="00A21F59" w:rsidRPr="006D401F" w:rsidRDefault="00A21F59" w:rsidP="00A21F59">
      <w:pPr>
        <w:pStyle w:val="NormalHanging12a"/>
      </w:pPr>
      <w:r w:rsidRPr="006D401F">
        <w:t>–</w:t>
      </w:r>
      <w:r w:rsidRPr="006D401F">
        <w:tab/>
        <w:t>s ohledem na nařízení Evropského parlamentu a Rady (EU) 2021/2116 ze dne 2. prosince 2021 o financování, řízení a monitorování společné zemědělské politiky a zrušení nařízení (EU) č. 1306/2013</w:t>
      </w:r>
      <w:r w:rsidRPr="006D401F">
        <w:rPr>
          <w:rStyle w:val="FootnoteReference"/>
        </w:rPr>
        <w:footnoteReference w:id="8"/>
      </w:r>
      <w:r w:rsidRPr="006D401F">
        <w:t>,</w:t>
      </w:r>
    </w:p>
    <w:p w14:paraId="6A91EAD3" w14:textId="77777777" w:rsidR="00A21F59" w:rsidRPr="006D401F" w:rsidRDefault="00A21F59" w:rsidP="00A21F59">
      <w:pPr>
        <w:pStyle w:val="NormalHanging12a"/>
      </w:pPr>
      <w:r w:rsidRPr="006D401F">
        <w:t>–</w:t>
      </w:r>
      <w:r w:rsidRPr="006D401F">
        <w:tab/>
        <w:t>s ohledem na nařízení Evropského parlamentu a Rady (EU) 2024/1143 ze dne 11. dubna 2024 o zeměpisných označeních pro víno, lihoviny a zemědělské produkty, jakož i zaručené tradiční speciality, a o nepovinných údajích o jakosti pro zemědělské produkty, kterým se mění nařízení (EU) č. 1308/2013, (EU) 2019/787 a (EU) 2019/1753 a zrušuje nařízení (EU) č. 1151/2012</w:t>
      </w:r>
      <w:r w:rsidRPr="006D401F">
        <w:rPr>
          <w:rStyle w:val="FootnoteReference"/>
        </w:rPr>
        <w:footnoteReference w:id="9"/>
      </w:r>
      <w:r w:rsidRPr="006D401F">
        <w:t>,</w:t>
      </w:r>
    </w:p>
    <w:p w14:paraId="7AEA8AF9" w14:textId="77777777" w:rsidR="00A21F59" w:rsidRPr="006D401F" w:rsidRDefault="00A21F59" w:rsidP="00A21F59">
      <w:pPr>
        <w:pStyle w:val="NormalHanging12a"/>
        <w:rPr>
          <w:szCs w:val="24"/>
        </w:rPr>
      </w:pPr>
      <w:r w:rsidRPr="006D401F">
        <w:t>–</w:t>
      </w:r>
      <w:r w:rsidRPr="006D401F">
        <w:tab/>
        <w:t>s ohledem na evropskou občanskou iniciativu „Konec doby klecové“ a na své usnesení ze dne 10. června 2021 o této iniciativě</w:t>
      </w:r>
      <w:r w:rsidRPr="006D401F">
        <w:rPr>
          <w:rStyle w:val="FootnoteReference"/>
        </w:rPr>
        <w:footnoteReference w:id="10"/>
      </w:r>
      <w:r w:rsidRPr="006D401F">
        <w:t>,</w:t>
      </w:r>
    </w:p>
    <w:p w14:paraId="12E268FF" w14:textId="77777777" w:rsidR="00A21F59" w:rsidRPr="006D401F" w:rsidRDefault="00A21F59" w:rsidP="00A21F59">
      <w:pPr>
        <w:pStyle w:val="NormalHanging12a"/>
      </w:pPr>
      <w:r w:rsidRPr="006D401F">
        <w:t>–</w:t>
      </w:r>
      <w:r w:rsidRPr="006D401F">
        <w:tab/>
        <w:t>s ohledem na své usnesení ze dne 9. května 2023 o provádění projektu „Ovoce, zelenina, mléko a mléčné výrobky do škol“ podle nařízení o společné organizaci trhů</w:t>
      </w:r>
      <w:r w:rsidRPr="006D401F">
        <w:rPr>
          <w:rStyle w:val="FootnoteReference"/>
        </w:rPr>
        <w:footnoteReference w:id="11"/>
      </w:r>
      <w:r w:rsidRPr="006D401F">
        <w:t>,</w:t>
      </w:r>
    </w:p>
    <w:p w14:paraId="12E2BFE7" w14:textId="77777777" w:rsidR="00A21F59" w:rsidRPr="006D401F" w:rsidRDefault="00A21F59" w:rsidP="00A21F59">
      <w:pPr>
        <w:pStyle w:val="NormalHanging12a"/>
      </w:pPr>
      <w:r w:rsidRPr="006D401F">
        <w:t>–</w:t>
      </w:r>
      <w:r w:rsidRPr="006D401F">
        <w:tab/>
        <w:t>s ohledem na společné sdělení Komise a vysoké představitelky Unie pro zahraniční věci a bezpečnostní politiku ze dne 26. března 2025 nazvané „Evropská strategie unie připravenosti“ (</w:t>
      </w:r>
      <w:proofErr w:type="gramStart"/>
      <w:r w:rsidRPr="006D401F">
        <w:t>JOIN(</w:t>
      </w:r>
      <w:proofErr w:type="gramEnd"/>
      <w:r w:rsidRPr="006D401F">
        <w:t>2025)0130),</w:t>
      </w:r>
    </w:p>
    <w:p w14:paraId="1FE8BC6A" w14:textId="77777777" w:rsidR="00A21F59" w:rsidRPr="006D401F" w:rsidRDefault="00A21F59" w:rsidP="00A21F59">
      <w:pPr>
        <w:pStyle w:val="NormalHanging12a"/>
      </w:pPr>
      <w:r w:rsidRPr="006D401F">
        <w:t>–</w:t>
      </w:r>
      <w:r w:rsidRPr="006D401F">
        <w:tab/>
        <w:t>s ohledem na sdělení Komise ze dne 12. listopadu 2021 nazvané „Plán pro nepředvídané události pro zajištění dodávek potravin a potravinového zabezpečení v dobách krize“ (</w:t>
      </w:r>
      <w:proofErr w:type="gramStart"/>
      <w:r w:rsidRPr="006D401F">
        <w:t>COM(</w:t>
      </w:r>
      <w:proofErr w:type="gramEnd"/>
      <w:r w:rsidRPr="006D401F">
        <w:t>2021)0689),</w:t>
      </w:r>
    </w:p>
    <w:p w14:paraId="3E90EA87" w14:textId="77777777" w:rsidR="00A21F59" w:rsidRPr="006D401F" w:rsidRDefault="00A21F59" w:rsidP="00A21F59">
      <w:pPr>
        <w:pStyle w:val="NormalHanging12a"/>
        <w:rPr>
          <w:szCs w:val="24"/>
        </w:rPr>
      </w:pPr>
      <w:r w:rsidRPr="006D401F">
        <w:t>–</w:t>
      </w:r>
      <w:r w:rsidRPr="006D401F">
        <w:tab/>
        <w:t>s ohledem na rozhodnutí Komise ze dne 12. listopadu 2021, kterým se zřizuje skupina odborníků pro evropský mechanismus připravenosti a reakce na krize v oblasti potravinového zabezpečení</w:t>
      </w:r>
      <w:r w:rsidRPr="006D401F">
        <w:rPr>
          <w:rStyle w:val="FootnoteReference"/>
        </w:rPr>
        <w:footnoteReference w:id="12"/>
      </w:r>
      <w:r w:rsidRPr="006D401F">
        <w:t>,</w:t>
      </w:r>
    </w:p>
    <w:p w14:paraId="58820379" w14:textId="77777777" w:rsidR="00A21F59" w:rsidRPr="006D401F" w:rsidRDefault="00A21F59" w:rsidP="00A21F59">
      <w:pPr>
        <w:pStyle w:val="NormalHanging12a"/>
        <w:rPr>
          <w:szCs w:val="24"/>
        </w:rPr>
      </w:pPr>
      <w:r w:rsidRPr="006D401F">
        <w:t>–</w:t>
      </w:r>
      <w:r w:rsidRPr="006D401F">
        <w:tab/>
        <w:t>s ohledem na sdělení Komise ze dne 23. března 2022 nazvané „Zajištění potravinového zabezpečení a posílení odolnosti potravinových systémů“ (</w:t>
      </w:r>
      <w:proofErr w:type="gramStart"/>
      <w:r w:rsidRPr="006D401F">
        <w:t>COM(</w:t>
      </w:r>
      <w:proofErr w:type="gramEnd"/>
      <w:r w:rsidRPr="006D401F">
        <w:t>2022)0133),</w:t>
      </w:r>
    </w:p>
    <w:p w14:paraId="0ECC2F46" w14:textId="77777777" w:rsidR="00A21F59" w:rsidRPr="006D401F" w:rsidRDefault="00A21F59" w:rsidP="00A21F59">
      <w:pPr>
        <w:pStyle w:val="NormalHanging12a"/>
        <w:rPr>
          <w:szCs w:val="24"/>
        </w:rPr>
      </w:pPr>
      <w:r w:rsidRPr="006D401F">
        <w:lastRenderedPageBreak/>
        <w:t>–</w:t>
      </w:r>
      <w:r w:rsidRPr="006D401F">
        <w:tab/>
        <w:t>s ohledem na sdělení Komise ze dne 9. listopadu 2022 s názvem „Zajištění dostupnosti a cenové dostupnosti hnojiv“ (</w:t>
      </w:r>
      <w:proofErr w:type="gramStart"/>
      <w:r w:rsidRPr="006D401F">
        <w:t>COM(</w:t>
      </w:r>
      <w:proofErr w:type="gramEnd"/>
      <w:r w:rsidRPr="006D401F">
        <w:t>2022)0590),</w:t>
      </w:r>
    </w:p>
    <w:p w14:paraId="4A3E3CA3" w14:textId="77777777" w:rsidR="00A21F59" w:rsidRPr="006D401F" w:rsidRDefault="00A21F59" w:rsidP="00A21F59">
      <w:pPr>
        <w:pStyle w:val="NormalHanging12a"/>
        <w:rPr>
          <w:szCs w:val="24"/>
        </w:rPr>
      </w:pPr>
      <w:r w:rsidRPr="006D401F">
        <w:t>–</w:t>
      </w:r>
      <w:r w:rsidRPr="006D401F">
        <w:tab/>
        <w:t>s ohledem na zprávu Organizace OSN pro výživu a zemědělství z roku 2024 nazvanou „Stav potravinářství a zemědělství v roce 2024“</w:t>
      </w:r>
      <w:r w:rsidRPr="006D401F">
        <w:rPr>
          <w:vertAlign w:val="superscript"/>
        </w:rPr>
        <w:footnoteReference w:id="13"/>
      </w:r>
      <w:r w:rsidRPr="006D401F">
        <w:t>,</w:t>
      </w:r>
    </w:p>
    <w:p w14:paraId="50A9197F" w14:textId="77777777" w:rsidR="00A21F59" w:rsidRPr="006D401F" w:rsidRDefault="00A21F59" w:rsidP="00A21F59">
      <w:pPr>
        <w:pStyle w:val="NormalHanging12a"/>
      </w:pPr>
      <w:r w:rsidRPr="006D401F">
        <w:t>–</w:t>
      </w:r>
      <w:r w:rsidRPr="006D401F">
        <w:tab/>
        <w:t>s ohledem na své usnesení ze dne 19. října 2023 o generační obměně v zemědělských podnicích budoucnosti v EU</w:t>
      </w:r>
      <w:r w:rsidRPr="006D401F">
        <w:rPr>
          <w:rStyle w:val="FootnoteReference"/>
        </w:rPr>
        <w:footnoteReference w:id="14"/>
      </w:r>
      <w:r w:rsidRPr="006D401F">
        <w:t>,</w:t>
      </w:r>
    </w:p>
    <w:p w14:paraId="024406A4" w14:textId="77777777" w:rsidR="00A21F59" w:rsidRPr="006D401F" w:rsidRDefault="00A21F59" w:rsidP="00A21F59">
      <w:pPr>
        <w:pStyle w:val="NormalHanging12a"/>
      </w:pPr>
      <w:r w:rsidRPr="006D401F">
        <w:t>–</w:t>
      </w:r>
      <w:r w:rsidRPr="006D401F">
        <w:tab/>
        <w:t>s ohledem na své usnesení ze dne 13. prosince 2022 o tématu „dlouhodobá vize pro venkovské oblasti EU – na cestě k posílenému, propojenému, odolnému a prosperujícímu venkovu do roku 2040“</w:t>
      </w:r>
      <w:r w:rsidRPr="006D401F">
        <w:rPr>
          <w:rStyle w:val="FootnoteReference"/>
        </w:rPr>
        <w:footnoteReference w:id="15"/>
      </w:r>
      <w:r w:rsidRPr="006D401F">
        <w:t>,</w:t>
      </w:r>
    </w:p>
    <w:p w14:paraId="06BF6B78" w14:textId="77777777" w:rsidR="00A21F59" w:rsidRPr="006D401F" w:rsidRDefault="00A21F59" w:rsidP="00A21F59">
      <w:pPr>
        <w:pStyle w:val="NormalHanging12a"/>
        <w:rPr>
          <w:szCs w:val="24"/>
        </w:rPr>
      </w:pPr>
      <w:r w:rsidRPr="006D401F">
        <w:t>–</w:t>
      </w:r>
      <w:r w:rsidRPr="006D401F">
        <w:tab/>
        <w:t>s ohledem na sdělení Komise ze dne 3. května 2022 nazvané „Lidé na prvním místě, zajištění udržitelného růstu podporujícího začlenění, využívání potenciálu nejvzdálenějších regionů EU“ (</w:t>
      </w:r>
      <w:proofErr w:type="gramStart"/>
      <w:r w:rsidRPr="006D401F">
        <w:t>COM(</w:t>
      </w:r>
      <w:proofErr w:type="gramEnd"/>
      <w:r w:rsidRPr="006D401F">
        <w:t>2022)0198),</w:t>
      </w:r>
    </w:p>
    <w:p w14:paraId="788A7C50" w14:textId="77777777" w:rsidR="00A21F59" w:rsidRPr="006D401F" w:rsidRDefault="00A21F59" w:rsidP="00A21F59">
      <w:pPr>
        <w:pStyle w:val="NormalHanging12a"/>
        <w:rPr>
          <w:szCs w:val="24"/>
        </w:rPr>
      </w:pPr>
      <w:r w:rsidRPr="006D401F">
        <w:t>–</w:t>
      </w:r>
      <w:r w:rsidRPr="006D401F">
        <w:tab/>
        <w:t>s ohledem na stanovisko Evropského výboru regionů ze dne 19. února 2025 s názvem „Jak by díky zahrnutí metody LEADER a komunitně vedeného místního rozvoje do programů na období po roce 2027 bylo možné zlepšit provádění dlouhodobé vize pro venkovské oblasti EU“’</w:t>
      </w:r>
      <w:r w:rsidRPr="006D401F">
        <w:rPr>
          <w:rStyle w:val="FootnoteReference"/>
        </w:rPr>
        <w:footnoteReference w:id="16"/>
      </w:r>
      <w:r w:rsidRPr="006D401F">
        <w:t>,</w:t>
      </w:r>
    </w:p>
    <w:p w14:paraId="73CFEFDA" w14:textId="77777777" w:rsidR="00A21F59" w:rsidRPr="006D401F" w:rsidRDefault="00A21F59" w:rsidP="00A21F59">
      <w:pPr>
        <w:pStyle w:val="NormalHanging12a"/>
        <w:rPr>
          <w:szCs w:val="24"/>
        </w:rPr>
      </w:pPr>
      <w:r w:rsidRPr="006D401F">
        <w:t>–</w:t>
      </w:r>
      <w:r w:rsidRPr="006D401F">
        <w:tab/>
        <w:t>s ohledem na své usnesení ze dne 16. února 2023 o sdělení Komise o zajištění dostupnosti a cenové dostupnosti hnojiv</w:t>
      </w:r>
      <w:r w:rsidRPr="006D401F">
        <w:rPr>
          <w:rStyle w:val="FootnoteReference"/>
        </w:rPr>
        <w:footnoteReference w:id="17"/>
      </w:r>
      <w:r w:rsidRPr="006D401F">
        <w:t>,</w:t>
      </w:r>
    </w:p>
    <w:p w14:paraId="0B31775C" w14:textId="77777777" w:rsidR="00A21F59" w:rsidRPr="006D401F" w:rsidRDefault="00A21F59" w:rsidP="00A21F59">
      <w:pPr>
        <w:pStyle w:val="NormalHanging12a"/>
        <w:rPr>
          <w:szCs w:val="24"/>
        </w:rPr>
      </w:pPr>
      <w:r w:rsidRPr="006D401F">
        <w:t>–</w:t>
      </w:r>
      <w:r w:rsidRPr="006D401F">
        <w:tab/>
        <w:t>s ohledem na své usnesení ze dne 13. června 2023 o posouzení nového sdělení Komise o nejvzdálenějších regionech</w:t>
      </w:r>
      <w:r w:rsidRPr="006D401F">
        <w:rPr>
          <w:rStyle w:val="FootnoteReference"/>
        </w:rPr>
        <w:footnoteReference w:id="18"/>
      </w:r>
      <w:r w:rsidRPr="006D401F">
        <w:t>,</w:t>
      </w:r>
    </w:p>
    <w:p w14:paraId="03BCACF6" w14:textId="77777777" w:rsidR="00A21F59" w:rsidRPr="006D401F" w:rsidRDefault="00A21F59" w:rsidP="00A21F59">
      <w:pPr>
        <w:pStyle w:val="NormalHanging12a"/>
      </w:pPr>
      <w:r w:rsidRPr="006D401F">
        <w:t>–</w:t>
      </w:r>
      <w:r w:rsidRPr="006D401F">
        <w:tab/>
        <w:t>s ohledem na své usnesení ze dne 14. června 2023 s názvem „Zajištění potravinového zabezpečení a dlouhodobé odolnosti zemědělství v EU“</w:t>
      </w:r>
      <w:r w:rsidRPr="006D401F">
        <w:rPr>
          <w:rStyle w:val="FootnoteReference"/>
        </w:rPr>
        <w:footnoteReference w:id="19"/>
      </w:r>
      <w:r w:rsidRPr="006D401F">
        <w:t>,,</w:t>
      </w:r>
    </w:p>
    <w:p w14:paraId="7844171B" w14:textId="77777777" w:rsidR="00A21F59" w:rsidRPr="006D401F" w:rsidRDefault="00A21F59" w:rsidP="00A21F59">
      <w:pPr>
        <w:pStyle w:val="NormalHanging12a"/>
        <w:rPr>
          <w:szCs w:val="24"/>
        </w:rPr>
      </w:pPr>
      <w:r w:rsidRPr="006D401F">
        <w:t>–</w:t>
      </w:r>
      <w:r w:rsidRPr="006D401F">
        <w:tab/>
        <w:t>s ohledem na své usnesení ze dne 15. února 2017 o biologických pesticidech představujících nízké riziko</w:t>
      </w:r>
      <w:r w:rsidRPr="006D401F">
        <w:rPr>
          <w:rStyle w:val="FootnoteReference"/>
        </w:rPr>
        <w:footnoteReference w:id="20"/>
      </w:r>
      <w:r w:rsidRPr="006D401F">
        <w:t>,</w:t>
      </w:r>
    </w:p>
    <w:p w14:paraId="67375A6C" w14:textId="77777777" w:rsidR="00A21F59" w:rsidRPr="006D401F" w:rsidRDefault="00A21F59" w:rsidP="00A21F59">
      <w:pPr>
        <w:pStyle w:val="NormalHanging12a"/>
      </w:pPr>
      <w:r w:rsidRPr="006D401F">
        <w:t>–</w:t>
      </w:r>
      <w:r w:rsidRPr="006D401F">
        <w:tab/>
        <w:t>s ohledem na zprávu strategického dialogu o budoucnosti zemědělství v EU ze dne 4. září 2024 nazvanou „Společná perspektiva zemědělství a potravinářství v Evropě“,</w:t>
      </w:r>
    </w:p>
    <w:p w14:paraId="5194C590" w14:textId="77777777" w:rsidR="00A21F59" w:rsidRPr="006D401F" w:rsidRDefault="00A21F59" w:rsidP="00A21F59">
      <w:pPr>
        <w:pStyle w:val="NormalHanging12a"/>
      </w:pPr>
      <w:r w:rsidRPr="006D401F">
        <w:lastRenderedPageBreak/>
        <w:t>–</w:t>
      </w:r>
      <w:r w:rsidRPr="006D401F">
        <w:tab/>
        <w:t>s ohledem na stanovisko Evropského výboru regionů ze dne 19. června 2024 nazvané „Budoucnost společné zemědělské politiky“</w:t>
      </w:r>
      <w:r w:rsidRPr="006D401F">
        <w:rPr>
          <w:rStyle w:val="FootnoteReference"/>
        </w:rPr>
        <w:footnoteReference w:id="21"/>
      </w:r>
      <w:r w:rsidRPr="006D401F">
        <w:t>,</w:t>
      </w:r>
    </w:p>
    <w:p w14:paraId="536C0778" w14:textId="77777777" w:rsidR="00A21F59" w:rsidRPr="006D401F" w:rsidRDefault="00A21F59" w:rsidP="00A21F59">
      <w:pPr>
        <w:pStyle w:val="NormalHanging12a"/>
      </w:pPr>
      <w:r w:rsidRPr="006D401F">
        <w:t>–</w:t>
      </w:r>
      <w:r w:rsidRPr="006D401F">
        <w:tab/>
        <w:t>s ohledem na stanovisko Evropského hospodářského a sociálního výboru ze dne 17. ledna 2024 nazvané „Podpora vlastní a udržitelné produkce potravin: strategie pro společnou zemědělskou politiku po roce 2027“</w:t>
      </w:r>
      <w:r w:rsidRPr="006D401F">
        <w:rPr>
          <w:rStyle w:val="FootnoteReference"/>
        </w:rPr>
        <w:footnoteReference w:id="22"/>
      </w:r>
      <w:r w:rsidRPr="006D401F">
        <w:t xml:space="preserve">, </w:t>
      </w:r>
    </w:p>
    <w:p w14:paraId="72675E7B" w14:textId="77777777" w:rsidR="00A21F59" w:rsidRPr="006D401F" w:rsidRDefault="00A21F59" w:rsidP="00A21F59">
      <w:pPr>
        <w:pStyle w:val="NormalHanging12a"/>
      </w:pPr>
      <w:r w:rsidRPr="006D401F">
        <w:t>–</w:t>
      </w:r>
      <w:r w:rsidRPr="006D401F">
        <w:tab/>
        <w:t>s ohledem na závěry studie Komise na podporu hodnocení režimů podpory EU pro zemědělství v nejvzdálenějších regionech (POSEI) z roku 2024, které potvrzují účinnost a význam tohoto programu pro zabezpečení potravin, územní, sociální a hospodářskou soudržnost a pro zachování zemědělské činnosti ve zvláště zranitelných ostrovních a nejvzdálenějších regionech</w:t>
      </w:r>
      <w:r w:rsidRPr="006D401F">
        <w:rPr>
          <w:rStyle w:val="FootnoteReference"/>
        </w:rPr>
        <w:footnoteReference w:id="23"/>
      </w:r>
      <w:r w:rsidRPr="006D401F">
        <w:t>,</w:t>
      </w:r>
    </w:p>
    <w:p w14:paraId="02A0975D" w14:textId="77777777" w:rsidR="00A21F59" w:rsidRPr="006D401F" w:rsidRDefault="00A21F59" w:rsidP="00A21F59">
      <w:pPr>
        <w:pStyle w:val="NormalHanging12a"/>
      </w:pPr>
      <w:r w:rsidRPr="006D401F">
        <w:t>–</w:t>
      </w:r>
      <w:r w:rsidRPr="006D401F">
        <w:tab/>
        <w:t>s ohledem na zprávu Evropského výboru regionů ze dne 7. října 2024 nazvanou „Stav regionů a měst v Evropské unii“,</w:t>
      </w:r>
    </w:p>
    <w:p w14:paraId="65DB75DE" w14:textId="77777777" w:rsidR="00A21F59" w:rsidRPr="006D401F" w:rsidRDefault="00A21F59" w:rsidP="00A21F59">
      <w:pPr>
        <w:pStyle w:val="NormalHanging12a"/>
        <w:rPr>
          <w:szCs w:val="24"/>
        </w:rPr>
      </w:pPr>
      <w:r w:rsidRPr="006D401F">
        <w:t>–</w:t>
      </w:r>
      <w:r w:rsidRPr="006D401F">
        <w:tab/>
        <w:t>s ohledem na prohlášení koordinační skupiny Paktu pro venkov ze dne 18. prosince 2024 o budoucnosti venkovských oblastí a politiky rozvoje venkova v Evropské unii,</w:t>
      </w:r>
    </w:p>
    <w:p w14:paraId="2F45B080" w14:textId="77777777" w:rsidR="00A21F59" w:rsidRPr="006D401F" w:rsidRDefault="00A21F59" w:rsidP="00A21F59">
      <w:pPr>
        <w:pStyle w:val="NormalHanging12a"/>
        <w:rPr>
          <w:szCs w:val="24"/>
        </w:rPr>
      </w:pPr>
      <w:r w:rsidRPr="006D401F">
        <w:t>–</w:t>
      </w:r>
      <w:r w:rsidRPr="006D401F">
        <w:tab/>
        <w:t>s ohledem na analýzu Evropské centrální banky z června 2025 týkající se zvýšení výrobních nákladů, ztráty reálné hodnoty a makroekonomických projekcí Evropské centrální banky ve vztahu k míře inflace zaznamenané v eurozóně</w:t>
      </w:r>
      <w:r w:rsidRPr="006D401F">
        <w:rPr>
          <w:rStyle w:val="FootnoteReference"/>
        </w:rPr>
        <w:footnoteReference w:id="24"/>
      </w:r>
      <w:r w:rsidRPr="006D401F">
        <w:t>,</w:t>
      </w:r>
    </w:p>
    <w:p w14:paraId="1F90E9BB" w14:textId="77777777" w:rsidR="00A21F59" w:rsidRPr="006D401F" w:rsidRDefault="00A21F59" w:rsidP="00A21F59">
      <w:pPr>
        <w:pStyle w:val="NormalHanging12a"/>
      </w:pPr>
      <w:r w:rsidRPr="006D401F">
        <w:t>–</w:t>
      </w:r>
      <w:r w:rsidRPr="006D401F">
        <w:tab/>
        <w:t>s ohledem na stanovisko Výboru pro životní prostředí, klima a bezpečnost potravin,</w:t>
      </w:r>
    </w:p>
    <w:p w14:paraId="15636C80" w14:textId="77777777" w:rsidR="00A21F59" w:rsidRPr="006D401F" w:rsidRDefault="00A21F59" w:rsidP="00A21F59">
      <w:pPr>
        <w:pStyle w:val="NormalHanging12a"/>
      </w:pPr>
      <w:r w:rsidRPr="006D401F">
        <w:t>–</w:t>
      </w:r>
      <w:r w:rsidRPr="006D401F">
        <w:tab/>
        <w:t>s ohledem na článek 55 jednacího řádu,</w:t>
      </w:r>
    </w:p>
    <w:p w14:paraId="22461B81" w14:textId="77777777" w:rsidR="00A21F59" w:rsidRPr="006D401F" w:rsidRDefault="00A21F59" w:rsidP="00A21F59">
      <w:pPr>
        <w:pStyle w:val="NormalHanging12a"/>
      </w:pPr>
      <w:r w:rsidRPr="006D401F">
        <w:t>–</w:t>
      </w:r>
      <w:r w:rsidRPr="006D401F">
        <w:tab/>
        <w:t>s ohledem na zprávu Výboru pro zemědělství a rozvoj venkova (A10-0143/2025),</w:t>
      </w:r>
    </w:p>
    <w:p w14:paraId="7699F5C2" w14:textId="77777777" w:rsidR="00A21F59" w:rsidRPr="006D401F" w:rsidRDefault="00A21F59" w:rsidP="00A21F59">
      <w:pPr>
        <w:pStyle w:val="NormalHanging12a"/>
      </w:pPr>
      <w:r w:rsidRPr="006D401F">
        <w:t>A.</w:t>
      </w:r>
      <w:r w:rsidRPr="006D401F">
        <w:tab/>
        <w:t>vzhledem k tomu, že společná zemědělská politika (SZP) je základní a dobře zavedenou politikou EU, která plní v současném nejistém geopolitickém kontextu strategicky důležitou úlohu a je klíčovou součástí potravinového zabezpečení, obrany a strategické autonomie EU;</w:t>
      </w:r>
    </w:p>
    <w:p w14:paraId="0B7601C6" w14:textId="77777777" w:rsidR="00A21F59" w:rsidRPr="006D401F" w:rsidRDefault="00A21F59" w:rsidP="00A21F59">
      <w:pPr>
        <w:spacing w:after="240"/>
        <w:ind w:left="567" w:hanging="567"/>
        <w:rPr>
          <w:rFonts w:eastAsia="Calibri"/>
          <w:color w:val="000000"/>
          <w:kern w:val="2"/>
        </w:rPr>
      </w:pPr>
      <w:r w:rsidRPr="006D401F">
        <w:t>B.</w:t>
      </w:r>
      <w:r w:rsidRPr="006D401F">
        <w:tab/>
        <w:t xml:space="preserve">vzhledem k tomu, že cíle SZP se musí i nadále zakládat na zajištění vyšší zemědělské </w:t>
      </w:r>
      <w:r w:rsidRPr="006D401F">
        <w:lastRenderedPageBreak/>
        <w:t>produkce a produktivity a musí přispívat k přiměřené životní úrovni zemědělského obyvatelstva zvyšováním příjmů, podporovat stabilitu, udržitelnost a konkurenceschopnost odvětví zemědělství a lesnictví EU a přispívat k rozvoji venkova;</w:t>
      </w:r>
      <w:r w:rsidRPr="006D401F">
        <w:rPr>
          <w:color w:val="000000"/>
        </w:rPr>
        <w:t xml:space="preserve"> </w:t>
      </w:r>
      <w:r w:rsidRPr="006D401F">
        <w:t>vzhledem k tomu, že je třeba zohlednit zvláštní charakteristiky zemědělství, zejména s ohledem na výzvy, krize a scénáře konfliktů související s klimatem; vzhledem k tomu, že SZP přispívá k produkci potravin a posiluje její odolnost, pokud jde o množství, kvalitu a cenovou dostupnost pro spotřebitele, jakož i produkci surovin pro různá využití související s biohospodářstvím;</w:t>
      </w:r>
    </w:p>
    <w:p w14:paraId="492ECACB" w14:textId="77777777" w:rsidR="00A21F59" w:rsidRPr="006D401F" w:rsidRDefault="00A21F59" w:rsidP="00A21F59">
      <w:pPr>
        <w:snapToGrid w:val="0"/>
        <w:ind w:left="567" w:hanging="567"/>
        <w:rPr>
          <w:bCs/>
          <w:iCs/>
          <w:kern w:val="2"/>
        </w:rPr>
      </w:pPr>
      <w:r w:rsidRPr="006D401F">
        <w:rPr>
          <w:color w:val="000000"/>
        </w:rPr>
        <w:t>C.</w:t>
      </w:r>
      <w:r w:rsidRPr="006D401F">
        <w:rPr>
          <w:color w:val="000000"/>
        </w:rPr>
        <w:tab/>
      </w:r>
      <w:r w:rsidRPr="006D401F">
        <w:t>vzhledem k tomu, že v souladu s Evropskou strategií unie připravenosti je třeba zařadit zemědělství do čela hospodářské a politické agendy a uznat jeho úlohu jakožto klíčové složky bezpečnostní a obranné politiky EU;</w:t>
      </w:r>
      <w:r w:rsidRPr="006D401F">
        <w:rPr>
          <w:color w:val="000000"/>
        </w:rPr>
        <w:t xml:space="preserve"> </w:t>
      </w:r>
      <w:r w:rsidRPr="006D401F">
        <w:t>vzhledem k tomu, že produktivní zemědělská půda má proto strategický význam a spolu s kvalitou půdy, vody, ovzduší a biologické rozmanitosti je klíčovým faktorem zemědělské produkce, který je nutné chránit;</w:t>
      </w:r>
    </w:p>
    <w:p w14:paraId="23269AA0" w14:textId="77777777" w:rsidR="00A21F59" w:rsidRPr="006D401F" w:rsidRDefault="00A21F59" w:rsidP="00A21F59">
      <w:pPr>
        <w:snapToGrid w:val="0"/>
        <w:ind w:left="567" w:hanging="567"/>
        <w:rPr>
          <w:rFonts w:eastAsia="Aptos"/>
          <w:kern w:val="2"/>
        </w:rPr>
      </w:pPr>
    </w:p>
    <w:p w14:paraId="1B06AD8A" w14:textId="77777777" w:rsidR="00A21F59" w:rsidRPr="006D401F" w:rsidRDefault="00A21F59" w:rsidP="00A21F59">
      <w:pPr>
        <w:pStyle w:val="NormalHanging12a"/>
        <w:rPr>
          <w:szCs w:val="24"/>
        </w:rPr>
      </w:pPr>
      <w:r w:rsidRPr="006D401F">
        <w:t>D.</w:t>
      </w:r>
      <w:r w:rsidRPr="006D401F">
        <w:tab/>
        <w:t>vzhledem k tomu, že dne 14. ledna 2025 vydalo více než 150 laureátů Nobelovy ceny a Světové potravinové ceny otevřený dopis, v němž vyzvali světové lídry, aby urychleně za prioritu stanovili zemědělský výzkum, a bylo tak možné uspokojit potravinové potřeby předpokládaného počtu obyvatel, který má do roku 2050 činit 9,7 miliardy lidí</w:t>
      </w:r>
      <w:r w:rsidRPr="006D401F">
        <w:rPr>
          <w:vertAlign w:val="superscript"/>
        </w:rPr>
        <w:footnoteReference w:id="25"/>
      </w:r>
      <w:r w:rsidRPr="006D401F">
        <w:t>;</w:t>
      </w:r>
    </w:p>
    <w:p w14:paraId="6A3C508F" w14:textId="77777777" w:rsidR="00A21F59" w:rsidRPr="006D401F" w:rsidRDefault="00A21F59" w:rsidP="00A21F59">
      <w:pPr>
        <w:pStyle w:val="NormalHanging12a"/>
        <w:rPr>
          <w:szCs w:val="24"/>
        </w:rPr>
      </w:pPr>
      <w:r w:rsidRPr="006D401F">
        <w:t>E.</w:t>
      </w:r>
      <w:r w:rsidRPr="006D401F">
        <w:tab/>
        <w:t>vzhledem k tomu, že nezmění-li se stávající politický rámec, předpokládá se, že dojde k poklesu zemědělské produkce Evropské unie</w:t>
      </w:r>
      <w:r w:rsidRPr="006D401F">
        <w:rPr>
          <w:vertAlign w:val="superscript"/>
        </w:rPr>
        <w:footnoteReference w:id="26"/>
      </w:r>
      <w:r w:rsidRPr="006D401F">
        <w:t xml:space="preserve">, čímž se </w:t>
      </w:r>
      <w:proofErr w:type="gramStart"/>
      <w:r w:rsidRPr="006D401F">
        <w:t>zvýší</w:t>
      </w:r>
      <w:proofErr w:type="gramEnd"/>
      <w:r w:rsidRPr="006D401F">
        <w:t xml:space="preserve"> riziko nedostatku potravin a potravinové chudoby v EU a přispěje k celosvětovému nedostatku potravin, a EU tak dobrovolně zanedbá svůj agronomický potenciál;</w:t>
      </w:r>
    </w:p>
    <w:p w14:paraId="26EB7E74" w14:textId="77777777" w:rsidR="00A21F59" w:rsidRPr="006D401F" w:rsidRDefault="00A21F59" w:rsidP="00A21F59">
      <w:pPr>
        <w:pStyle w:val="NormalHanging12a"/>
        <w:rPr>
          <w:szCs w:val="24"/>
        </w:rPr>
      </w:pPr>
      <w:r w:rsidRPr="006D401F">
        <w:t>F.</w:t>
      </w:r>
      <w:r w:rsidRPr="006D401F">
        <w:tab/>
        <w:t>vzhledem k tomu, že odvětví lesnictví nespadá do pravomoci Evropské unie, ale členských států;</w:t>
      </w:r>
    </w:p>
    <w:p w14:paraId="335EEF53" w14:textId="77777777" w:rsidR="00A21F59" w:rsidRPr="006D401F" w:rsidRDefault="00A21F59" w:rsidP="00A21F59">
      <w:pPr>
        <w:pBdr>
          <w:top w:val="nil"/>
          <w:left w:val="nil"/>
          <w:bottom w:val="nil"/>
          <w:right w:val="nil"/>
          <w:between w:val="nil"/>
        </w:pBdr>
        <w:spacing w:after="240"/>
        <w:ind w:left="567" w:hanging="567"/>
        <w:rPr>
          <w:rFonts w:eastAsia="Aptos"/>
          <w:bCs/>
          <w:iCs/>
          <w:kern w:val="2"/>
        </w:rPr>
      </w:pPr>
      <w:r w:rsidRPr="006D401F">
        <w:t>G.</w:t>
      </w:r>
      <w:r w:rsidRPr="006D401F">
        <w:tab/>
        <w:t>vzhledem k tomu, že SZP musí být posílena a dále zjednodušena, musí se stát pružnější a modernější a zároveň se musí zachovat její soudržná struktura a zajistit udržitelnost zemědělské produkce EU v celém jejím environmentálním, sociálním a hospodářském rozměru;</w:t>
      </w:r>
      <w:r w:rsidRPr="006D401F">
        <w:rPr>
          <w:color w:val="000000"/>
        </w:rPr>
        <w:t xml:space="preserve"> vzhledem k tomu, že je nezbytné umožnit zemědělskému odvětví EU lépe reagovat jak na potřeby aktivních zemědělců, tak na očekávání evropské společnosti, pokud jde o potravinové zabezpečení, bezpečnost a kvalitu potravin, zmírňování změny klimatu a přizpůsobování se této změně, vodohospodářskou odolnost, duševní zdraví, generační obměnu a rovnost žen a mužů; </w:t>
      </w:r>
      <w:r w:rsidRPr="006D401F">
        <w:t xml:space="preserve">vzhledem k tomu, že je zásadní snížit byrokratickou zátěž a poskytnout zemědělcům, zemědělským pracovníkům a jejich komunitám odpovídající finanční prostředky, aby mohli mít uspokojivou životní úroveň a mohli se snadněji přizpůsobit novým výzvám; </w:t>
      </w:r>
    </w:p>
    <w:p w14:paraId="5C100C0E" w14:textId="77777777" w:rsidR="00A21F59" w:rsidRDefault="00A21F59" w:rsidP="00A21F59">
      <w:pPr>
        <w:pStyle w:val="NormalHanging12a"/>
        <w:widowControl w:val="0"/>
      </w:pPr>
      <w:r w:rsidRPr="006D401F">
        <w:lastRenderedPageBreak/>
        <w:t>H.</w:t>
      </w:r>
      <w:r w:rsidRPr="006D401F">
        <w:tab/>
        <w:t xml:space="preserve">vzhledem k tomu, že je třeba jednoznačně zachovat </w:t>
      </w:r>
      <w:proofErr w:type="spellStart"/>
      <w:r w:rsidRPr="006D401F">
        <w:t>dvoupilířovou</w:t>
      </w:r>
      <w:proofErr w:type="spellEnd"/>
      <w:r w:rsidRPr="006D401F">
        <w:t xml:space="preserve"> strukturu SZP; vzhledem k tomu, že tato struktura by měla zajišťovat rovnováhu mezi podporou příjmů v rámci pilíře I, která zemědělcům pomáhá zachovat si životaschopnost nebo jí dosáhnout a vyrábět pro trh, a to se 100 % přímými platbami financovanými EU, a </w:t>
      </w:r>
      <w:proofErr w:type="spellStart"/>
      <w:r w:rsidRPr="006D401F">
        <w:t>agroenvironmentálními</w:t>
      </w:r>
      <w:proofErr w:type="spellEnd"/>
      <w:r w:rsidRPr="006D401F">
        <w:t xml:space="preserve"> opatřeními a investiční podporou v rámci dostatečně financované politiky rozvoje venkova v rámci pilíře II, jež jsou podporovány spolufinancovanými opatřeními s cílem lépe řešit konkrétní okolnosti;</w:t>
      </w:r>
    </w:p>
    <w:p w14:paraId="2E89F369" w14:textId="4113E617" w:rsidR="00041C39" w:rsidRPr="00041C39" w:rsidRDefault="00041C39" w:rsidP="00A21F59">
      <w:pPr>
        <w:pStyle w:val="NormalHanging12a"/>
        <w:widowControl w:val="0"/>
        <w:rPr>
          <w:bCs/>
          <w:iCs/>
        </w:rPr>
      </w:pPr>
      <w:r w:rsidRPr="0023691A">
        <w:rPr>
          <w:bCs/>
          <w:iCs/>
        </w:rPr>
        <w:t>I.</w:t>
      </w:r>
      <w:r w:rsidRPr="00041C39">
        <w:rPr>
          <w:bCs/>
          <w:iCs/>
        </w:rPr>
        <w:tab/>
      </w:r>
      <w:r w:rsidRPr="0023691A">
        <w:rPr>
          <w:bCs/>
          <w:iCs/>
        </w:rPr>
        <w:t>vzhledem k tomu, že sbližování přímých plateb v rámci členských států i mezi nimi má zásadní význam pro zaručení spravedlivých podmínek podpory pro zemědělce a pro zajištění spravedlivé hospodářské soutěže na jednotném trhu; zdůrazňujíc, že přímé platby představují stabilní a předvídatelný podíl ročních příjmů zemědělských podniků a že jejich spravedlivé rozdělení v celé Unii je nezbytné, má-li se předcházet opouštění půdy, poskytovat zvláštní podpora novým a mladým zemědělcům a zajistit hospodářská životaschopnost zemědělství a regionální soudržnost;</w:t>
      </w:r>
    </w:p>
    <w:p w14:paraId="6EAB6B2C" w14:textId="370491EF" w:rsidR="00A21F59" w:rsidRPr="006D401F" w:rsidRDefault="00041C39" w:rsidP="00A21F59">
      <w:pPr>
        <w:pStyle w:val="NormalHanging12a"/>
        <w:widowControl w:val="0"/>
        <w:rPr>
          <w:rFonts w:eastAsia="Aptos"/>
        </w:rPr>
      </w:pPr>
      <w:r>
        <w:t>J</w:t>
      </w:r>
      <w:r w:rsidR="00A21F59" w:rsidRPr="006D401F">
        <w:t>.</w:t>
      </w:r>
      <w:r w:rsidR="00A21F59" w:rsidRPr="006D401F">
        <w:tab/>
        <w:t>vzhledem k tomu, že s ohledem na probíhající diskusi o budoucnosti víceletého finančního rámce (VFR) je nezbytné, aby fondy SZP zůstaly oddělené od ostatních a nebyly sloučeny do jednoho vnitrostátního fondu, a zachovaly se tak rovné podmínky pro zemědělce v různých členských státech;</w:t>
      </w:r>
    </w:p>
    <w:p w14:paraId="413B5B04" w14:textId="455F4C6D" w:rsidR="00A21F59" w:rsidRPr="006D401F" w:rsidRDefault="00041C39" w:rsidP="00A21F59">
      <w:pPr>
        <w:pStyle w:val="NormalHanging12a"/>
        <w:widowControl w:val="0"/>
        <w:rPr>
          <w:rFonts w:eastAsia="Aptos"/>
        </w:rPr>
      </w:pPr>
      <w:r>
        <w:t>K</w:t>
      </w:r>
      <w:r w:rsidR="00A21F59" w:rsidRPr="006D401F">
        <w:t>.</w:t>
      </w:r>
      <w:r w:rsidR="00A21F59" w:rsidRPr="006D401F">
        <w:tab/>
        <w:t>vzhledem k tomu, že SZP odráží rozmanitost regionů, tradic a zemědělských systémů EU, včetně široké škály zemědělských struktur, druhů zemědělské činnosti a produktů;</w:t>
      </w:r>
    </w:p>
    <w:p w14:paraId="1D1F6ED0" w14:textId="7403B9D3" w:rsidR="00A21F59" w:rsidRPr="006D401F" w:rsidRDefault="00041C39" w:rsidP="00A21F59">
      <w:pPr>
        <w:pStyle w:val="NormalHanging12a"/>
        <w:widowControl w:val="0"/>
      </w:pPr>
      <w:r>
        <w:t>L</w:t>
      </w:r>
      <w:r w:rsidR="00A21F59" w:rsidRPr="006D401F">
        <w:t>.</w:t>
      </w:r>
      <w:r w:rsidR="00A21F59" w:rsidRPr="006D401F">
        <w:tab/>
        <w:t>vzhledem k tomu, že jakékoli změny současné SZP nebo nové právní předpisy by měly být provedeny tak, aby zajistily stabilitu v tomto odvětví a větší právní jistotu pro zemědělce a majitele lesů, kteří požadují jednodušší SZP, jež bude podporovat příjmy, zajistí udržitelnost a zohledňuje sezónní omezení a potřebu dlouhodobého plánování v rámci zemědělské produkce; vzhledem k tomu, že tato opatření by měla být vypracována po konzultaci se zúčastněnými stranami, měla by zabránit zbytečné administrativní zátěže, poskytovat přiměřená přechodná období a měla by být podpořena dostatečnými rozpočty na přizpůsobení se;</w:t>
      </w:r>
    </w:p>
    <w:p w14:paraId="59EAEA8B" w14:textId="4DFCD7C0" w:rsidR="00A21F59" w:rsidRPr="006D401F" w:rsidRDefault="00041C39" w:rsidP="00A21F59">
      <w:pPr>
        <w:pStyle w:val="NormalHanging12a"/>
        <w:widowControl w:val="0"/>
      </w:pPr>
      <w:r>
        <w:t>M</w:t>
      </w:r>
      <w:r w:rsidR="00A21F59" w:rsidRPr="006D401F">
        <w:t>.</w:t>
      </w:r>
      <w:r w:rsidR="00A21F59" w:rsidRPr="006D401F">
        <w:tab/>
        <w:t>vzhledem k tomu, že SZP, která je základním kamenem Evropského konsensu o rozvoji, je vzhledem k současným výzvám důležitější než kdy jindy; vzhledem k tomu, že SZP podporuje přibližně 9,1 milionu zemědělských podniků v celé Evropě, což představuje 37% pokles počtu zemědělských podniků oproti roku 2005, kdy jich bylo evidováno 14,4 milionu, a vzhledem k tomu, že tento pokles je doprovázen poklesem příjmů zemědělců o 12 % na hektar; vzhledem k tomu, že 77 % občanů EU souhlasí s tím, že EU prostřednictvím SZP plní svou úlohu, tj. že zajišťuje stabilní dodávky bezpečných, zdravých, udržitelných, kvalitních a cenově dostupných potravin pro 450 milionů spotřebitelů; vzhledem k tomu, že venkovské oblasti pokrývají 83 % území EU a žije v nich 30 % obyvatelstva EU; vzhledem k tomu, že zemědělská půda představuje 40 % území EU a že zemědělsko-potravinářský sektor se podílí přibližně 7 % na HDP EU a zaměstnává přibližně 17 milionů osob;</w:t>
      </w:r>
    </w:p>
    <w:p w14:paraId="2434AD31" w14:textId="77EDC394" w:rsidR="00A21F59" w:rsidRPr="006D401F" w:rsidRDefault="00041C39" w:rsidP="00A21F59">
      <w:pPr>
        <w:pStyle w:val="NormalHanging12a"/>
        <w:widowControl w:val="0"/>
      </w:pPr>
      <w:r>
        <w:t>N</w:t>
      </w:r>
      <w:r w:rsidR="00A21F59" w:rsidRPr="006D401F">
        <w:t>.</w:t>
      </w:r>
      <w:r w:rsidR="00A21F59" w:rsidRPr="006D401F">
        <w:tab/>
        <w:t xml:space="preserve">vzhledem k tomu, že podle </w:t>
      </w:r>
      <w:proofErr w:type="spellStart"/>
      <w:r w:rsidR="00A21F59" w:rsidRPr="006D401F">
        <w:t>Eurostatu</w:t>
      </w:r>
      <w:proofErr w:type="spellEnd"/>
      <w:r w:rsidR="00A21F59" w:rsidRPr="006D401F">
        <w:rPr>
          <w:rStyle w:val="FootnoteReference"/>
          <w:color w:val="000000"/>
        </w:rPr>
        <w:footnoteReference w:id="27"/>
      </w:r>
      <w:r w:rsidR="00A21F59" w:rsidRPr="006D401F">
        <w:t xml:space="preserve"> </w:t>
      </w:r>
      <w:proofErr w:type="gramStart"/>
      <w:r w:rsidR="00A21F59" w:rsidRPr="006D401F">
        <w:t>tvoří</w:t>
      </w:r>
      <w:proofErr w:type="gramEnd"/>
      <w:r w:rsidR="00A21F59" w:rsidRPr="006D401F">
        <w:t xml:space="preserve"> 93 % zemědělských podniků v EU rodinné </w:t>
      </w:r>
      <w:r w:rsidR="00A21F59" w:rsidRPr="006D401F">
        <w:lastRenderedPageBreak/>
        <w:t>zemědělské podniky; vzhledem k tomu, že tento jedinečný evropský model je třeba zachovat, neboť se jedná o klíčový faktor odolnosti a hospodářské životaschopnosti venkovských oblastí;</w:t>
      </w:r>
    </w:p>
    <w:p w14:paraId="13E4EA59" w14:textId="1A872C4D" w:rsidR="00A21F59" w:rsidRPr="006D401F" w:rsidRDefault="00041C39" w:rsidP="00A21F59">
      <w:pPr>
        <w:pStyle w:val="NormalHanging12a"/>
        <w:widowControl w:val="0"/>
        <w:rPr>
          <w:bCs/>
          <w:iCs/>
        </w:rPr>
      </w:pPr>
      <w:r>
        <w:t>O</w:t>
      </w:r>
      <w:r w:rsidR="00A21F59" w:rsidRPr="006D401F">
        <w:t>.</w:t>
      </w:r>
      <w:r w:rsidR="00A21F59" w:rsidRPr="006D401F">
        <w:tab/>
        <w:t>vzhledem k tomu, že zemědělství je více než jen zaměstnání, je to způsob života, který je zakořeněn v přírodě, historickém a kulturním dědictví, tradicích a venkovské komunitě a jehož pozitivní dopad na společnost stále není plně doceněn; zdůrazňuje, že multifunkčnost zemědělství v EU přináší širokou škálu příležitostí pro zaměstnanost a diverzifikaci podniků ve venkovských oblastech, například prostřednictvím služeb agroturistiky, zemědělsko-potravinářského odvětví a </w:t>
      </w:r>
      <w:proofErr w:type="spellStart"/>
      <w:r w:rsidR="00A21F59" w:rsidRPr="006D401F">
        <w:t>bioekonomiky</w:t>
      </w:r>
      <w:proofErr w:type="spellEnd"/>
      <w:r w:rsidR="00A21F59" w:rsidRPr="006D401F">
        <w:t>, výroby energie z obnovitelných zdrojů, udržitelného cestovního ruchu, školních návštěv a přímého prodeje; vzhledem k tomu, že tato multifunkčnost přispívá k růstu podporujícímu začlenění, blahobytu komunit a poskytování sociálních, vzdělávacích a zdravotních služeb ve venkovských oblastech;</w:t>
      </w:r>
    </w:p>
    <w:p w14:paraId="4FFF1EFD" w14:textId="4EBB5505" w:rsidR="00A21F59" w:rsidRPr="006D401F" w:rsidRDefault="00041C39" w:rsidP="00A21F59">
      <w:pPr>
        <w:pStyle w:val="NormalHanging12a"/>
        <w:widowControl w:val="0"/>
        <w:rPr>
          <w:szCs w:val="24"/>
        </w:rPr>
      </w:pPr>
      <w:r>
        <w:t>P</w:t>
      </w:r>
      <w:r w:rsidR="00A21F59" w:rsidRPr="006D401F">
        <w:t>.</w:t>
      </w:r>
      <w:r w:rsidR="00A21F59" w:rsidRPr="006D401F">
        <w:tab/>
        <w:t>vzhledem k tomu, že v letech 2022 a 2023 činila inflace cen potravin v Evropské unii téměř 25 %, přičemž v některých zemích dosáhla až 50 %, což mělo závažné hospodářské a sociální důsledky, a vzhledem k tomu, že je naprosto nezbytné ceny zemědělských produktů stabilizovat, aby se tak zajistila makroekonomická stabilita a hospodářská bezpečnost;</w:t>
      </w:r>
    </w:p>
    <w:p w14:paraId="0954B4C4" w14:textId="03B992DC" w:rsidR="00A21F59" w:rsidRPr="006D401F" w:rsidRDefault="00041C39" w:rsidP="00A21F59">
      <w:pPr>
        <w:pStyle w:val="NormalHanging12a"/>
        <w:widowControl w:val="0"/>
        <w:rPr>
          <w:rFonts w:eastAsia="Calibri"/>
        </w:rPr>
      </w:pPr>
      <w:r>
        <w:t>Q</w:t>
      </w:r>
      <w:r w:rsidR="00A21F59" w:rsidRPr="006D401F">
        <w:t>.</w:t>
      </w:r>
      <w:r w:rsidR="00A21F59" w:rsidRPr="006D401F">
        <w:tab/>
        <w:t>vzhledem k tomu, že přímé platby na plochu mají zásadní význam pro hospodářskou udržitelnost evropského zemědělství, hrají klíčovou úlohu při zachování udržitelné produkce a zajišťování spravedlivého a přiměřeného příjmu zemědělců, čímž zvyšují ziskovost, zajišťují stabilitu a zaručují minimální úroveň bezpečnosti; vzhledem k tomu, že by měla být zajištěna větší podpora pro ženy, nové, mladé a rodinné zemědělce, malé a střední podniky, zejména pak ve znevýhodněných oblastech, jakož i pro odvětví podporovaná ze sociálně-ekonomických nebo environmentálních důvodů;</w:t>
      </w:r>
    </w:p>
    <w:p w14:paraId="11A7896A" w14:textId="0143C6EF" w:rsidR="00A21F59" w:rsidRPr="006D401F" w:rsidRDefault="00041C39" w:rsidP="00A21F59">
      <w:pPr>
        <w:pStyle w:val="NormalHanging12a"/>
        <w:widowControl w:val="0"/>
        <w:rPr>
          <w:rFonts w:eastAsia="Calibri"/>
        </w:rPr>
      </w:pPr>
      <w:r>
        <w:t>R</w:t>
      </w:r>
      <w:r w:rsidR="00A21F59" w:rsidRPr="006D401F">
        <w:t>.</w:t>
      </w:r>
      <w:r w:rsidR="00A21F59" w:rsidRPr="006D401F">
        <w:tab/>
        <w:t>vzhledem k tomu, že je důležité zajistit, aby platby v rámci podpory poskytované podle prvního pilíře SZP byly směrovány na všechny aktivní profesionální zemědělce, jejichž příjem buď plyne částečně, nebo zcela ze zemědělské produkce, ať už se jí věnují na plný, nebo částečný úvazek;</w:t>
      </w:r>
    </w:p>
    <w:p w14:paraId="634F628D" w14:textId="20337D77" w:rsidR="00A21F59" w:rsidRPr="006D401F" w:rsidRDefault="00041C39" w:rsidP="00A21F59">
      <w:pPr>
        <w:pStyle w:val="NormalHanging12a"/>
        <w:widowControl w:val="0"/>
        <w:rPr>
          <w:rFonts w:eastAsia="Calibri"/>
          <w:i/>
        </w:rPr>
      </w:pPr>
      <w:r>
        <w:t>S</w:t>
      </w:r>
      <w:r w:rsidR="00A21F59" w:rsidRPr="006D401F">
        <w:t>.</w:t>
      </w:r>
      <w:r w:rsidR="00A21F59" w:rsidRPr="006D401F">
        <w:tab/>
        <w:t>vzhledem k tomu, že tyto přímé platby by měly přispívat ke zvýšení konkurenceschopnosti a zlepšení udržitelnosti a odolnosti zemědělského odvětví EU, přičemž by současně měly odrážet specifické potřeby a regionální rozmanitost; vzhledem k tomu, že hlavním faktorem ziskovosti zemědělců musí být i nadále produkce zdravých potravin, s možností doplňovat příjmy činnostmi, jako je výroba energie, zachycování uhlíku nebo udržitelný cestovní ruch;</w:t>
      </w:r>
    </w:p>
    <w:p w14:paraId="77849A27" w14:textId="72611260" w:rsidR="00A21F59" w:rsidRPr="006D401F" w:rsidRDefault="00041C39" w:rsidP="00A21F59">
      <w:pPr>
        <w:pStyle w:val="NormalHanging12a"/>
        <w:widowControl w:val="0"/>
      </w:pPr>
      <w:r>
        <w:t>T</w:t>
      </w:r>
      <w:r w:rsidR="00A21F59" w:rsidRPr="006D401F">
        <w:t>.</w:t>
      </w:r>
      <w:r w:rsidR="00A21F59" w:rsidRPr="006D401F">
        <w:tab/>
        <w:t>vzhledem k tomu, že ve VFR na období 2021–2027 byly prostředky přidělené na SZP ve srovnání s předchozím VFR sníženy jak v nominálním, tak v reálném vyjádření; vzhledem k tomu, že celkové výdaje EU na SZP v posledních letech výrazně poklesly navzdory výraznému zvýšení ambicí SZP v oblasti životního prostředí; vzhledem k tomu, že tento pokles měl významný dopad na příjmy zemědělců;</w:t>
      </w:r>
    </w:p>
    <w:p w14:paraId="351ACFB1" w14:textId="110AD18B" w:rsidR="00A21F59" w:rsidRPr="006D401F" w:rsidRDefault="00041C39" w:rsidP="00A21F59">
      <w:pPr>
        <w:pBdr>
          <w:top w:val="nil"/>
          <w:left w:val="nil"/>
          <w:bottom w:val="nil"/>
          <w:right w:val="nil"/>
          <w:between w:val="nil"/>
        </w:pBdr>
        <w:tabs>
          <w:tab w:val="left" w:pos="0"/>
        </w:tabs>
        <w:spacing w:after="240"/>
        <w:ind w:left="567" w:hanging="567"/>
      </w:pPr>
      <w:r>
        <w:t>U</w:t>
      </w:r>
      <w:r w:rsidR="00A21F59" w:rsidRPr="006D401F">
        <w:t>.</w:t>
      </w:r>
      <w:r w:rsidR="00A21F59" w:rsidRPr="006D401F">
        <w:tab/>
        <w:t xml:space="preserve">vzhledem k tomu, že zemědělci čelí rostoucí nestabilitě cen způsobené výkyvy na světových trzích a v evropské produkci, a to v důsledku globalizovaného charakteru potravinového řetězce, o čemž svědčí nedávný příval obilí ze zemí mimo EU a nárůst cen hnojiv; vzhledem k tomu, že se rovněž potýkají s makroekonomickou </w:t>
      </w:r>
      <w:r w:rsidR="00A21F59" w:rsidRPr="006D401F">
        <w:lastRenderedPageBreak/>
        <w:t xml:space="preserve">a geopolitickou nejistotou, zdravotními krizemi, nákazami zvířat, trendy spočívajícími v koncentraci trhu, přebytky v některých evropských odvětvích a nepředvídatelností výnosů v důsledku častějších extrémních povětrnostních jevů a přírodních katastrof souvisejících s klimatem; </w:t>
      </w:r>
    </w:p>
    <w:p w14:paraId="609E8726" w14:textId="67158980" w:rsidR="00A21F59" w:rsidRPr="006D401F" w:rsidRDefault="00041C39" w:rsidP="00A21F59">
      <w:pPr>
        <w:pStyle w:val="NormalHanging12a"/>
        <w:widowControl w:val="0"/>
      </w:pPr>
      <w:r>
        <w:t>V</w:t>
      </w:r>
      <w:r w:rsidR="00A21F59" w:rsidRPr="006D401F">
        <w:t>.</w:t>
      </w:r>
      <w:r w:rsidR="00A21F59" w:rsidRPr="006D401F">
        <w:tab/>
        <w:t>vzhledem k tomu, že evropské zemědělství se musí zabývat novými a rostoucími výzvami a plnit priority EU, jako je potravinové zabezpečení a odolnost vůči změně klimatu; vzhledem k tomu, že to vyžaduje navýšení rozpočtu SZP v příštím VFR ve stálých cenách, což by mělo být jednou z politických priorit EU, aby se zabránilo ztrátě reálné hodnoty plateb a vyřešily se současné i budoucí výzvy v EU;</w:t>
      </w:r>
    </w:p>
    <w:p w14:paraId="3CB3B271" w14:textId="4048E2B2" w:rsidR="00A21F59" w:rsidRPr="006D401F" w:rsidRDefault="00041C39" w:rsidP="00A21F59">
      <w:pPr>
        <w:pStyle w:val="NormalHanging12a"/>
        <w:widowControl w:val="0"/>
      </w:pPr>
      <w:r>
        <w:t>W</w:t>
      </w:r>
      <w:r w:rsidR="00A21F59" w:rsidRPr="006D401F">
        <w:t>.</w:t>
      </w:r>
      <w:r w:rsidR="00A21F59" w:rsidRPr="006D401F">
        <w:tab/>
        <w:t>vzhledem k tomu, že nepřizpůsobení VFR inflaci by mohlo vést ke ztrátě až 54 % SZP, tj. 250 miliard EUR do roku 2034, což by vážně oslabilo schopnost EU zachovat si potravinovou soběstačnost a účinně reagovat na vnitřní i celosvětové požadavky;</w:t>
      </w:r>
    </w:p>
    <w:p w14:paraId="54D179A2" w14:textId="472D8F6B" w:rsidR="00A21F59" w:rsidRPr="006D401F" w:rsidRDefault="00041C39" w:rsidP="00A21F59">
      <w:pPr>
        <w:pStyle w:val="NormalHanging12a"/>
        <w:widowControl w:val="0"/>
      </w:pPr>
      <w:r>
        <w:t>X</w:t>
      </w:r>
      <w:r w:rsidR="00A21F59" w:rsidRPr="006D401F">
        <w:t>.</w:t>
      </w:r>
      <w:r w:rsidR="00A21F59" w:rsidRPr="006D401F">
        <w:tab/>
        <w:t>vzhledem k tomu, že příjmy ze zemědělství zůstávají téměř ve všech členských státech pod průměrem zbytku hospodářství a v hospodářství EU činí 47 % průměrných hrubých mezd a platů, a vzhledem k tomu, že lidé žijící v městských oblastech mají obecně vyšší úroveň příjmů než lidé žijící ve venkovských oblastech, což vede k nerovnostem a vyloučení; vzhledem k tomu, že zemědělci ve věku 40 let a méně mají v průměru nejnižší příjmy v rámci EU; vzhledem k tomu, že budoucí SZP musí zemědělcům a pracovníkům v zemědělství zajistit spravedlivou odměnu a ochranu, aby mohli udržet výrobní činnosti v celé Unii, a to i v oblastech s přírodními omezeními, a splňovat normy kvality a požadavky na bezpečnost potravin ku prospěchu občanů;</w:t>
      </w:r>
    </w:p>
    <w:p w14:paraId="03341ADD" w14:textId="39E3E406" w:rsidR="00A21F59" w:rsidRPr="006D401F" w:rsidRDefault="00041C39" w:rsidP="00A21F59">
      <w:pPr>
        <w:pStyle w:val="NormalHanging12a"/>
        <w:widowControl w:val="0"/>
      </w:pPr>
      <w:r>
        <w:t>Y</w:t>
      </w:r>
      <w:r w:rsidR="00A21F59" w:rsidRPr="006D401F">
        <w:t>.</w:t>
      </w:r>
      <w:r w:rsidR="00A21F59" w:rsidRPr="006D401F">
        <w:tab/>
        <w:t>vzhledem k tomu, že zemědělci čelí vysokému pracovnímu stresu způsobenému dlouhou pracovní dobou, sociální izolací, finanční nejistotou, administrativními a regulačními požadavky, povětrnostními jevy souvisejícími se změnou klimatu nebo novými nákazami rostlin a zvířat; vzhledem k tomu, že přístup zemědělců ke službám v oblasti péče o duševní zdraví je nadále velmi omezený;</w:t>
      </w:r>
    </w:p>
    <w:p w14:paraId="00F7500E" w14:textId="76AF8016" w:rsidR="00A21F59" w:rsidRPr="006D401F" w:rsidRDefault="00041C39" w:rsidP="00A21F59">
      <w:pPr>
        <w:pStyle w:val="NormalHanging12a"/>
        <w:widowControl w:val="0"/>
      </w:pPr>
      <w:r>
        <w:t>Z</w:t>
      </w:r>
      <w:r w:rsidR="00A21F59" w:rsidRPr="006D401F">
        <w:t>.</w:t>
      </w:r>
      <w:r w:rsidR="00A21F59" w:rsidRPr="006D401F">
        <w:tab/>
        <w:t>vzhledem k tomu, že je nezbytné posílit postavení zemědělců v zemědělsko-potravinářském dodavatelském řetězci a náležitě uznat jejich úlohu a zajistit podmínky pro spravedlivou hospodářskou soutěž, produktivitu, odolnost a účinnost na jednotném trhu; vzhledem k tomu, že je důležité zaručit plný soulad s právními předpisy o nekalých obchodních praktikách</w:t>
      </w:r>
      <w:r w:rsidR="00A21F59" w:rsidRPr="006D401F">
        <w:rPr>
          <w:rStyle w:val="FootnoteReference"/>
        </w:rPr>
        <w:footnoteReference w:id="28"/>
      </w:r>
      <w:r w:rsidR="00A21F59" w:rsidRPr="006D401F">
        <w:t>, zajistit spravedlivé platby za zemědělské produkty spolu s větší transparentností při tvorbě cen a podporovat lepší nástroje pro řízení dopadů rizik a krizí; vzhledem k tomu, že je třeba rovněž řádně zohledňovat a monitorovat vnější otřesy a faktory, které zemědělci nemohou ovlivnit, jako jsou dopady krizí trhu nebo přírodních katastrof, jež mají vliv na konkurenceschopnost a rovné podmínky pro zemědělce v rámci dodavatelského řetězce;</w:t>
      </w:r>
    </w:p>
    <w:p w14:paraId="2AC6CC4E" w14:textId="45D1B7E4" w:rsidR="00A21F59" w:rsidRPr="006D401F" w:rsidRDefault="00041C39" w:rsidP="00A21F59">
      <w:pPr>
        <w:pStyle w:val="NormalHanging12a"/>
        <w:widowControl w:val="0"/>
      </w:pPr>
      <w:r>
        <w:t>AA</w:t>
      </w:r>
      <w:r w:rsidR="00A21F59" w:rsidRPr="006D401F">
        <w:t>.</w:t>
      </w:r>
      <w:r w:rsidR="00A21F59" w:rsidRPr="006D401F">
        <w:tab/>
        <w:t xml:space="preserve">vzhledem k tomu, že zemědělská družstva, která zakládají a řídí sami zemědělci, i organizace producentů, sdružení organizací producentů a místní akční skupiny posilují postavení zemědělských prvovýrobců v produkčním řetězci tím, že spojují úsilí, </w:t>
      </w:r>
      <w:r w:rsidR="00A21F59" w:rsidRPr="006D401F">
        <w:lastRenderedPageBreak/>
        <w:t xml:space="preserve">koordinují investice a zmírňují roztříštěnost tohoto odvětví; vzhledem k tomu, že Vize pro zemědělství a potraviny uznává, že silnější kolektivní vyjednávání v zemědělství má zásadní význam pro to, aby se zvýšila atraktivita tohoto odvětví; </w:t>
      </w:r>
    </w:p>
    <w:p w14:paraId="2798A50C" w14:textId="19886EE3" w:rsidR="00A21F59" w:rsidRPr="006D401F" w:rsidRDefault="00041C39" w:rsidP="00A21F59">
      <w:pPr>
        <w:pStyle w:val="NormalHanging12a"/>
        <w:widowControl w:val="0"/>
      </w:pPr>
      <w:r w:rsidRPr="006D401F">
        <w:t>A</w:t>
      </w:r>
      <w:r>
        <w:t>B</w:t>
      </w:r>
      <w:r w:rsidR="00A21F59" w:rsidRPr="006D401F">
        <w:t>.</w:t>
      </w:r>
      <w:r w:rsidR="00A21F59" w:rsidRPr="006D401F">
        <w:tab/>
        <w:t>vzhledem k tomu, že EU stále čelí slábnoucí generační obměně v odvětví zemědělství; vzhledem k tomu, že v roce 2020 byla většina (57,6 %) zemědělců v EU bez ohledu na pohlaví starší 55 let, zatímco zemědělci mladší 35 let představovali přibližně 6 % – z nichž pouze 1,7 % tvořily ženy – a v mnoha členských státech je velmi vysoký podíl zemědělců ve věku 65 let a více;</w:t>
      </w:r>
    </w:p>
    <w:p w14:paraId="26008674" w14:textId="2212B1C4" w:rsidR="00A21F59" w:rsidRPr="006D401F" w:rsidRDefault="00041C39" w:rsidP="00A21F59">
      <w:pPr>
        <w:pStyle w:val="NormalHanging12a"/>
        <w:widowControl w:val="0"/>
      </w:pPr>
      <w:r w:rsidRPr="006D401F">
        <w:t>A</w:t>
      </w:r>
      <w:r>
        <w:t>C</w:t>
      </w:r>
      <w:r w:rsidR="00A21F59" w:rsidRPr="006D401F">
        <w:t>.</w:t>
      </w:r>
      <w:r w:rsidR="00A21F59" w:rsidRPr="006D401F">
        <w:tab/>
        <w:t>vzhledem k tomu, že generační obměna má zásadní význam pro budoucnost evropského zemědělství, potravinové zabezpečení, prosperitu venkovských oblastí a zachování venkovského způsobu života; vzhledem k tomu, že cena půdy a její omezená dostupnost, obecně nízká ziskovost zemědělských činností a strukturální výzvy, jimž čelí venkovské oblasti v poměru k souvisejícím investicím a rizikům, administrativní požadavky a to, jak je toto odvětví vnímáno veřejností, byly označeny za hlavní překážky, které brání lidem stát se zemědělci; vzhledem k tomu, že je třeba poukázat i na další faktory, jako je nedostatek vlastního kapitálu a obtížný přístup k úvěrům, zejména v případě žen a mladých zemědělců, potřebu zajistit technické služby a podpůrná opatření, jakož i na dopady změny klimatu, vysoké vstupy a další výrobní náklady a na šíření nákaz přenášených vektory, což jsou všechno faktory, které mohou představovat významné překážky pro zapojení mladých zemědělců, žen a nových zemědělců do zemědělství;</w:t>
      </w:r>
    </w:p>
    <w:p w14:paraId="7D32DE1A" w14:textId="423A61A1" w:rsidR="00A21F59" w:rsidRPr="006D401F" w:rsidRDefault="00041C39" w:rsidP="00A21F59">
      <w:pPr>
        <w:pStyle w:val="NormalHanging12a"/>
        <w:widowControl w:val="0"/>
      </w:pPr>
      <w:r w:rsidRPr="006D401F">
        <w:t>A</w:t>
      </w:r>
      <w:r>
        <w:t>D</w:t>
      </w:r>
      <w:r w:rsidR="00A21F59" w:rsidRPr="006D401F">
        <w:t>.</w:t>
      </w:r>
      <w:r w:rsidR="00A21F59" w:rsidRPr="006D401F">
        <w:tab/>
        <w:t>vzhledem k tomu, že u mladých zemědělců, žen a nových zemědělců, existuje větší pravděpodobnost, že budou zavádět inovativní podnikatelské nápady, využívat nové technologie a uplatňovat udržitelné zemědělské postupy; vzhledem k tomu, že by měly být podporovány systémy, které kombinují udržitelnost, zavádění technologií a mezigenerační partnerství, aby se usnadnilo předávání zemědělských podniků dalším generacím; vzhledem k tomu, že zásadní význam pro podporu generační obnovy a zajištění toho, aby mladí lidé zůstali ve venkovských oblastech, má silnější součinnost mezi iniciativami na podporu zaměstnanosti mladých lidí, SZP a politikami rozvoje venkova;</w:t>
      </w:r>
    </w:p>
    <w:p w14:paraId="237F785B" w14:textId="54C02485" w:rsidR="00A21F59" w:rsidRPr="006D401F" w:rsidRDefault="00041C39" w:rsidP="00A21F59">
      <w:pPr>
        <w:pStyle w:val="NormalHanging12a"/>
        <w:widowControl w:val="0"/>
      </w:pPr>
      <w:r w:rsidRPr="006D401F">
        <w:t>A</w:t>
      </w:r>
      <w:r>
        <w:t>E</w:t>
      </w:r>
      <w:r w:rsidR="00A21F59" w:rsidRPr="006D401F">
        <w:t>.</w:t>
      </w:r>
      <w:r w:rsidR="00A21F59" w:rsidRPr="006D401F">
        <w:tab/>
        <w:t>vzhledem k tomu, že ženy se i nadále potýkají s většími problémy, pokud jde o vstup do zemědělského odvětví, a vzhledem k tomu, že míra zaměstnanosti žen ve venkovských oblastech je trvale nižší než míra zaměstnanosti mužů; vzhledem k tomu, že počet zemědělských podniků řízených ženami se v jednotlivých členských státech značně liší; vzhledem k tomu, že genderová rovnost je základní zásadou EU a že omezení vylidňování venkova do značné míry závisí na zajištění rovných příležitostí pro ženy a mladé lidi; vzhledem k tomu, že v zájmu řešení specifických problémů, jimž ženy v zemědělství čelí, by Komise a členské státy měly zajistit, aby jejich konkrétní potřeby byly zohledněny v národních strategických plánech SZP prostřednictvím cílených intervencí;</w:t>
      </w:r>
    </w:p>
    <w:p w14:paraId="6C390250" w14:textId="6A45E3A5" w:rsidR="00A21F59" w:rsidRPr="006D401F" w:rsidRDefault="00041C39" w:rsidP="00A21F59">
      <w:pPr>
        <w:pStyle w:val="NormalHanging12a"/>
        <w:widowControl w:val="0"/>
        <w:rPr>
          <w:rFonts w:eastAsia="Calibri"/>
        </w:rPr>
      </w:pPr>
      <w:r w:rsidRPr="006D401F">
        <w:t>A</w:t>
      </w:r>
      <w:r>
        <w:t>F</w:t>
      </w:r>
      <w:r w:rsidR="00A21F59" w:rsidRPr="006D401F">
        <w:t>.</w:t>
      </w:r>
      <w:r w:rsidR="00A21F59" w:rsidRPr="006D401F">
        <w:tab/>
        <w:t>vzhledem k tomu, že nové hodnotové řetězce venkovských oblastí v </w:t>
      </w:r>
      <w:proofErr w:type="spellStart"/>
      <w:r w:rsidR="00A21F59" w:rsidRPr="006D401F">
        <w:t>bioekonomice</w:t>
      </w:r>
      <w:proofErr w:type="spellEnd"/>
      <w:r w:rsidR="00A21F59" w:rsidRPr="006D401F">
        <w:t xml:space="preserve"> mohou nabídnout nové obchodní příležitosti pro diverzifikaci zdrojů příjmů zemědělského odvětví a podpořit vytváření pracovních míst a podnikání na venkově a současně rozvíjet lepší využití vedlejších zemědělských produktů; vzhledem k tomu, že mezi příklady posledně jmenovaných patří výroba energie prostřednictvím výroby bioplynu v zemědělských podnicích nebo výroba a zpracování vlny a jiných přírodních </w:t>
      </w:r>
      <w:r w:rsidR="00A21F59" w:rsidRPr="006D401F">
        <w:lastRenderedPageBreak/>
        <w:t>vláken; vzhledem k tomu, že v této souvislosti je rovněž důležité zdůraznit dodatečné možnosti příjmů, které mají zemědělci k dispozici prostřednictvím výroby energie z obnovitelných zdrojů ze zdrojů, které jsou v souladu se směrnicí o obnovitelných zdrojích energie</w:t>
      </w:r>
      <w:r w:rsidR="00A21F59" w:rsidRPr="006D401F">
        <w:rPr>
          <w:rStyle w:val="FootnoteReference"/>
        </w:rPr>
        <w:footnoteReference w:id="29"/>
      </w:r>
      <w:r w:rsidR="00A21F59" w:rsidRPr="006D401F">
        <w:t>, jako jsou biopaliva, což rovněž přispívá k posílení energetické soběstačnosti EU; vzhledem k tomu, že uhlíkové zemědělství má potenciál podpořit cíle EU v oblasti klimatu tím, že podporuje ukládání uhlíku v půdě a biomase; vzhledem k tomu, že před jinými způsoby využití zemědělských produktů a půdy by měly být upřednostňovány potraviny a krmiva;</w:t>
      </w:r>
    </w:p>
    <w:p w14:paraId="621AAD4C" w14:textId="163B2F46" w:rsidR="00A21F59" w:rsidRPr="006D401F" w:rsidRDefault="00041C39" w:rsidP="00A21F59">
      <w:pPr>
        <w:ind w:left="567" w:hanging="567"/>
        <w:rPr>
          <w:rFonts w:eastAsia="Calibri"/>
        </w:rPr>
      </w:pPr>
      <w:r w:rsidRPr="006D401F">
        <w:t>A</w:t>
      </w:r>
      <w:r>
        <w:t>G</w:t>
      </w:r>
      <w:r w:rsidR="00A21F59" w:rsidRPr="006D401F">
        <w:t>.</w:t>
      </w:r>
      <w:r w:rsidR="00A21F59" w:rsidRPr="006D401F">
        <w:tab/>
        <w:t xml:space="preserve">vzhledem k tomu, že krátké výrobní řetězce, v nichž výroba, zpracování a balení probíhají ve stejném regionu, pomáhají zachovat místní přidanou hodnotu, a zajistit tak v dané oblasti více pracovních míst; vzhledem k tomu, že tyto místně orientované, územně integrované, odolné a udržitelné zemědělsko-potravinářské systémy snižují závislost na vnějších vstupech, posilují potravinové zabezpečení EU a přispívají k revitalizaci venkovských oblastí; </w:t>
      </w:r>
    </w:p>
    <w:p w14:paraId="34772EBA" w14:textId="77914D58" w:rsidR="00A21F59" w:rsidRPr="00FB1054" w:rsidRDefault="00041C39" w:rsidP="00A21F59">
      <w:pPr>
        <w:pStyle w:val="NormalWeb"/>
        <w:ind w:left="567" w:hanging="567"/>
        <w:rPr>
          <w:lang w:val="cs-CZ"/>
        </w:rPr>
      </w:pPr>
      <w:r w:rsidRPr="00FB1054">
        <w:rPr>
          <w:rStyle w:val="Strong"/>
          <w:b w:val="0"/>
          <w:bCs w:val="0"/>
          <w:lang w:val="cs-CZ"/>
        </w:rPr>
        <w:t>A</w:t>
      </w:r>
      <w:r>
        <w:rPr>
          <w:rStyle w:val="Strong"/>
          <w:b w:val="0"/>
          <w:bCs w:val="0"/>
          <w:lang w:val="cs-CZ"/>
        </w:rPr>
        <w:t>H</w:t>
      </w:r>
      <w:r w:rsidR="00A21F59" w:rsidRPr="00FB1054">
        <w:rPr>
          <w:rStyle w:val="Strong"/>
          <w:b w:val="0"/>
          <w:bCs w:val="0"/>
          <w:lang w:val="cs-CZ"/>
        </w:rPr>
        <w:t>.</w:t>
      </w:r>
      <w:r w:rsidR="00A21F59" w:rsidRPr="00FB1054">
        <w:rPr>
          <w:rStyle w:val="Strong"/>
          <w:b w:val="0"/>
          <w:bCs w:val="0"/>
          <w:lang w:val="cs-CZ"/>
        </w:rPr>
        <w:tab/>
        <w:t>vzhledem</w:t>
      </w:r>
      <w:r w:rsidR="00A21F59" w:rsidRPr="00FB1054">
        <w:rPr>
          <w:lang w:val="cs-CZ"/>
        </w:rPr>
        <w:t xml:space="preserve"> k tomu, že je nezbytné zabránit negativním vlivům na zemědělskou produkci EU prosazováním pružných a účinných nástrojů na podporu nejzranitelnějších a strategických odvětví, pokud čelí problémům vyplývajícím ze strukturálních změn a přírodních a meteorologických katastrof, a to zejména v souvislosti se změnou klimatu, nerovnováhou na trhu a </w:t>
      </w:r>
      <w:r w:rsidR="00A21F59" w:rsidRPr="00FB1054">
        <w:rPr>
          <w:rStyle w:val="Strong"/>
          <w:b w:val="0"/>
          <w:bCs w:val="0"/>
          <w:lang w:val="cs-CZ"/>
        </w:rPr>
        <w:t>uzavíráním obchodních dohod</w:t>
      </w:r>
      <w:r w:rsidR="00A21F59" w:rsidRPr="00FB1054">
        <w:rPr>
          <w:lang w:val="cs-CZ"/>
        </w:rPr>
        <w:t xml:space="preserve">, jakož i možným důsledkům uplatňování nových politik EU, které mají dopad na zemědělství v EU; </w:t>
      </w:r>
    </w:p>
    <w:p w14:paraId="5B48618C" w14:textId="1C511CA9" w:rsidR="00A21F59" w:rsidRPr="00FB1054" w:rsidRDefault="00041C39" w:rsidP="00A21F59">
      <w:pPr>
        <w:pStyle w:val="NormalWeb"/>
        <w:ind w:left="567" w:hanging="567"/>
        <w:rPr>
          <w:lang w:val="cs-CZ"/>
        </w:rPr>
      </w:pPr>
      <w:r w:rsidRPr="00FB1054">
        <w:rPr>
          <w:rStyle w:val="Strong"/>
          <w:b w:val="0"/>
          <w:bCs w:val="0"/>
          <w:lang w:val="cs-CZ"/>
        </w:rPr>
        <w:t>A</w:t>
      </w:r>
      <w:r>
        <w:rPr>
          <w:rStyle w:val="Strong"/>
          <w:b w:val="0"/>
          <w:bCs w:val="0"/>
          <w:lang w:val="cs-CZ"/>
        </w:rPr>
        <w:t>I</w:t>
      </w:r>
      <w:r w:rsidR="00A21F59" w:rsidRPr="00FB1054">
        <w:rPr>
          <w:rStyle w:val="Strong"/>
          <w:b w:val="0"/>
          <w:bCs w:val="0"/>
          <w:lang w:val="cs-CZ"/>
        </w:rPr>
        <w:t>.</w:t>
      </w:r>
      <w:r w:rsidR="00A21F59" w:rsidRPr="00FB1054">
        <w:rPr>
          <w:rStyle w:val="Strong"/>
          <w:b w:val="0"/>
          <w:bCs w:val="0"/>
          <w:lang w:val="cs-CZ"/>
        </w:rPr>
        <w:tab/>
        <w:t>vzhledem</w:t>
      </w:r>
      <w:r w:rsidR="00A21F59" w:rsidRPr="00FB1054">
        <w:rPr>
          <w:lang w:val="cs-CZ"/>
        </w:rPr>
        <w:t xml:space="preserve"> k tomu, že tyto problémy mohou mít přímý dopad na potravinové zabezpečení a venkovské ekonomiky a komunity, je nezbytné zlepšit prevenci rizik a jejich řízení a přizpůsobení se rizikům, a to i prostřednictvím posílených a přizpůsobených mechanismů a infrastruktury, které jsou podporovány z jiných finančních zdrojů než ze SZP;</w:t>
      </w:r>
    </w:p>
    <w:p w14:paraId="02D318BF" w14:textId="6EC54440" w:rsidR="00A21F59" w:rsidRPr="006D401F" w:rsidRDefault="00041C39" w:rsidP="00A21F59">
      <w:pPr>
        <w:pStyle w:val="NormalHanging12a"/>
        <w:widowControl w:val="0"/>
      </w:pPr>
      <w:r w:rsidRPr="00FB1054">
        <w:rPr>
          <w:rStyle w:val="Strong"/>
          <w:b w:val="0"/>
          <w:bCs w:val="0"/>
          <w:color w:val="000000"/>
        </w:rPr>
        <w:t>A</w:t>
      </w:r>
      <w:r>
        <w:rPr>
          <w:rStyle w:val="Strong"/>
          <w:b w:val="0"/>
          <w:bCs w:val="0"/>
          <w:color w:val="000000"/>
        </w:rPr>
        <w:t>J</w:t>
      </w:r>
      <w:r w:rsidR="00A21F59" w:rsidRPr="00FB1054">
        <w:rPr>
          <w:rStyle w:val="Strong"/>
          <w:b w:val="0"/>
          <w:bCs w:val="0"/>
          <w:color w:val="000000"/>
        </w:rPr>
        <w:t>.</w:t>
      </w:r>
      <w:r w:rsidR="00A21F59" w:rsidRPr="00FB1054">
        <w:rPr>
          <w:rStyle w:val="Strong"/>
          <w:b w:val="0"/>
          <w:bCs w:val="0"/>
          <w:color w:val="000000"/>
        </w:rPr>
        <w:tab/>
        <w:t>vzhledem</w:t>
      </w:r>
      <w:r w:rsidR="00A21F59" w:rsidRPr="00FB1054">
        <w:t xml:space="preserve"> k tomu, že SZP by měla uznat podstatné environmentální přínosy udržitelného zemědělství a chovu hospodářských zvířat, k nimž přispívají rovněž postupy a plodiny, např. v oblasti lesnictví, agrolesnictví, včelařství, bílkovinné a dřevinné plodiny, ekologické zemědělství, textilní vlákna a nová odvětví, jako je </w:t>
      </w:r>
      <w:proofErr w:type="spellStart"/>
      <w:r w:rsidR="00A21F59" w:rsidRPr="00FB1054">
        <w:t>bioekonomika</w:t>
      </w:r>
      <w:proofErr w:type="spellEnd"/>
      <w:r w:rsidR="00A21F59" w:rsidRPr="00FB1054">
        <w:t xml:space="preserve">; </w:t>
      </w:r>
      <w:r w:rsidR="00A21F59" w:rsidRPr="00FB1054">
        <w:rPr>
          <w:rStyle w:val="Strong"/>
          <w:b w:val="0"/>
          <w:bCs w:val="0"/>
          <w:color w:val="000000"/>
        </w:rPr>
        <w:t>vzhledem</w:t>
      </w:r>
      <w:r w:rsidR="00A21F59" w:rsidRPr="00FB1054">
        <w:t xml:space="preserve"> k tomu, že je třeba zachovat a chránit odvětvové strategie pro ovoce a zeleninu, víno, olivový olej, stolní</w:t>
      </w:r>
      <w:r w:rsidR="00A21F59" w:rsidRPr="006D401F">
        <w:t xml:space="preserve"> olivy, brambory, cukrovou řepu a včelařství;</w:t>
      </w:r>
    </w:p>
    <w:p w14:paraId="7769058A" w14:textId="20D848AF" w:rsidR="00A21F59" w:rsidRPr="006D401F" w:rsidRDefault="00041C39" w:rsidP="00A21F59">
      <w:pPr>
        <w:pStyle w:val="NormalHanging12a"/>
        <w:widowControl w:val="0"/>
      </w:pPr>
      <w:r w:rsidRPr="006D401F">
        <w:t>A</w:t>
      </w:r>
      <w:r>
        <w:t>K</w:t>
      </w:r>
      <w:r w:rsidR="00A21F59" w:rsidRPr="006D401F">
        <w:t>.</w:t>
      </w:r>
      <w:r w:rsidR="00A21F59" w:rsidRPr="006D401F">
        <w:tab/>
        <w:t xml:space="preserve">vzhledem k tomu, že podle Evropské agentury pro životní prostředí způsobila sucha v EU roční hospodářské ztráty ve výši až 9 miliard EUR a do roku 2100 by tyto ztráty mohly dosáhnout až 28,6 miliard EUR, a to nad rámec ztrát způsobených jinými dopady změny klimatu; vzhledem k tomu, že zemědělci v celé EU pociťují změnu klimatu na vlastní kůži a jsou svědky rostoucí </w:t>
      </w:r>
      <w:proofErr w:type="spellStart"/>
      <w:r w:rsidR="00A21F59" w:rsidRPr="006D401F">
        <w:t>dezertifikace</w:t>
      </w:r>
      <w:proofErr w:type="spellEnd"/>
      <w:r w:rsidR="00A21F59" w:rsidRPr="006D401F">
        <w:t xml:space="preserve"> a ztrát v zemědělské produktivitě, což představuje zvláště velké potíže pro středomořské regiony; vzhledem k tomu, že extrémní klimatické jevy, jako jsou stále závažnější povodně a sucha, ohrožují </w:t>
      </w:r>
      <w:r w:rsidR="00A21F59" w:rsidRPr="006D401F">
        <w:lastRenderedPageBreak/>
        <w:t>potravinové zabezpečení EU;</w:t>
      </w:r>
    </w:p>
    <w:p w14:paraId="13067B25" w14:textId="246917C0" w:rsidR="00A21F59" w:rsidRPr="006D401F" w:rsidRDefault="00041C39" w:rsidP="00A21F59">
      <w:pPr>
        <w:pStyle w:val="NormalHanging12a"/>
        <w:widowControl w:val="0"/>
      </w:pPr>
      <w:r w:rsidRPr="006D401F">
        <w:t>A</w:t>
      </w:r>
      <w:r>
        <w:t>L</w:t>
      </w:r>
      <w:r w:rsidR="00A21F59" w:rsidRPr="006D401F">
        <w:t>.</w:t>
      </w:r>
      <w:r w:rsidR="00A21F59" w:rsidRPr="006D401F">
        <w:tab/>
        <w:t>vzhledem k tomu, že zemědělství, voda a půda jsou neoddělitelně propojeny; vzhledem k tomu, že dostupnost těchto přírodních zdrojů a udržitelné hospodaření s nimi mají zásadní význam pro dostatečnou a kvalitní produkci potravin;</w:t>
      </w:r>
    </w:p>
    <w:p w14:paraId="7AAEF628" w14:textId="6EC0E0BC" w:rsidR="00A21F59" w:rsidRPr="006D401F" w:rsidRDefault="00041C39" w:rsidP="00A21F59">
      <w:pPr>
        <w:pStyle w:val="NormalHanging12a"/>
        <w:widowControl w:val="0"/>
      </w:pPr>
      <w:r w:rsidRPr="006D401F">
        <w:t>A</w:t>
      </w:r>
      <w:r>
        <w:t>M</w:t>
      </w:r>
      <w:r w:rsidR="00A21F59" w:rsidRPr="006D401F">
        <w:t>.</w:t>
      </w:r>
      <w:r w:rsidR="00A21F59" w:rsidRPr="006D401F">
        <w:tab/>
        <w:t>vzhledem k tomu, že účinné využívání živin je klíčové pro omezení závislosti EU na chemických hnojivech, snížení emisí skleníkových plynů a zlepšení stavu půdy; vzhledem k tomu, že směrnice o dusičnanech</w:t>
      </w:r>
      <w:r w:rsidR="00A21F59" w:rsidRPr="006D401F">
        <w:rPr>
          <w:rStyle w:val="FootnoteReference"/>
          <w:color w:val="000000"/>
        </w:rPr>
        <w:footnoteReference w:id="30"/>
      </w:r>
      <w:r w:rsidR="00A21F59" w:rsidRPr="006D401F">
        <w:t xml:space="preserve"> ve své současné podobě omezuje používání zpracovaného živočišného hnoje, včetně produktů RENURE, navzdory vědeckým důkazům o jejich bezpečném používání; vzhledem k tomu, že Společné výzkumné středisko dospělo k závěru, že nahrazení syntetických minerálních hnojiv hnojivy RENURE nevede ke zvýšeným únikům dusičnanů do vody; vzhledem k tomu, že to vytváří zbytečné regulační překážky pro zemědělce, kteří usilují o uzavření koloběhů živin a snížení dopadů na životní prostředí;</w:t>
      </w:r>
    </w:p>
    <w:p w14:paraId="252653D2" w14:textId="787A9124" w:rsidR="00A21F59" w:rsidRPr="006D401F" w:rsidRDefault="00041C39" w:rsidP="00A21F59">
      <w:pPr>
        <w:pStyle w:val="NormalHanging12a"/>
        <w:widowControl w:val="0"/>
        <w:rPr>
          <w:rFonts w:eastAsia="Calibri"/>
        </w:rPr>
      </w:pPr>
      <w:r w:rsidRPr="006D401F">
        <w:t>A</w:t>
      </w:r>
      <w:r>
        <w:t>N</w:t>
      </w:r>
      <w:r w:rsidR="00A21F59" w:rsidRPr="006D401F">
        <w:t>.</w:t>
      </w:r>
      <w:r w:rsidR="00A21F59" w:rsidRPr="006D401F">
        <w:tab/>
        <w:t>vzhledem k tomu, že rostoucí nestabilita světového obchodu vyžaduje přizpůsobení obchodní politiky EU a pravidel mezinárodního obchodu, zejména v rámci Světové obchodní organizace, za účelem ochrany zemědělsko-potravinářských systémů Unie zajištěním spravedlivých a udržitelných podmínek hospodářské soutěže založených na reciprocitě a účinné ochraně obchodu;</w:t>
      </w:r>
    </w:p>
    <w:p w14:paraId="4A6A595C" w14:textId="111F143B" w:rsidR="00A21F59" w:rsidRPr="006D401F" w:rsidRDefault="00041C39" w:rsidP="00A21F59">
      <w:pPr>
        <w:pStyle w:val="NormalHanging12a"/>
        <w:widowControl w:val="0"/>
        <w:rPr>
          <w:rFonts w:eastAsia="Calibri"/>
        </w:rPr>
      </w:pPr>
      <w:r w:rsidRPr="006D401F">
        <w:t>A</w:t>
      </w:r>
      <w:r>
        <w:t>O</w:t>
      </w:r>
      <w:r w:rsidR="00A21F59" w:rsidRPr="006D401F">
        <w:t>.</w:t>
      </w:r>
      <w:r w:rsidR="00A21F59" w:rsidRPr="006D401F">
        <w:tab/>
        <w:t>vzhledem k tomu, že dovoz takových zemědělských produktů do EU, pro něž platí méně přísné normy a byly vyprodukovány s nižšími výrobními náklady než produkty vyrobené v EU, jež se vyznačují dodržováním nejpřísnějších norem, brání tomu, aby naši producenti dosáhli spravedlivých cen a ziskovosti na trhu; vzhledem k tomu, že z toho mohou plynout rizika pro veřejné zdraví, zdraví rostlin a zvířat, a to i v důsledku šíření škůdců a chorob; vzhledem k tomu, že je třeba zajistit reciprocitu v mezinárodních obchodních dohodách;</w:t>
      </w:r>
    </w:p>
    <w:p w14:paraId="6CF2EF7E" w14:textId="7057E28A" w:rsidR="00A21F59" w:rsidRPr="006D401F" w:rsidRDefault="00041C39" w:rsidP="00A21F59">
      <w:pPr>
        <w:pStyle w:val="NormalHanging12a"/>
        <w:widowControl w:val="0"/>
        <w:rPr>
          <w:rFonts w:eastAsia="Calibri"/>
        </w:rPr>
      </w:pPr>
      <w:r w:rsidRPr="006D401F">
        <w:t>A</w:t>
      </w:r>
      <w:r>
        <w:t>P</w:t>
      </w:r>
      <w:r w:rsidR="00A21F59" w:rsidRPr="006D401F">
        <w:t>.</w:t>
      </w:r>
      <w:r w:rsidR="00A21F59" w:rsidRPr="006D401F">
        <w:tab/>
        <w:t>vzhledem k tomu, že je nezbytné modernizovat fyzickou a digitální infrastrukturu, na níž je založen účinný vývoz zemědělsko-potravinářských produktů EU, aby mohla být posílena odolnost zemědělství EU pomocí diverzifikovaných vývozních trhů;</w:t>
      </w:r>
    </w:p>
    <w:p w14:paraId="3EDAA325" w14:textId="769AB06E" w:rsidR="00A21F59" w:rsidRPr="006D401F" w:rsidRDefault="00041C39" w:rsidP="00A21F59">
      <w:pPr>
        <w:pStyle w:val="NormalHanging12a"/>
        <w:widowControl w:val="0"/>
      </w:pPr>
      <w:r w:rsidRPr="006D401F">
        <w:t>A</w:t>
      </w:r>
      <w:r>
        <w:t>Q</w:t>
      </w:r>
      <w:r w:rsidR="00A21F59" w:rsidRPr="006D401F">
        <w:t>.</w:t>
      </w:r>
      <w:r w:rsidR="00A21F59" w:rsidRPr="006D401F">
        <w:tab/>
        <w:t xml:space="preserve">vzhledem k tomu, že Světová zdravotnická organizace doporučuje jako součást rozmanité a vyvážené stravy luštěniny, ovoce a zeleninu a doporučuje zahrnout do ní i mírnou konzumaci bílkovin, včetně živočišných; vzhledem k tomu, že maso a další živočišné produkty jsou cenným zdrojem bílkovin vysoké biologické hodnoty a základních stopových prvků; vzhledem k tomu, že udržitelný chov hospodářských zvířat významně přispívá k ochraně biologické rozmanitosti, předcházení lesním požárům, udržování krajiny, zajišťování živin v půdě a potravinovému zabezpečení, jakož i k národní kultuře a dědictví; vzhledem k tomu, že ve svém sdělení o dlouhodobé vizi pro venkovské oblasti EU Komise uznala, že je důležité vypracovat dlouhodobou strategii pro živočišnou výrobu, a oznámila zahájení specializované pracovní činnosti na toto téma; vzhledem k tomu, že cílené investice do technik chovu a dalších inovativních řešení mohou snížit emise z hospodářských zvířat a zároveň zajistit produktivitu a dobré </w:t>
      </w:r>
      <w:r w:rsidR="00A21F59" w:rsidRPr="006D401F">
        <w:lastRenderedPageBreak/>
        <w:t>životní podmínky zvířat;</w:t>
      </w:r>
    </w:p>
    <w:p w14:paraId="64B18B58" w14:textId="276F662C" w:rsidR="00A21F59" w:rsidRPr="006D401F" w:rsidRDefault="00041C39" w:rsidP="00A21F59">
      <w:pPr>
        <w:pStyle w:val="NormalHanging12a"/>
        <w:widowControl w:val="0"/>
      </w:pPr>
      <w:r w:rsidRPr="006D401F">
        <w:t>A</w:t>
      </w:r>
      <w:r>
        <w:t>R</w:t>
      </w:r>
      <w:r w:rsidR="00A21F59" w:rsidRPr="006D401F">
        <w:t>.</w:t>
      </w:r>
      <w:r w:rsidR="00A21F59" w:rsidRPr="006D401F">
        <w:tab/>
        <w:t>vzhledem k tomu, že přibližně 70 % surovin pro výrobu krmiv bohatých na bílkoviny potřebných v EU je třeba dovážet ze zemí mimo EU, protože EU má značný nedostatek v produkci rostlinných bílkovin; vzhledem k tomu, že Parlament a členské státy opakovaně žádaly o smysluplnou strategii EU v oblasti bílkovin za účelem zvýšení produkce bílkovinných plodin v EU, aby bylo možné snížit tuto vysokou míru závislosti;</w:t>
      </w:r>
    </w:p>
    <w:p w14:paraId="0A3BA50F" w14:textId="77AF6359" w:rsidR="00A21F59" w:rsidRPr="006D401F" w:rsidRDefault="00041C39" w:rsidP="00A21F59">
      <w:pPr>
        <w:pStyle w:val="NormalHanging12a"/>
        <w:widowControl w:val="0"/>
      </w:pPr>
      <w:r w:rsidRPr="006D401F">
        <w:t>A</w:t>
      </w:r>
      <w:r>
        <w:t>S</w:t>
      </w:r>
      <w:r w:rsidR="00A21F59" w:rsidRPr="006D401F">
        <w:t>.</w:t>
      </w:r>
      <w:r w:rsidR="00A21F59" w:rsidRPr="006D401F">
        <w:tab/>
        <w:t>vzhledem k tomu, že v zájmu snazší integrace výstupů výzkumu do praktických a místně přizpůsobených zemědělských řešení, do podpory inovace a hospodářského rozvoje je třeba posílit součinnost s dalšími nástroji EU, jako je Horizont Evropa a politika soudržnosti; vzhledem k tomu, že vyšší konektivita, lepší digitální dovednosti a zavádění autonomních technologií ve venkovských oblastech mají zásadní význam pro posílení konkurenceschopnosti tohoto odvětví a jeho odolnosti vůči změně klimatu a pro zvýšení přitažlivosti venkovských oblastí pro mladší generace a kvalifikované odborníky;</w:t>
      </w:r>
    </w:p>
    <w:p w14:paraId="2D37EE1E" w14:textId="1E834478" w:rsidR="00A21F59" w:rsidRPr="006D401F" w:rsidRDefault="00041C39" w:rsidP="00A21F59">
      <w:pPr>
        <w:pStyle w:val="NormalHanging12a"/>
        <w:widowControl w:val="0"/>
      </w:pPr>
      <w:r w:rsidRPr="006D401F">
        <w:t>A</w:t>
      </w:r>
      <w:r>
        <w:t>T</w:t>
      </w:r>
      <w:r w:rsidR="00A21F59" w:rsidRPr="006D401F">
        <w:t>.</w:t>
      </w:r>
      <w:r w:rsidR="00A21F59" w:rsidRPr="006D401F">
        <w:tab/>
        <w:t xml:space="preserve">vzhledem k tomu, že většina biotechnologického výzkumu se v současné době provádí mimo EU; vzhledem k tomu, že tento výzkum se často zaměřuje na </w:t>
      </w:r>
      <w:proofErr w:type="spellStart"/>
      <w:r w:rsidR="00A21F59" w:rsidRPr="006D401F">
        <w:t>agro</w:t>
      </w:r>
      <w:proofErr w:type="spellEnd"/>
      <w:r w:rsidR="00A21F59" w:rsidRPr="006D401F">
        <w:t>-ekonomická témata, která jsou pro EU relevantní pouze částečně, což vede k potenciálním ztrátám investic i příležitostí pro zemědělce v EU; vzhledem k tomu, že EU by proto měla investovat do vývoje biotechnologií přizpůsobených jejím vlastním zemědělským potřebám; vzhledem k tomu, že zrušení povolení k uvádění přípravků na ochranu rostlin na trh bez účinných alternativ vystavuje zemědělce škůdcům a chorobám, snižuje jejich ziskovost a konkurenceschopnost, zvyšuje plýtvání potravinami a představuje hrozbu pro potravinové zabezpečení;</w:t>
      </w:r>
    </w:p>
    <w:p w14:paraId="55B6BB2E" w14:textId="2CE6823E" w:rsidR="00A21F59" w:rsidRPr="006D401F" w:rsidRDefault="00041C39" w:rsidP="00A21F59">
      <w:pPr>
        <w:pStyle w:val="NormalHanging12a"/>
        <w:widowControl w:val="0"/>
      </w:pPr>
      <w:r w:rsidRPr="006D401F">
        <w:t>A</w:t>
      </w:r>
      <w:r>
        <w:t>U</w:t>
      </w:r>
      <w:r w:rsidR="00A21F59" w:rsidRPr="006D401F">
        <w:t>.</w:t>
      </w:r>
      <w:r w:rsidR="00A21F59" w:rsidRPr="006D401F">
        <w:tab/>
        <w:t>vzhledem k tomu, že EU vypracovala řadu vesmírných programů (EGNOS a Galileo) a programů pro pozorování Země (</w:t>
      </w:r>
      <w:proofErr w:type="spellStart"/>
      <w:r w:rsidR="00A21F59" w:rsidRPr="006D401F">
        <w:t>Copernicus</w:t>
      </w:r>
      <w:proofErr w:type="spellEnd"/>
      <w:r w:rsidR="00A21F59" w:rsidRPr="006D401F">
        <w:t>), které by mohly pomoci monitorovat provádění SZP tak, aby zemědělci a lesníci měli přesné údaje o půdě, kterou obhospodařují, a aby se případně zjednodušila a snížila administrativní zátěž;</w:t>
      </w:r>
    </w:p>
    <w:p w14:paraId="5E37BC16" w14:textId="221F456A" w:rsidR="00A21F59" w:rsidRPr="006D401F" w:rsidRDefault="00041C39" w:rsidP="00A21F59">
      <w:pPr>
        <w:pStyle w:val="NormalHanging12a"/>
        <w:widowControl w:val="0"/>
      </w:pPr>
      <w:r w:rsidRPr="006D401F">
        <w:t>A</w:t>
      </w:r>
      <w:r>
        <w:t>V</w:t>
      </w:r>
      <w:r w:rsidR="00A21F59" w:rsidRPr="006D401F">
        <w:t>.</w:t>
      </w:r>
      <w:r w:rsidR="00A21F59" w:rsidRPr="006D401F">
        <w:tab/>
        <w:t>vzhledem k tomu, že venkovské oblasti EU pokrývají 83 % území EU a žije v nich 137 milionů osob; vzhledem k tomu, že budoucnost a prosperita venkovských oblastí jsou zásadní pro zabezpečení dodávek potravin a pro autonomii a odolnost Evropy; vzhledem k tomu, že zemědělsko-potravinářské systémy umožnily během nedávných krizí trvalý přístup k bezpečným a kvalitním potravinám navzdory tomu, že inflace nepříznivě ovlivňovala dostupnost potravin; vzhledem k tomu, že s cílem zajistit životaschopnost a atraktivitu venkovských regionů musí politiky podporovat zemědělství jako hlavní činnost a současně i hospodářskou diverzifikaci, a to prostřednictvím rozvoje udržitelného venkovského cestovního ruchu, malých podniků, řemesel a místních služeb; vzhledem k tomu, že výroba energie může být pro zemědělce dalším zdrojem příjmů, ale neměla by mít dopad na produkci potravin; vzhledem k tomu, že iniciativa LEADER a komunitně vedený místní rozvoj se osvědčily jako cenné nástroje pro udržitelný rozvoj a jsou ústředním bodem politik EU; vzhledem k tomu, že SZP sama o sobě nemůže být řešením pro všechny potřeby a výzvy, jimž čelí venkovské oblasti;</w:t>
      </w:r>
    </w:p>
    <w:p w14:paraId="1B3772CF" w14:textId="24B6B286" w:rsidR="00A21F59" w:rsidRPr="006D401F" w:rsidRDefault="00041C39" w:rsidP="00A21F59">
      <w:pPr>
        <w:pStyle w:val="NormalHanging12a"/>
        <w:widowControl w:val="0"/>
      </w:pPr>
      <w:r w:rsidRPr="006D401F">
        <w:t>A</w:t>
      </w:r>
      <w:r>
        <w:t>W</w:t>
      </w:r>
      <w:r w:rsidR="00A21F59" w:rsidRPr="006D401F">
        <w:t>.</w:t>
      </w:r>
      <w:r w:rsidR="00A21F59" w:rsidRPr="006D401F">
        <w:tab/>
        <w:t xml:space="preserve">vzhledem k tomu, že SZP by se měla podílet na harmonickém rozvoji EU posilováním hospodářské, sociální a územní soudržnosti, a proto musí i nadále kompenzovat oblasti </w:t>
      </w:r>
      <w:r w:rsidR="00A21F59" w:rsidRPr="006D401F">
        <w:lastRenderedPageBreak/>
        <w:t>s přírodními omezeními, jako jsou horské, suché, ostrovní, nejvzdálenější a znevýhodněné regiony, za dodatečné náklady spojené s jejich zeměpisnými nebo demografickými omezeními, aby zabránila ukončování zemědělské činnosti a následnému vylidňování těchto oblastí; vzhledem k tomu, že je nezbytné uznat důležitou roli, kterou na těchto územích plní zemědělci, pokud jde o poskytování environmentálních, hospodářských a sociálních služeb;</w:t>
      </w:r>
    </w:p>
    <w:p w14:paraId="393C285F" w14:textId="0FEB8F4E" w:rsidR="00A21F59" w:rsidRPr="006D401F" w:rsidRDefault="00041C39" w:rsidP="00A21F59">
      <w:pPr>
        <w:pStyle w:val="NormalHanging12a"/>
        <w:widowControl w:val="0"/>
      </w:pPr>
      <w:r w:rsidRPr="006D401F">
        <w:t>A</w:t>
      </w:r>
      <w:r>
        <w:t>X</w:t>
      </w:r>
      <w:r w:rsidR="00A21F59" w:rsidRPr="006D401F">
        <w:t>.</w:t>
      </w:r>
      <w:r w:rsidR="00A21F59" w:rsidRPr="006D401F">
        <w:tab/>
        <w:t>vzhledem k tomu, že nejvzdálenější regiony čelí specifickým problémům kvůli své zeměpisné poloze; vzhledem k tomu, že program POSEI uplatňuje intervence prvního pilíře SZP přizpůsobené zvláštním podmínkám nejvzdálenějších regionů; vzhledem k tomu, že tento program má v těchto regionech zásadní význam pro zachování zemědělské činnosti a zajištění zásobování potravinami a zemědělskými produkty; vzhledem k tomu, že provádění tohoto programu je důležité a úspěšné, zejména z hlediska zvýšení produkce určené k místní spotřebě, jak dokazují zprávy Komise o jeho provádění v letech 2006–2014 a 2015–2019; vzhledem k tomu, že od roku 2007 nicméně nedošlo k revizi rozpočtových přídělů na program POSEI, což v důsledku inflace vedlo ke kumulativnímu znehodnocení nejméně o 36 %; vzhledem k tomu, že to výrazně omezilo úroveň podpory EU, kterou mají k dispozici zemědělci z nejvzdálenějších regionů, a vzhledem k tomu, že je zřejmé, že je třeba přenastavit přidělování finančních prostředků z programu POSEI, aby se toto znehodnocení kompenzovalo;</w:t>
      </w:r>
    </w:p>
    <w:p w14:paraId="53E58EB1" w14:textId="5AE567E5" w:rsidR="00A21F59" w:rsidRPr="006D401F" w:rsidRDefault="00041C39" w:rsidP="00A21F59">
      <w:pPr>
        <w:pStyle w:val="NormalHanging12a"/>
        <w:widowControl w:val="0"/>
      </w:pPr>
      <w:r w:rsidRPr="006D401F">
        <w:t>A</w:t>
      </w:r>
      <w:r>
        <w:t>Y</w:t>
      </w:r>
      <w:r w:rsidR="00A21F59" w:rsidRPr="006D401F">
        <w:t>.</w:t>
      </w:r>
      <w:r w:rsidR="00A21F59" w:rsidRPr="006D401F">
        <w:tab/>
        <w:t xml:space="preserve">vzhledem k tomu, že konkurenceschopné zemědělství, potravinářství a lesnictví může nadále hrát zásadní úlohu při plnění cílů týkajících se zabezpečení dodávek potravin, veřejného zdraví a ochrany životního prostředí v souladu s politikami Unie, přičemž zemědělcům je třeba poskytovat pobídky a odměny za jejich přínos a pomáhat jim tím, že se </w:t>
      </w:r>
      <w:proofErr w:type="gramStart"/>
      <w:r w:rsidR="00A21F59" w:rsidRPr="006D401F">
        <w:t>níží</w:t>
      </w:r>
      <w:proofErr w:type="gramEnd"/>
      <w:r w:rsidR="00A21F59" w:rsidRPr="006D401F">
        <w:t xml:space="preserve"> zbytečná regulační a správní zátěž spojená s opatřeními, která přijímají;</w:t>
      </w:r>
    </w:p>
    <w:p w14:paraId="289FEF66" w14:textId="2DCF9DC0" w:rsidR="00A21F59" w:rsidRPr="006D401F" w:rsidRDefault="00041C39" w:rsidP="00A21F59">
      <w:pPr>
        <w:pStyle w:val="NormalHanging12a"/>
        <w:widowControl w:val="0"/>
      </w:pPr>
      <w:r w:rsidRPr="006D401F">
        <w:t>A</w:t>
      </w:r>
      <w:r>
        <w:t>Z</w:t>
      </w:r>
      <w:r w:rsidR="00A21F59" w:rsidRPr="006D401F">
        <w:t>.</w:t>
      </w:r>
      <w:r w:rsidR="00A21F59" w:rsidRPr="006D401F">
        <w:tab/>
        <w:t>vzhledem k tomu, že evropští zemědělci vyvinuli prostřednictvím SZP značné úsilí, aby do své činnosti začlenili environmentální a klimatické cíle slučitelné s požadavky stanovenými v právních předpisech EU za účelem adaptace zemědělství na stále větší výzvy a krize způsobené změnou klimatu; vzhledem k tomu, že zemědělci jsou již nyní v popředí snah o ochranu životního prostředí a půdy a s ohledem na změnu klimatu hrají v této otázce klíčovou úlohu a že emise skleníkových plynů ze zemědělství celkově v EU v letech 2005 až 2023 podle odhadů poklesly o 7 %</w:t>
      </w:r>
      <w:r w:rsidR="00A21F59" w:rsidRPr="006D401F">
        <w:rPr>
          <w:rStyle w:val="FootnoteReference"/>
          <w:bCs/>
          <w:iCs/>
          <w:color w:val="000000"/>
        </w:rPr>
        <w:footnoteReference w:id="31"/>
      </w:r>
      <w:r w:rsidR="00A21F59" w:rsidRPr="006D401F">
        <w:t>;</w:t>
      </w:r>
    </w:p>
    <w:p w14:paraId="1AAFE064" w14:textId="10E39543" w:rsidR="00A21F59" w:rsidRPr="006D401F" w:rsidRDefault="00041C39" w:rsidP="00A21F59">
      <w:pPr>
        <w:pStyle w:val="NormalHanging12a"/>
        <w:widowControl w:val="0"/>
        <w:rPr>
          <w:kern w:val="2"/>
        </w:rPr>
      </w:pPr>
      <w:r>
        <w:t>BA</w:t>
      </w:r>
      <w:r w:rsidR="00A21F59" w:rsidRPr="006D401F">
        <w:t>.</w:t>
      </w:r>
      <w:r w:rsidR="00A21F59" w:rsidRPr="006D401F">
        <w:tab/>
        <w:t>vzhledem k tomu, že je nezbytné zajistit, aby požadavky na podmíněnost v rámci SZP a závazky v oblasti životního prostředí zohledňovaly rozmanitost zemědělství v EU a nepředstavovaly pro zemědělce, zejména ty nejzranitelnější, nepřiměřenou administrativní zátěž; vzhledem k tomu, že je třeba dosáhnout lepší rovnováhy mezi povinnou povahou některých opatření a systémem založeným na pobídkách, který zemědělcům umožní dobrovolně zavádět udržitelnější zemědělské postupy, aniž by to vedlo ke snížení produkce potravin, čímž se zajistí jejich konkurenceschopnost a ziskovost, jakož i dostatečná flexibilita umožňující uplatňování řešení odpovídajících místní úrovni;</w:t>
      </w:r>
    </w:p>
    <w:p w14:paraId="684028FA" w14:textId="05E1DBE6" w:rsidR="00A21F59" w:rsidRPr="006D401F" w:rsidRDefault="00041C39" w:rsidP="00A21F59">
      <w:pPr>
        <w:pStyle w:val="NormalHanging12a"/>
        <w:widowControl w:val="0"/>
      </w:pPr>
      <w:r w:rsidRPr="006D401F">
        <w:lastRenderedPageBreak/>
        <w:t>B</w:t>
      </w:r>
      <w:r>
        <w:t>B</w:t>
      </w:r>
      <w:r w:rsidR="00A21F59" w:rsidRPr="006D401F">
        <w:t>.</w:t>
      </w:r>
      <w:r w:rsidR="00A21F59" w:rsidRPr="006D401F">
        <w:tab/>
        <w:t xml:space="preserve">vzhledem k tomu, že je nezbytné provést kumulativní hodnocení právních předpisů souvisejících se </w:t>
      </w:r>
      <w:proofErr w:type="gramStart"/>
      <w:r w:rsidR="00A21F59" w:rsidRPr="006D401F">
        <w:t>Zelenou</w:t>
      </w:r>
      <w:proofErr w:type="gramEnd"/>
      <w:r w:rsidR="00A21F59" w:rsidRPr="006D401F">
        <w:t xml:space="preserve"> dohodou, aby bylo možné posoudit jejich celkový dopad na zemědělsko-potravinářské odvětví, včetně regulační soudržnosti, administrativní zátěže, konkurenceschopnosti a schopnosti odvětví zajistit potravinové zabezpečení a strategickou odolnost;</w:t>
      </w:r>
      <w:r w:rsidR="00A21F59" w:rsidRPr="006D401F">
        <w:tab/>
      </w:r>
    </w:p>
    <w:p w14:paraId="0070F80F" w14:textId="44BDAEA4" w:rsidR="00A21F59" w:rsidRPr="006D401F" w:rsidRDefault="00041C39" w:rsidP="00A21F59">
      <w:pPr>
        <w:pStyle w:val="NormalHanging12a"/>
        <w:widowControl w:val="0"/>
      </w:pPr>
      <w:r w:rsidRPr="006D401F">
        <w:t>B</w:t>
      </w:r>
      <w:r>
        <w:t>C</w:t>
      </w:r>
      <w:r w:rsidR="00A21F59" w:rsidRPr="006D401F">
        <w:t>.</w:t>
      </w:r>
      <w:r w:rsidR="00A21F59" w:rsidRPr="006D401F">
        <w:tab/>
        <w:t>vzhledem k tomu, že SZP by při ukládání dodatečných omezení přístupu k půdě měla zohlednit regiony, ve kterých panuje silná konkurence mezi rozvojem měst a zemědělstvím, aby se v těchto oblastech zachovala zemědělská činnost;</w:t>
      </w:r>
    </w:p>
    <w:p w14:paraId="08E906E2" w14:textId="3BE1AA3C" w:rsidR="00A21F59" w:rsidRPr="006D401F" w:rsidRDefault="00041C39" w:rsidP="00A21F59">
      <w:pPr>
        <w:pStyle w:val="NormalHanging12a"/>
        <w:rPr>
          <w:szCs w:val="24"/>
        </w:rPr>
      </w:pPr>
      <w:r w:rsidRPr="006D401F">
        <w:t>B</w:t>
      </w:r>
      <w:r>
        <w:t>D</w:t>
      </w:r>
      <w:r w:rsidR="00A21F59" w:rsidRPr="006D401F">
        <w:t>.</w:t>
      </w:r>
      <w:r w:rsidR="00E61C9E">
        <w:tab/>
      </w:r>
      <w:r w:rsidR="00A21F59" w:rsidRPr="006D401F">
        <w:t>vzhledem k tomu, že úspěch inovací v zemědělství závisí nejen na technologickém pokroku, ale také na účinném předávání znalostí a aktivním zapojení zemědělců do výzkumných a inovačních procesů; vzhledem k tomu, že nástroje, jako je zemědělský znalostní a inovační systém (AKIS), pracovní skupiny v rámci partnerství EIP-AGRI a projekty zahrnující více aktérů podporované programem Horizont Evropa, prokázaly hodnotu společné tvorby, adaptace na místní podmínky a silnějších vazeb mezi zemědělci, výzkumnými pracovníky a poradci;</w:t>
      </w:r>
    </w:p>
    <w:p w14:paraId="6EB9BEC0" w14:textId="77777777" w:rsidR="00A21F59" w:rsidRPr="006D401F" w:rsidRDefault="00A21F59" w:rsidP="00A21F59">
      <w:pPr>
        <w:pStyle w:val="Normal12a24b"/>
        <w:rPr>
          <w:i/>
          <w:iCs/>
        </w:rPr>
      </w:pPr>
      <w:r w:rsidRPr="006D401F">
        <w:rPr>
          <w:rStyle w:val="Bold"/>
          <w:i/>
        </w:rPr>
        <w:t xml:space="preserve">Na cestě ke konkurenceschopnému a udržitelnému zemědělství </w:t>
      </w:r>
    </w:p>
    <w:p w14:paraId="5A00D55F" w14:textId="41846637" w:rsidR="00BA2544" w:rsidRDefault="00A21F59" w:rsidP="00A21F59">
      <w:pPr>
        <w:pStyle w:val="NormalHanging12a"/>
      </w:pPr>
      <w:r w:rsidRPr="006D401F">
        <w:t>1.</w:t>
      </w:r>
      <w:r w:rsidRPr="006D401F">
        <w:tab/>
      </w:r>
      <w:r w:rsidR="00BA2544" w:rsidRPr="00BA2544">
        <w:t>konstatuje, že dne 16. července 2025 předložila Komise spolu se svým návrhem nového víceletého finančního rámce na období 2028–2034 legislativní návrhy na reformu SZP; trvá však na tom, že postoj Parlamentu k budoucnosti SZP a zemědělství EU je stále takový, jak je uvedeno v tomto usnesení;</w:t>
      </w:r>
    </w:p>
    <w:p w14:paraId="3805C1F5" w14:textId="372FD7AA" w:rsidR="00041C39" w:rsidRPr="006D401F" w:rsidRDefault="00BA2544" w:rsidP="00BA2544">
      <w:pPr>
        <w:pStyle w:val="NormalHanging12a"/>
      </w:pPr>
      <w:r>
        <w:t>2.</w:t>
      </w:r>
      <w:r>
        <w:tab/>
      </w:r>
      <w:r w:rsidR="00A21F59" w:rsidRPr="006D401F">
        <w:t>bere na vědomí zprávu Komise nazvanou „Vize pro zemědělství a potraviny“ jako slibný plán pro SZP po roce 2027, který obsahuje důležité příspěvky založené na generační obměně, konkurenceschopnosti, udržitelnosti, odolnosti, zjednodušení a větší reciprocitě norem v rámci obchodu s důrazem na inovace v zájmu dosažení hospodářské, sociální a environmentální udržitelnosti, na upřednostnění pobídek před omezeními a na spravedlivější zacílení podpory SZP; uznává, že v rámci tohoto přístupu je znovu kladen důraz na tradiční hlavní cíle SZP zakotvené v článku 39 SFEU; zdůrazňuje, že pro dosažení těchto cílů je důležité zajistit samostatný rozpočet SZP;</w:t>
      </w:r>
    </w:p>
    <w:p w14:paraId="003AEB8B" w14:textId="5B4CA5C6" w:rsidR="00A21F59" w:rsidRPr="006D401F" w:rsidRDefault="00041C39" w:rsidP="00A21F59">
      <w:pPr>
        <w:pStyle w:val="NormalHanging12a"/>
      </w:pPr>
      <w:r>
        <w:t>3</w:t>
      </w:r>
      <w:r w:rsidR="00A21F59" w:rsidRPr="006D401F">
        <w:t>.</w:t>
      </w:r>
      <w:r w:rsidR="00A21F59" w:rsidRPr="006D401F">
        <w:tab/>
        <w:t>zdůrazňuje, že zemědělství hraje zásadní úlohu, pokud jde o zajišťování potravin pro EU i mimo ni, o ochranu lidského zdraví, zachování biologické rozmanitosti a zdravé půdy a vody a sociální soudržnost; zdůrazňuje, že budoucí SZP by měla zjednodušit přístup k opatřením zaměřeným na přizpůsobení se změně klimatu a její zmírňování a že úsilí zemědělců v tomto ohledu by mělo být odměněno; zdůrazňuje, že zemědělce je třeba podporovat, neboť plní klíčovou roli při zajišťování udržitelnosti evropské zemědělské produkce v celém jejím environmentálním, sociálním a hospodářském rozměru a zároveň přispívají k potravinovému zabezpečení a strategické autonomii; vyzývá k tomu, aby před vypracováním návrhů nových předpisů, které budou pro zemědělce znamenat nové požadavky a byrokratickou zátěž, bylo provedeno posouzení dopadu, které zohlední dopady na úrovni zemědělských podniků, a vyzývá k přezkumu všech stávajících povinností; vyzývá k tomu, aby zemědělství zůstalo politikou EU a nespadalo do jediného fondu, aby pro členské státy tak byly zajištěny jednotné podmínky;</w:t>
      </w:r>
    </w:p>
    <w:p w14:paraId="6F6AF548" w14:textId="26807EF0" w:rsidR="00A21F59" w:rsidRPr="006D401F" w:rsidRDefault="00041C39" w:rsidP="00A21F59">
      <w:pPr>
        <w:pStyle w:val="NormalHanging12a"/>
        <w:rPr>
          <w:szCs w:val="24"/>
        </w:rPr>
      </w:pPr>
      <w:r>
        <w:t>4</w:t>
      </w:r>
      <w:r w:rsidR="00A21F59" w:rsidRPr="006D401F">
        <w:t>.</w:t>
      </w:r>
      <w:r w:rsidR="00A21F59" w:rsidRPr="006D401F">
        <w:tab/>
        <w:t xml:space="preserve">vyzývá k tomu, aby v rámci příštího VFR byl konkrétně pro SZP vyčleněn vyšší rozpočet, který by byl indexován s ohledem na inflaci prostřednictvím každoročního </w:t>
      </w:r>
      <w:r w:rsidR="00A21F59" w:rsidRPr="006D401F">
        <w:lastRenderedPageBreak/>
        <w:t>přehodnocování, aby bylo zajištěno zabezpečení dodávek potravin bez ohledu na nestabilitu obchodu vyplývající z nestability geopolitického prostředí; zdůrazňuje, že bez dostatečných zdrojů již SZP nebude moci být hlavní hnací silou zajišťování udržitelnosti evropského zemědělství z hospodářského, environmentálního a sociálního hlediska a zároveň nebude moci zaručit spravedlivý příjem a spravedlivé podmínky pro každého, kdo pracuje v zemědělství, a garantovat plně funkční jednotný trh; žádá, aby finanční prostředky vyčleněné na SZP byly v rozpočtu i nadále určeny na tento účel, zejména přímé platby; důrazně nesouhlasí s myšlenkou, že by členským státům mělo být umožněno využívat rozpočet SZP jako část celkového finančního krytí na jiné účely než zemědělství; zdůrazňuje, že odpovídající rozpočet zajistí pokračování společné politiky;</w:t>
      </w:r>
    </w:p>
    <w:p w14:paraId="7550B76D" w14:textId="2A928725" w:rsidR="00A21F59" w:rsidRPr="006D401F" w:rsidRDefault="00041C39" w:rsidP="00A21F59">
      <w:pPr>
        <w:pStyle w:val="NormalHanging12a"/>
        <w:rPr>
          <w:szCs w:val="24"/>
        </w:rPr>
      </w:pPr>
      <w:r>
        <w:t>5</w:t>
      </w:r>
      <w:r w:rsidR="00A21F59" w:rsidRPr="006D401F">
        <w:t>.</w:t>
      </w:r>
      <w:r w:rsidR="00A21F59" w:rsidRPr="006D401F">
        <w:tab/>
        <w:t>vyzývá Komisi a </w:t>
      </w:r>
      <w:proofErr w:type="spellStart"/>
      <w:r w:rsidR="00A21F59" w:rsidRPr="006D401F">
        <w:t>spolunormotvůrce</w:t>
      </w:r>
      <w:proofErr w:type="spellEnd"/>
      <w:r w:rsidR="00A21F59" w:rsidRPr="006D401F">
        <w:t>, aby zachovali pevnou a účelově vázanou podporu příjmu jako klíčovou složku SZP po roce 2027, a uznali tak její zásadní funkci z hlediska zajišťování produkce potravin se zaručením přísných kvalitativních a zdravotních norem pro spotřebitele v EU, poskytli zemědělcům, kteří musí čelit volatilitě trhu a extrémním povětrnostním jevům, stabilitu, zajistili jim přiměřenou životní úroveň, zaručili bezpečnost dodávek a směřovali v oblasti potravin a krmiv k soběstačnosti; domnívá se, že je rovněž třeba zohlednit současnou situaci regionů na vnějších hranicích EU;</w:t>
      </w:r>
    </w:p>
    <w:p w14:paraId="3499CAF5" w14:textId="525754A2" w:rsidR="00A21F59" w:rsidRPr="006D401F" w:rsidRDefault="00041C39" w:rsidP="00A21F59">
      <w:pPr>
        <w:pStyle w:val="NormalHanging12a"/>
      </w:pPr>
      <w:r>
        <w:t>6</w:t>
      </w:r>
      <w:r w:rsidR="00A21F59" w:rsidRPr="006D401F">
        <w:t>.</w:t>
      </w:r>
      <w:r w:rsidR="00A21F59" w:rsidRPr="006D401F">
        <w:tab/>
        <w:t>je znepokojen případnými reformami v rozpočtu EU na období po roce 2027, včetně možné centralizace toků financování; varuje před tím, že spojení SZP s dalšími oblastmi financování, jako je soudržnost, regionální rozvoj a rybolov, by mohlo oslabit specifickou úlohu zemědělské politiky;</w:t>
      </w:r>
    </w:p>
    <w:p w14:paraId="0B0BE44F" w14:textId="7B569B8C" w:rsidR="00A21F59" w:rsidRPr="006D401F" w:rsidRDefault="00041C39" w:rsidP="00A21F59">
      <w:pPr>
        <w:pStyle w:val="NormalHanging12a"/>
      </w:pPr>
      <w:r>
        <w:t>7</w:t>
      </w:r>
      <w:r w:rsidR="00A21F59" w:rsidRPr="006D401F">
        <w:t>.</w:t>
      </w:r>
      <w:r w:rsidR="00A21F59" w:rsidRPr="006D401F">
        <w:tab/>
        <w:t>zdůrazňuje, že je třeba, aby si SZP v období po roce 2027 zachovala vlastní právní a institucionální status; poukazuje na to, že je důležité, aby rozpočet SZP byl i nadále samostatný, nezávislý a specializovaný a aby byl přizpůsobený specifickým potřebám evropského zemědělského odvětví; vyzývá Komisi, aby snížila administrativní zátěž, a zajistila tak zemědělcům přímý přístup k podporám, aniž by museli nadměrně využívat externí konzultanty;</w:t>
      </w:r>
    </w:p>
    <w:p w14:paraId="6242733A" w14:textId="449A3BC0" w:rsidR="00A21F59" w:rsidRPr="006D401F" w:rsidRDefault="00041C39" w:rsidP="00A21F59">
      <w:pPr>
        <w:pStyle w:val="NormalHanging12a"/>
      </w:pPr>
      <w:r>
        <w:t>8</w:t>
      </w:r>
      <w:r w:rsidR="00A21F59" w:rsidRPr="006D401F">
        <w:t>.</w:t>
      </w:r>
      <w:r w:rsidR="00A21F59" w:rsidRPr="006D401F">
        <w:tab/>
        <w:t>znovu potvrzuje, že je důležité zachovat SZP jako zvláštní samostatnou politiku, která funguje jako partnerství mezi zemědělstvím a společností a mezi Evropou a jejími zemědělci a poskytuje zemědělcům spolehlivou podporu v zájmu zlepšení potravinového zabezpečení; rozhodně odmítá jakýkoli návrh na začlenění rozpočtu SZP do jednoho fondu s dalšími politikami nebo fondy, neboť takový přístup by snížil účinnost intervencí a ohrozil by strategické cíle Unie v oblasti potravinového zabezpečení a rozvoje venkova;</w:t>
      </w:r>
    </w:p>
    <w:p w14:paraId="2A4B71AE" w14:textId="6BF3122F" w:rsidR="00A21F59" w:rsidRPr="006D401F" w:rsidRDefault="00041C39" w:rsidP="00A21F59">
      <w:pPr>
        <w:pStyle w:val="NormalHanging12a"/>
      </w:pPr>
      <w:r>
        <w:t>9</w:t>
      </w:r>
      <w:r w:rsidR="00A21F59" w:rsidRPr="006D401F">
        <w:t>.</w:t>
      </w:r>
      <w:r w:rsidR="00A21F59" w:rsidRPr="006D401F">
        <w:tab/>
        <w:t>poukazuje na to, že v současném geopolitickém kontextu se bezpečný a stálý přístup k potravinám stal záležitostí strategické bezpečnosti a závislost na dovozu může být využívána jako nástroj nátlaku; zdůrazňuje, že v této souvislosti by měl být kladen větší důraz na tradiční hlavní cíle SZP, kterými jsou podpora potravinového zabezpečení a odolnosti, zajištění spravedlivých příjmů pro zemědělce a zlepšení tržní stability a konkurenceschopnosti;</w:t>
      </w:r>
    </w:p>
    <w:p w14:paraId="2B54F27C" w14:textId="670D8251" w:rsidR="00A21F59" w:rsidRPr="006D401F" w:rsidRDefault="00041C39" w:rsidP="00A21F59">
      <w:pPr>
        <w:pStyle w:val="NormalHanging12a"/>
      </w:pPr>
      <w:r>
        <w:t>10</w:t>
      </w:r>
      <w:r w:rsidR="00A21F59" w:rsidRPr="006D401F">
        <w:t>.</w:t>
      </w:r>
      <w:r w:rsidR="00A21F59" w:rsidRPr="006D401F">
        <w:tab/>
        <w:t xml:space="preserve">zdůrazňuje, že udržitelná potravinářská a zemědělská produkce hraje s ohledem na nový geopolitický kontext výraznější strategickou roli jako zásadní součást evropské bezpečnosti, stability a suverenity, jakož i strategické autonomie, a že výše a rámec </w:t>
      </w:r>
      <w:r w:rsidR="00A21F59" w:rsidRPr="006D401F">
        <w:lastRenderedPageBreak/>
        <w:t>rozpočtu SZP musí tuto skutečnost zohledňovat; trvá na tom, že zemědělství EU by mělo být uznáno nejen jako hospodářské odvětví, ale také jako geopolitický úhelný kámen, nástroj sociální a územní stability a zásadní prvek bezpečnostní a obranné politiky EU; konstatuje, že země, které hrají na celosvětové úrovni v zemědělství klíčovou roli, s výjimkou EU, zvýšily od krize cen potravin v letech 2007–2008 své výdaje i ochranná opatření v tomto odvětví; připomíná, že má-li být zaručena dlouhodobá udržitelnost našich potravinových systémů, závisí produktivita a odolnost zemědělství na udržitelném řízení přírodních zdrojů; zdůrazňuje, že je třeba, aby SZP po roce 2027 přispívala k posílení celkové připravenosti a odolnosti Unie; zdůrazňuje, že Komise a členské státy by měly do svých plánů bezpečnosti a konkurenceschopnosti zahrnout potraviny; vyzývá Komisi a členské státy, aby v zájmu potravinového zabezpečení zvážily zřízení strategických skladovacích zařízení na evropské a vnitrostátní úrovni;</w:t>
      </w:r>
    </w:p>
    <w:p w14:paraId="74E74374" w14:textId="0C4D5756" w:rsidR="00A21F59" w:rsidRPr="006D401F" w:rsidRDefault="00041C39" w:rsidP="00A21F59">
      <w:pPr>
        <w:pStyle w:val="NormalHanging12a"/>
        <w:rPr>
          <w:snapToGrid/>
        </w:rPr>
      </w:pPr>
      <w:r w:rsidRPr="006D401F">
        <w:t>1</w:t>
      </w:r>
      <w:r>
        <w:t>1</w:t>
      </w:r>
      <w:r w:rsidR="00A21F59" w:rsidRPr="006D401F">
        <w:t>.</w:t>
      </w:r>
      <w:r w:rsidR="00A21F59" w:rsidRPr="006D401F">
        <w:tab/>
        <w:t>poukazuje na to, že účinná zemědělská produkce významně přispívá k udržitelnosti tohoto odvětví tím, že optimalizuje výnosy s co nejmenšími možnými vstupy; zdůrazňuje, že SZP musí zahrnovat nástroje a investice, které zvýší schopnost zemědělských podniků a venkovských oblastí připravit se na otřesy, absorbovat je a zotavit se z nich; trvá na tom, že hlavním cílem SZP by mělo být uspokojování potravinových potřeb evropského obyvatelstva, což znamená, že je třeba účinněji podporovat zemědělce, a podpořit tak potravinové zabezpečení a strategickou autonomii v EU;</w:t>
      </w:r>
    </w:p>
    <w:p w14:paraId="6713B31F" w14:textId="0E1C4607" w:rsidR="00A21F59" w:rsidRPr="006D401F" w:rsidRDefault="00041C39" w:rsidP="00A21F59">
      <w:pPr>
        <w:pStyle w:val="NormalHanging12a"/>
        <w:rPr>
          <w:szCs w:val="24"/>
        </w:rPr>
      </w:pPr>
      <w:r w:rsidRPr="006D401F">
        <w:t>1</w:t>
      </w:r>
      <w:r>
        <w:t>2</w:t>
      </w:r>
      <w:r w:rsidR="00A21F59" w:rsidRPr="006D401F">
        <w:t>.</w:t>
      </w:r>
      <w:r w:rsidR="00A21F59" w:rsidRPr="006D401F">
        <w:tab/>
        <w:t>v této souvislosti zdůrazňuje strategickou úlohu velkoobchodních trhů, akreditovaných struktur ve veřejném zájmu, které mohou zajistit dodržování zásad udržitelnosti, snižování odpadu a transparentnosti cen;</w:t>
      </w:r>
    </w:p>
    <w:p w14:paraId="79CBA15F" w14:textId="6DB72E77" w:rsidR="00A21F59" w:rsidRPr="006D401F" w:rsidRDefault="00041C39" w:rsidP="00A21F59">
      <w:pPr>
        <w:pStyle w:val="NormalHanging12a"/>
      </w:pPr>
      <w:r w:rsidRPr="006D401F">
        <w:t>1</w:t>
      </w:r>
      <w:r>
        <w:t>3</w:t>
      </w:r>
      <w:r w:rsidR="00A21F59" w:rsidRPr="006D401F">
        <w:t>.</w:t>
      </w:r>
      <w:r w:rsidR="00A21F59" w:rsidRPr="006D401F">
        <w:tab/>
        <w:t>poukazuje na to, že spolupráce, agregace a dialog, lepší organizace zemědělců prostřednictvím družstev, organizací producentů nebo sdružení organizací producentů, ale i odchylky od legislativy v oblasti hospodářské soutěže a specifická podpora jsou klíčem ke zlepšení postavení zemědělců, k prosazování spravedlivějšího rozdělení marží a zvýšení efektivity všech subjektů; konstatuje, že v tomto ohledu může být reforma společné organizace trhů a směrnice o nekalých obchodních praktikách</w:t>
      </w:r>
      <w:r w:rsidR="00A21F59" w:rsidRPr="006D401F">
        <w:rPr>
          <w:rStyle w:val="FootnoteReference"/>
        </w:rPr>
        <w:footnoteReference w:id="32"/>
      </w:r>
      <w:r w:rsidR="00A21F59" w:rsidRPr="006D401F">
        <w:t xml:space="preserve"> příležitostí k posílení postavení zemědělců v národních a nadnárodních zemědělsko-potravinářských dodavatelských řetězcích, k zajištění toho, aby producenti získali za své produkty a svou práci spravedlivou cenu, k posílení mechanismů krizového řízení a zlepšení přeshraničního boje proti nekalým obchodním praktikám prostřednictvím harmonizace na úrovni EU, aniž by byly ohroženy či negativně ovlivněny nejlepší stávající vnitrostátní strategie a postupy; vyzývá Komisi, aby prostudovala možnost zavést nové nástroje, které by zabránily tomu, aby zemědělci dostávali za své produkty ceny nižší než výrobní náklady;</w:t>
      </w:r>
    </w:p>
    <w:p w14:paraId="13FAB60C" w14:textId="277E86B7" w:rsidR="00A21F59" w:rsidRPr="006D401F" w:rsidRDefault="00041C39" w:rsidP="00A21F59">
      <w:pPr>
        <w:pStyle w:val="NormalHanging12a"/>
      </w:pPr>
      <w:r w:rsidRPr="006D401F">
        <w:lastRenderedPageBreak/>
        <w:t>1</w:t>
      </w:r>
      <w:r>
        <w:t>4</w:t>
      </w:r>
      <w:r w:rsidR="00A21F59" w:rsidRPr="006D401F">
        <w:t>.</w:t>
      </w:r>
      <w:r w:rsidR="00A21F59" w:rsidRPr="006D401F">
        <w:tab/>
        <w:t>zdůrazňuje zejména význam posílení přeshraniční spolupráce mezi příslušnými orgány v členských státech a zajištění účinného, koordinovaného a jednotného uplatňování pravidel na celém vnitřním trhu za účelem boje proti zneužívání, zaručení spravedlnosti v celém dodavatelském řetězci a předcházení nekalé hospodářské soutěži; zdůrazňuje, že potravinové zabezpečení a potravinová suverenita jsou zásadními složkami strategické autonomie a že příští VFR musí i nadále účinně podporovat konkurenceschopnost a odolnost unijního zemědělství;</w:t>
      </w:r>
    </w:p>
    <w:p w14:paraId="142699A4" w14:textId="3C02DB25" w:rsidR="00A21F59" w:rsidRPr="00FB1054" w:rsidRDefault="00A21F59" w:rsidP="00A21F59">
      <w:pPr>
        <w:pStyle w:val="NormalHanging12a"/>
        <w:rPr>
          <w:b/>
          <w:bCs/>
        </w:rPr>
      </w:pPr>
      <w:r w:rsidRPr="006D401F">
        <w:t>1</w:t>
      </w:r>
      <w:r w:rsidR="00F22645">
        <w:t>5</w:t>
      </w:r>
      <w:r w:rsidRPr="006D401F">
        <w:t>.</w:t>
      </w:r>
      <w:r w:rsidRPr="006D401F">
        <w:tab/>
        <w:t>zdůrazňuje, že je důležité zachovat a posílit přímou podporu příjmů, aby bylo možné uspokojit v rámci SZP potřeby všech aktivních profesionálních zemědělců bez ohledu na to, zda pracují v zemědělství na plný nebo na částečný úvazek a na jejich velikost a druh produkce</w:t>
      </w:r>
      <w:r w:rsidRPr="00FB1054">
        <w:rPr>
          <w:b/>
          <w:bCs/>
        </w:rPr>
        <w:t xml:space="preserve">; </w:t>
      </w:r>
      <w:r w:rsidRPr="00FB1054">
        <w:rPr>
          <w:rStyle w:val="Strong"/>
          <w:b w:val="0"/>
          <w:bCs w:val="0"/>
          <w:color w:val="000000"/>
        </w:rPr>
        <w:t>podtrhuje, že je důležité zohlednit i zemědělce, kteří jsou aktivní ve více oblastech, neboť všichni zemědělci významně přispívají k socioekonomické struktuře venkovských oblastí;</w:t>
      </w:r>
    </w:p>
    <w:p w14:paraId="27E0F3A8" w14:textId="549DEAEA" w:rsidR="00A21F59" w:rsidRPr="006D401F" w:rsidRDefault="00A21F59" w:rsidP="00A21F59">
      <w:pPr>
        <w:pStyle w:val="NormalHanging12a"/>
      </w:pPr>
      <w:r w:rsidRPr="006D401F">
        <w:t>1</w:t>
      </w:r>
      <w:r w:rsidR="00F22645">
        <w:t>6</w:t>
      </w:r>
      <w:r w:rsidRPr="006D401F">
        <w:t>.</w:t>
      </w:r>
      <w:r w:rsidRPr="006D401F">
        <w:tab/>
        <w:t>poukazuje na to, že přímé platby ve své současné podobě vytvářejí jasnou přidanou hodnotu EU a připomíná význam modelu založeného na ploše a zároveň i zvýšení podpory pro nejzranitelnější zemědělce, včetně rodinných zemědělských podniků, malých a středních zemědělských podniků, mladých zemědělců a žen podnikajících v zemědělství, zemědělských podniků v oblastech s přírodními překážkami a zemědělských podniků, které uplatňují udržitelnější postupy; hájí model, který přináší stabilitu, účinně přispívá k příjmům zemědělců a zachovává ekonomickou životaschopnost, konkurenceschopnost a udržitelnost výroby potravin ve všech regionech EU a na všech jejích územích; domnívá se, že je nezbytné zajistit spravedlivé rozdělování přímých plateb mezi členské státy i v rámci členských států;</w:t>
      </w:r>
    </w:p>
    <w:p w14:paraId="7BF04E04" w14:textId="4949EFFE" w:rsidR="00A21F59" w:rsidRPr="006D401F" w:rsidRDefault="00A21F59" w:rsidP="00A21F59">
      <w:pPr>
        <w:pStyle w:val="NormalHanging12a"/>
      </w:pPr>
      <w:r w:rsidRPr="006D401F">
        <w:t>1</w:t>
      </w:r>
      <w:r w:rsidR="00F22645">
        <w:t>7</w:t>
      </w:r>
      <w:r w:rsidRPr="006D401F">
        <w:t>.</w:t>
      </w:r>
      <w:r w:rsidRPr="006D401F">
        <w:tab/>
        <w:t>domnívá se, že v zájmu lepšího zacílení podpory SZP na ty, kdo vykonávají zemědělskou činnost, je nezbytné zpřesnit definici zemědělce na úrovni EU a že na základě této definice by členské státy měly určit, kteří zemědělci jsou způsobilí pro podporu; trvá na tom, že tato definice by neměla vést k odpírání podpory vícestranně zaměřeným zemědělcům, kteří se kromě zemědělské činnosti věnují také nezemědělským činnostem mimo svůj zemědělský podnik, protože jejich mnohostranné aktivity často posilují socioekonomické struktury venkovských oblastí;</w:t>
      </w:r>
    </w:p>
    <w:p w14:paraId="4CEDF56D" w14:textId="3488CD13" w:rsidR="00A21F59" w:rsidRPr="006D401F" w:rsidRDefault="00A21F59" w:rsidP="00A21F59">
      <w:pPr>
        <w:pStyle w:val="NormalHanging12a"/>
      </w:pPr>
      <w:r w:rsidRPr="006D401F">
        <w:t>1</w:t>
      </w:r>
      <w:r w:rsidR="00F22645">
        <w:t>8</w:t>
      </w:r>
      <w:r w:rsidRPr="006D401F">
        <w:t>.</w:t>
      </w:r>
      <w:r w:rsidRPr="006D401F">
        <w:tab/>
        <w:t>zdůrazňuje význam transparentnosti při přidělování finančních prostředků SZP a vyzývá k systematické identifikaci konečných příjemců a propojených společností; naléhavě vyzývá Komisi a členské státy, aby zavedly kontrolní mechanismy, které zabrání koncentraci podpory prostřednictvím složitých vlastnických struktur nebo umělému tříštění zemědělských podniků;</w:t>
      </w:r>
    </w:p>
    <w:p w14:paraId="5FED27BE" w14:textId="7F3017A8" w:rsidR="00A21F59" w:rsidRPr="006D401F" w:rsidRDefault="00A21F59" w:rsidP="00A21F59">
      <w:pPr>
        <w:pStyle w:val="NormalHanging12a"/>
        <w:widowControl w:val="0"/>
      </w:pPr>
      <w:r w:rsidRPr="006D401F">
        <w:t>1</w:t>
      </w:r>
      <w:r w:rsidR="00F22645">
        <w:t>9</w:t>
      </w:r>
      <w:r w:rsidRPr="006D401F">
        <w:t>.</w:t>
      </w:r>
      <w:r w:rsidRPr="006D401F">
        <w:tab/>
        <w:t>domnívá se, že pokud budou na vnitřním trhu dodržovány rovné podmínky, měly by být dobrovolné podpory vázané na produkci zachovány nebo navýšeny, a to s dostatečným přídělem rozpočtových prostředků a větší flexibilitou využívání, jakožto jednoduchý nástroj k zachování produkce ve zranitelných odvětvích a k boji proti specifickým potížím, zejména potížím způsobeným strukturálním a konkurenčním oslabením znevýhodněných oblastí;</w:t>
      </w:r>
    </w:p>
    <w:p w14:paraId="281A995D" w14:textId="73088C5A" w:rsidR="00A21F59" w:rsidRPr="006D401F" w:rsidRDefault="00F22645" w:rsidP="00A21F59">
      <w:pPr>
        <w:pStyle w:val="NormalHanging12a"/>
      </w:pPr>
      <w:r>
        <w:t>20</w:t>
      </w:r>
      <w:r w:rsidR="00A21F59" w:rsidRPr="006D401F">
        <w:t>.</w:t>
      </w:r>
      <w:r w:rsidR="00A21F59" w:rsidRPr="006D401F">
        <w:tab/>
        <w:t xml:space="preserve">vyzývá Komisi a členské státy, aby zachovaly dobrovolný charakter </w:t>
      </w:r>
      <w:proofErr w:type="spellStart"/>
      <w:r w:rsidR="00A21F59" w:rsidRPr="006D401F">
        <w:t>ekoschémat</w:t>
      </w:r>
      <w:proofErr w:type="spellEnd"/>
      <w:r w:rsidR="00A21F59" w:rsidRPr="006D401F">
        <w:t xml:space="preserve"> a aby tato schémata v rámci SZP po roce 2027 zjednodušily a zpružnily; vyzývá členské státy, aby svým zemědělcům poskytly jasný a jednoduchý seznam účinných a účelných možností </w:t>
      </w:r>
      <w:proofErr w:type="spellStart"/>
      <w:r w:rsidR="00A21F59" w:rsidRPr="006D401F">
        <w:t>ekoschématu</w:t>
      </w:r>
      <w:proofErr w:type="spellEnd"/>
      <w:r w:rsidR="00A21F59" w:rsidRPr="006D401F">
        <w:t xml:space="preserve">, z nichž si budou moci vybrat, a doprovodily je vhodnou </w:t>
      </w:r>
      <w:r w:rsidR="00A21F59" w:rsidRPr="006D401F">
        <w:lastRenderedPageBreak/>
        <w:t xml:space="preserve">a atraktivní motivační odměnou, aniž by oslabily finanční zdroje určené na přímé platby a investice nebo zvýšily byrokracii; vyzývá členské státy, aby investovaly do školení, která by zemědělcům pomohla účinně využívat </w:t>
      </w:r>
      <w:proofErr w:type="spellStart"/>
      <w:r w:rsidR="00A21F59" w:rsidRPr="006D401F">
        <w:t>ekoschémata</w:t>
      </w:r>
      <w:proofErr w:type="spellEnd"/>
      <w:r w:rsidR="00A21F59" w:rsidRPr="006D401F">
        <w:t>;</w:t>
      </w:r>
    </w:p>
    <w:p w14:paraId="1F7A497F" w14:textId="29FD5082" w:rsidR="00A21F59" w:rsidRPr="006D401F" w:rsidRDefault="00A21F59" w:rsidP="00A21F59">
      <w:pPr>
        <w:pStyle w:val="NormalHanging12a"/>
      </w:pPr>
      <w:r w:rsidRPr="006D401F">
        <w:t>2</w:t>
      </w:r>
      <w:r w:rsidR="00F22645">
        <w:t>1</w:t>
      </w:r>
      <w:r w:rsidRPr="006D401F">
        <w:t>.</w:t>
      </w:r>
      <w:r w:rsidRPr="006D401F">
        <w:tab/>
        <w:t>uznává pokrok, jehož již bylo dosaženo prostřednictvím sociální podmíněnosti; vyzývá k hodnocení sociální podmíněnosti v rámci SZP a přiměřenému, účinnému a jasně definovanému uplatňování s cílem zabránit zdvojování předpisů mezi členskými státy a nepřiměřené administrativní zátěži pro zemědělce, jakož i chránit práva pracovníků;</w:t>
      </w:r>
    </w:p>
    <w:p w14:paraId="31625645" w14:textId="76064FC8" w:rsidR="00A21F59" w:rsidRPr="006D401F" w:rsidRDefault="00A21F59" w:rsidP="00A21F59">
      <w:pPr>
        <w:pStyle w:val="NormalHanging12a"/>
      </w:pPr>
      <w:r w:rsidRPr="006D401F">
        <w:t>2</w:t>
      </w:r>
      <w:r w:rsidR="00F22645">
        <w:t>2</w:t>
      </w:r>
      <w:r w:rsidRPr="006D401F">
        <w:t>.</w:t>
      </w:r>
      <w:r w:rsidRPr="006D401F">
        <w:tab/>
        <w:t xml:space="preserve">vyzývá k vypracování komplexní studie, která by posoudila, zda by zavedení povinných mechanismů, jako je přerozdělování nebo omezení přímých plateb v rámci SZP prostřednictvím </w:t>
      </w:r>
      <w:proofErr w:type="spellStart"/>
      <w:r w:rsidRPr="006D401F">
        <w:t>zastropování</w:t>
      </w:r>
      <w:proofErr w:type="spellEnd"/>
      <w:r w:rsidRPr="006D401F">
        <w:t xml:space="preserve"> a postupného snižování, znamenalo spravedlivější přístup; zdůrazňuje, že tato skutečnost by se měla analyzovat před předložením návrhů na novou SZP, aby bylo možné vytvořit vhodné nástroje, které by mohly skutečně podpořit životaschopnost zemědělských podniků v EU, včetně mladých zemědělců, žen podnikajících v zemědělství a malých a středních zemědělských podniků; zdůrazňuje, že tato studie by měla rovněž analyzovat případy, kdy by se </w:t>
      </w:r>
      <w:proofErr w:type="spellStart"/>
      <w:r w:rsidRPr="006D401F">
        <w:t>zastropování</w:t>
      </w:r>
      <w:proofErr w:type="spellEnd"/>
      <w:r w:rsidRPr="006D401F">
        <w:t xml:space="preserve"> konkrétních plateb neprovádělo, např. </w:t>
      </w:r>
      <w:proofErr w:type="spellStart"/>
      <w:r w:rsidRPr="006D401F">
        <w:t>ekoschémat</w:t>
      </w:r>
      <w:proofErr w:type="spellEnd"/>
      <w:r w:rsidRPr="006D401F">
        <w:t xml:space="preserve"> a plateb </w:t>
      </w:r>
      <w:proofErr w:type="spellStart"/>
      <w:r w:rsidRPr="006D401F">
        <w:t>agroenvironmentálního</w:t>
      </w:r>
      <w:proofErr w:type="spellEnd"/>
      <w:r w:rsidRPr="006D401F">
        <w:t xml:space="preserve"> charakteru nebo plateb souvisejících s klimatem;</w:t>
      </w:r>
    </w:p>
    <w:p w14:paraId="24945355" w14:textId="6B2FB393" w:rsidR="00A21F59" w:rsidRPr="006D401F" w:rsidRDefault="00A21F59" w:rsidP="00A21F59">
      <w:pPr>
        <w:pStyle w:val="NormalHanging12a"/>
        <w:rPr>
          <w:szCs w:val="24"/>
        </w:rPr>
      </w:pPr>
      <w:r w:rsidRPr="006D401F">
        <w:t>2</w:t>
      </w:r>
      <w:r w:rsidR="00F22645">
        <w:t>3</w:t>
      </w:r>
      <w:r w:rsidRPr="006D401F">
        <w:t>.</w:t>
      </w:r>
      <w:r w:rsidRPr="006D401F">
        <w:tab/>
        <w:t>vyzývá k úsilí o spravedlivé rozdělení hodnoty produkované v zemědělsko-potravinářském odvětví prostřednictvím rámcových zákonů a intervencí zaměřených na zvýšení výnosů z podnikání a příjmů ze zemědělství, a to vyvážením vztahů s distributory a producenty v rámci řetězce; vyzývá zejména k pobídkám a investicím do nových zemědělsko-potravinářských obchodních modelů, které zajistí dlouhodobou finanční udržitelnost, a k obnovení rovnováhy obchodních vztahů mezi zemědělci, distributory a producenty nad rámec stávajícího přístupu EU k zakázaným praktikám, a to vypracováním referenčních rámcových právních předpisů inspirovaných francouzským zákonem „</w:t>
      </w:r>
      <w:proofErr w:type="spellStart"/>
      <w:r w:rsidRPr="006D401F">
        <w:t>EGAlim</w:t>
      </w:r>
      <w:proofErr w:type="spellEnd"/>
      <w:r w:rsidRPr="006D401F">
        <w:t>“;</w:t>
      </w:r>
    </w:p>
    <w:p w14:paraId="694DBB8B" w14:textId="2008FB6D" w:rsidR="00A21F59" w:rsidRPr="006D401F" w:rsidRDefault="00A21F59" w:rsidP="00A21F59">
      <w:pPr>
        <w:pStyle w:val="NormalHanging12a"/>
      </w:pPr>
      <w:r w:rsidRPr="006D401F">
        <w:t>2</w:t>
      </w:r>
      <w:r w:rsidR="00F22645">
        <w:t>4</w:t>
      </w:r>
      <w:r w:rsidRPr="006D401F">
        <w:t>.</w:t>
      </w:r>
      <w:r w:rsidRPr="006D401F">
        <w:tab/>
        <w:t>vyzývá k vytvoření nezávislého a silného druhého pilíře SZP, který by byl oddělen od politik soudržnosti, ale byl by s nimi úzce koordinován, a prosazoval by soudržnost politik mimo jiné s cílem usnadnit územní integraci a zajistit součinnost a účinnou podporu zemědělství v soudržném rámci, který zaručí účinné využívání prostředků EU a investice do projektů; trvá na tom, aby bylo zajištěno, aby se tyto prostředky dostaly k příjemcům včas; domnívá se, že finanční prostředky na rozvoj venkova by měly být přidělovány výhradně na zemědělské činnosti, zatímco jiná činnost na podporu území nebo infrastruktury by měla být financována z fondů soudržnosti;</w:t>
      </w:r>
    </w:p>
    <w:p w14:paraId="6620B144" w14:textId="13A2432A" w:rsidR="00A21F59" w:rsidRPr="006D401F" w:rsidRDefault="00A21F59" w:rsidP="00A21F59">
      <w:pPr>
        <w:pStyle w:val="NormalHanging12a"/>
      </w:pPr>
      <w:r w:rsidRPr="006D401F">
        <w:t>2</w:t>
      </w:r>
      <w:r w:rsidR="00F22645">
        <w:t>5</w:t>
      </w:r>
      <w:r w:rsidRPr="006D401F">
        <w:t>.</w:t>
      </w:r>
      <w:r w:rsidRPr="006D401F">
        <w:tab/>
        <w:t>zdůrazňuje, že v rámci druhého pilíře SZP je zapotřebí zavést dobře financovaný program rozvoje venkova, z něhož by byly podporovány venkovské oblasti, který by disponoval značným příspěvkem ze zdrojů EU a byl by doplněn o vnitrostátní spolufinancování s cílem zajistit účinnost a dlouhodobou udržitelnost programu; v tomto smyslu zdůrazňuje, že při racionalizaci opatření v rámci druhého pilíře SZP hrají klíčovou úlohu místní samosprávy a zúčastněné strany, jako jsou družstva a místní akční skupiny; trvá na tom, že regiony musí být schopny samostatně navrhovat, provádět a řídit opatření rozvoje venkova a současně respektovat ústavní specifika daného členského státu;</w:t>
      </w:r>
    </w:p>
    <w:p w14:paraId="0F3D5B84" w14:textId="52F76F6F" w:rsidR="00A21F59" w:rsidRPr="006D401F" w:rsidRDefault="00A21F59" w:rsidP="00A21F59">
      <w:pPr>
        <w:pStyle w:val="NormalHanging12a"/>
      </w:pPr>
      <w:r w:rsidRPr="006D401F">
        <w:t>2</w:t>
      </w:r>
      <w:r w:rsidR="00F22645">
        <w:t>6</w:t>
      </w:r>
      <w:r w:rsidRPr="006D401F">
        <w:t>.</w:t>
      </w:r>
      <w:r w:rsidRPr="006D401F">
        <w:tab/>
        <w:t xml:space="preserve">vyzývá ke zvýšení rozpočtu přiděleného na program LEADER, který pomáhá řešit sociální problémy a prosazovat místní akční skupiny, neboť posiluje přístupy komunitně </w:t>
      </w:r>
      <w:r w:rsidRPr="006D401F">
        <w:lastRenderedPageBreak/>
        <w:t>vedeného místního rozvoje, které jsou klíčové pro budování silnějších vazeb mezi venkovem a městy; zdůrazňuje, že program LEADER hraje ústřední úlohu při podpoře atraktivních, prosperujících, odolných a vzájemně propojených venkovských oblastí, jelikož podporuje iniciativy, které vytvářejí místní přidanou hodnotu, stimulují podnikání, podporují inovace a posilují hospodářskou a sociální strukturu území, což jsou všechno aspekty, které mají zásadní význam pro udržení a přilákání lidského kapitálu, zejména mladých lidí a žen, a přispívají k demografické a územní rovnováze a generační obměně;</w:t>
      </w:r>
    </w:p>
    <w:p w14:paraId="3FEC9A50" w14:textId="797AD29B" w:rsidR="00A21F59" w:rsidRPr="006D401F" w:rsidRDefault="00A21F59" w:rsidP="00A21F59">
      <w:pPr>
        <w:pStyle w:val="NormalHanging12a"/>
      </w:pPr>
      <w:r w:rsidRPr="006D401F">
        <w:t>2</w:t>
      </w:r>
      <w:r w:rsidR="00E6736E">
        <w:t>7</w:t>
      </w:r>
      <w:r w:rsidRPr="006D401F">
        <w:t>.</w:t>
      </w:r>
      <w:r w:rsidRPr="006D401F">
        <w:tab/>
        <w:t xml:space="preserve">uznává, že dobrovolná </w:t>
      </w:r>
      <w:proofErr w:type="spellStart"/>
      <w:r w:rsidRPr="006D401F">
        <w:t>agroenvironmentální</w:t>
      </w:r>
      <w:proofErr w:type="spellEnd"/>
      <w:r w:rsidRPr="006D401F">
        <w:t xml:space="preserve"> a klimatická opatření a opatření týkající se dobrých životních podmínek zvířat a zdraví zvířat a rostlin, která jsou prováděna v rámci druhého pilíře a využívají zjednodušený přístup založený na pobídkách a dodržování předpisů, jsou klíčovými nástroji pro ochranu životního prostředí a podporu udržitelných postupů a zároveň přispívají k důstojným příjmům zemědělců, kteří je uplatňují; domnívá se, že tato schémata druhého pilíře jsou účinnější než </w:t>
      </w:r>
      <w:proofErr w:type="spellStart"/>
      <w:r w:rsidRPr="006D401F">
        <w:t>ekoschémata</w:t>
      </w:r>
      <w:proofErr w:type="spellEnd"/>
      <w:r w:rsidRPr="006D401F">
        <w:t xml:space="preserve">, které v mnoha členských státech nedosáhla kýžených výsledků, jelikož byla pro zemědělce příliš složitá, a proto se domnívá, že na tyto režimy druhého pilíře by měl být v budoucí SZP vyčleněn větší podíl finančních prostředků; zdůrazňuje, že je důležité zajistit, aby </w:t>
      </w:r>
      <w:proofErr w:type="spellStart"/>
      <w:r w:rsidRPr="006D401F">
        <w:t>agroenvironmentální</w:t>
      </w:r>
      <w:proofErr w:type="spellEnd"/>
      <w:r w:rsidRPr="006D401F">
        <w:t xml:space="preserve"> a klimatická opatření přispívala k zachování a posílení produkce potravin;</w:t>
      </w:r>
    </w:p>
    <w:p w14:paraId="72E8D437" w14:textId="77EE89FA" w:rsidR="00A21F59" w:rsidRPr="006D401F" w:rsidRDefault="00A21F59" w:rsidP="00A21F59">
      <w:pPr>
        <w:pStyle w:val="NormalHanging12a"/>
        <w:rPr>
          <w:szCs w:val="24"/>
        </w:rPr>
      </w:pPr>
      <w:r w:rsidRPr="006D401F">
        <w:t>2</w:t>
      </w:r>
      <w:r w:rsidR="00E6736E">
        <w:t>8</w:t>
      </w:r>
      <w:r w:rsidRPr="006D401F">
        <w:t>.</w:t>
      </w:r>
      <w:r w:rsidRPr="006D401F">
        <w:tab/>
        <w:t>vyzývá k tomu, aby byla finanční podpora SZP jednodušší a přístupnější pro malé projekty, které jsou častěji hnací silou těch nejvíce inovativních iniciativ; vyzývá Komisi a členské státy, aby podporovaly a rozšiřovaly využívání zjednodušeného vykazování nákladů;</w:t>
      </w:r>
    </w:p>
    <w:p w14:paraId="6922240F" w14:textId="15303DD3" w:rsidR="00A21F59" w:rsidRPr="006D401F" w:rsidRDefault="00A21F59" w:rsidP="00A21F59">
      <w:pPr>
        <w:pStyle w:val="NormalHanging12a"/>
      </w:pPr>
      <w:r w:rsidRPr="006D401F">
        <w:t>2</w:t>
      </w:r>
      <w:r w:rsidR="00E6736E">
        <w:t>9</w:t>
      </w:r>
      <w:r w:rsidRPr="006D401F">
        <w:t>.</w:t>
      </w:r>
      <w:r w:rsidRPr="006D401F">
        <w:tab/>
        <w:t>vyzývá Komisi, aby v zájmu zajištění rovných podmínek a vysoké úrovně bezpečnosti potravin, sledovatelnosti a udržitelné produkce v EU přijala konkrétní opatření, která zaručí, že se dovoz zemědělsko-potravinářských produktů ze zemí mimo EU bude řídit stejnými normami pro bezpečnost potravin, životní prostředí, sociální oblast a dobré životní podmínky zvířat, jaké jsou vyžadovány od producentů v EU; trvá na tom, že tento krok je nezbytný, aby se zabránilo ohrožení konkurenceschopnosti zemědělsko-potravinářské produkce EU ve vztahu k dováženým produktům; naléhá na to, že s cílem zajistit stabilitu vnitřního trhu a zabránit nekalé hospodářské soutěži pro zemědělce v EU musí být Komise připravena v případě potřeby využít ochranné doložky, jež jsou součástí jejích dohod se zeměmi mimo EU;</w:t>
      </w:r>
    </w:p>
    <w:p w14:paraId="5DCE4ACF" w14:textId="76C080D2" w:rsidR="00A21F59" w:rsidRPr="006D401F" w:rsidRDefault="00E6736E" w:rsidP="00A21F59">
      <w:pPr>
        <w:pStyle w:val="NormalHanging12a"/>
      </w:pPr>
      <w:r>
        <w:t>30</w:t>
      </w:r>
      <w:r w:rsidR="00A21F59" w:rsidRPr="006D401F">
        <w:t>.</w:t>
      </w:r>
      <w:r w:rsidR="00A21F59" w:rsidRPr="006D401F">
        <w:tab/>
        <w:t>vyzývá Komisi, aby v rámci svého úsilí o otevření nových a konsolidaci stávajících trhů systematicky posoudila dopad ustanovení týkajících se odvětví zemědělství v každé z jejích obchodních dohod, přičemž by měla zohlednit všechny zúčastněné strany s cílem určit kumulativní dopad těchto ustanovení, a aby vytvořila konkrétní strategie k zajištění rovných podmínek a reciprocity na všech úrovních, zejména pokud jde o produkci, kvalitu a sociální normy;</w:t>
      </w:r>
    </w:p>
    <w:p w14:paraId="4E18CE9A" w14:textId="521AE8D5" w:rsidR="00A21F59" w:rsidRPr="006D401F" w:rsidRDefault="00A21F59" w:rsidP="00A21F59">
      <w:pPr>
        <w:pStyle w:val="NormalHanging12a"/>
      </w:pPr>
      <w:r w:rsidRPr="006D401F">
        <w:t>3</w:t>
      </w:r>
      <w:r w:rsidR="00E6736E">
        <w:t>1</w:t>
      </w:r>
      <w:r w:rsidRPr="006D401F">
        <w:t>.</w:t>
      </w:r>
      <w:r w:rsidRPr="006D401F">
        <w:tab/>
        <w:t xml:space="preserve">zdůrazňuje, že je nezbytné zachovat soulad mezi politikami Unie v oblasti obchodu a udržitelnosti a posílit kontroly prováděné Komisí a členskými stranami a prostřednictvím kontrolní agentury EU, a to jak u zdroje, tak na hranicích, což by evropským výrobcům poskytlo větší záruky, pokud jde o spravedlivou hospodářskou soutěž; vyzývá k přezkumu obchodní politiky EU s cílem zajistit, aby účinně podporovala konkurenceschopnost a udržitelnost evropského zemědělství; zdůrazňuje, </w:t>
      </w:r>
      <w:r w:rsidRPr="006D401F">
        <w:lastRenderedPageBreak/>
        <w:t>že při zajišťování budoucích obchodních dohod by neměla být oslabována udržitelnost a konkurenceschopnost odvětví zemědělství EU;</w:t>
      </w:r>
    </w:p>
    <w:p w14:paraId="28BAB6E6" w14:textId="6D63069F" w:rsidR="00A21F59" w:rsidRPr="006D401F" w:rsidRDefault="00A21F59" w:rsidP="00A21F59">
      <w:pPr>
        <w:pStyle w:val="NormalHanging12a"/>
        <w:rPr>
          <w:szCs w:val="24"/>
        </w:rPr>
      </w:pPr>
      <w:r w:rsidRPr="006D401F">
        <w:t>3</w:t>
      </w:r>
      <w:r w:rsidR="00E6736E">
        <w:t>2</w:t>
      </w:r>
      <w:r w:rsidRPr="006D401F">
        <w:t>.</w:t>
      </w:r>
      <w:r w:rsidRPr="006D401F">
        <w:tab/>
        <w:t xml:space="preserve">vyzývá Komisi, aby zlepšila součinnost, doplňkovost a koordinaci mezi nástroji financování EU, jako je Fond soudržnosti, nástroj na podporu oživení </w:t>
      </w:r>
      <w:proofErr w:type="spellStart"/>
      <w:r w:rsidRPr="006D401F">
        <w:t>NextGenerationEU</w:t>
      </w:r>
      <w:proofErr w:type="spellEnd"/>
      <w:r w:rsidRPr="006D401F">
        <w:t xml:space="preserve"> nebo Fond pro spravedlivou transformaci, a také s vnitrostátními nástroji a aby otevřela přímé linie spolupráce s místními orgány při řízení a provádění fondů; dále vyzývá k větší integraci s dalšími příslušnými programy s cílem maximalizovat dopad cílů v oblasti inovací, digitalizace, udržitelnosti a odolnosti v zemědělství a venkovských oblastech; vyzývá Komisi, aby na začátku každého finančního programového období zavedla interní postup s cílem zajistit doplňkovost a soudržnost mezi různými podpůrnými nástroji na úrovni EU, které jsou plánovány ve venkovských oblastech;</w:t>
      </w:r>
    </w:p>
    <w:p w14:paraId="1E075DF0" w14:textId="0B01FA66" w:rsidR="00A21F59" w:rsidRPr="006D401F" w:rsidRDefault="00A21F59" w:rsidP="00A21F59">
      <w:pPr>
        <w:pStyle w:val="NormalHanging12a"/>
      </w:pPr>
      <w:r w:rsidRPr="006D401F">
        <w:t>3</w:t>
      </w:r>
      <w:r w:rsidR="00E6736E">
        <w:t>3</w:t>
      </w:r>
      <w:r w:rsidRPr="006D401F">
        <w:t>.</w:t>
      </w:r>
      <w:r w:rsidRPr="006D401F">
        <w:tab/>
        <w:t>zdůrazňuje, že přístup zemědělců a dalších aktérů v zemědělsko-potravinářském odvětví k financování má zásadní význam pro provádění investic, usnadnění přístupu k půdě a zajištění kontinuity zemědělské činnosti v zemědělských podnicích; dále zdůrazňuje, že na inovace a technologie v zemědělsko-potravinářském odvětví by měla být i nadále přednostně poskytována cílená investiční podpora s cílem podpořit začínající podniky a přilákat a udržet talentované mladé lidi, a zajistit tak, aby se EU stala globálním digitálním centrem;</w:t>
      </w:r>
    </w:p>
    <w:p w14:paraId="1BAB8580" w14:textId="65EFDF9D" w:rsidR="00A21F59" w:rsidRPr="006D401F" w:rsidRDefault="00A21F59" w:rsidP="00A21F59">
      <w:pPr>
        <w:pStyle w:val="NormalHanging12a"/>
      </w:pPr>
      <w:r w:rsidRPr="006D401F">
        <w:t>3</w:t>
      </w:r>
      <w:r w:rsidR="00E6736E">
        <w:t>4</w:t>
      </w:r>
      <w:r w:rsidRPr="006D401F">
        <w:t>.</w:t>
      </w:r>
      <w:r w:rsidRPr="006D401F">
        <w:tab/>
        <w:t>konstatuje, že členské státy čelí rostoucím a různorodým rizikům; v této souvislosti zdůrazňuje, že přiměřené navýšení a reforma společné rezervy pro případ krizí v odvětví zemědělství spolu s vytvořením nových a specifických finančních nástrojů vybavených zdroji mimo SZP mají zásadní význam pro podporu zemědělců v případech nepředvídatelného narušení trhu a změn klimatu, jako jsou sucha a povodně, bouře, choroby rostlin a zvířat, jakož i změn v chování spotřebitelů a geopolitického napětí; vyzývá Komisi, aby vytvořila svou strategii krizového řízení ex ante podle jednotlivých produktů s cílem využít rezervu pro případ krizí v odvětví zemědělství způsobem, který maximalizuje účinnost a přidanou hodnotu společenství; vyzývá Komisi a členské státy, aby zajistily rychlou, účinnou a přiměřenou reakci na potřeby zemědělců v krizových situacích a umožnily jim rychle získat kapitál potřebný k obnově jejich zemědělské činnosti;</w:t>
      </w:r>
    </w:p>
    <w:p w14:paraId="1E2D33A7" w14:textId="3E626B98" w:rsidR="00A21F59" w:rsidRPr="006D401F" w:rsidRDefault="00A21F59" w:rsidP="00A21F59">
      <w:pPr>
        <w:pStyle w:val="NormalHanging12a"/>
        <w:rPr>
          <w:szCs w:val="24"/>
        </w:rPr>
      </w:pPr>
      <w:r w:rsidRPr="006D401F">
        <w:t>3</w:t>
      </w:r>
      <w:r w:rsidR="00E6736E">
        <w:t>5</w:t>
      </w:r>
      <w:r w:rsidRPr="006D401F">
        <w:t>.</w:t>
      </w:r>
      <w:r w:rsidRPr="006D401F">
        <w:tab/>
        <w:t>zdůrazňuje důležitou úlohu, kterou hrají mechanismy veřejné intervence SZP při stabilizaci zemědělských trhů a ochraně zemědělců před kolísáním cen; připomíná, že referenční prahové hodnoty nebyly po několik let přehodnocovány a měly by být co nejdříve přezkoumány, aby se zohlednily změny cen;</w:t>
      </w:r>
    </w:p>
    <w:p w14:paraId="47235154" w14:textId="60C66CB9" w:rsidR="00A21F59" w:rsidRPr="006D401F" w:rsidRDefault="00A21F59" w:rsidP="00A21F59">
      <w:pPr>
        <w:pStyle w:val="NormalHanging12a"/>
      </w:pPr>
      <w:r w:rsidRPr="006D401F">
        <w:t>3</w:t>
      </w:r>
      <w:r w:rsidR="00E6736E">
        <w:t>6</w:t>
      </w:r>
      <w:r w:rsidRPr="006D401F">
        <w:t>.</w:t>
      </w:r>
      <w:r w:rsidRPr="006D401F">
        <w:tab/>
        <w:t>vyzývá k lepší koordinaci a zjednodušení mezi všemi dostupnými nástroji, včetně Fondu solidarity, aby zemědělci, venkovské komunity a místní orgány postižené přírodními katastrofami a katastrofami souvisejícími s klimatem měli přístup k rychlejší a cílenější pomoci; s ohledem na rostoucí škody způsobené přírodními katastrofami vyzývá k vytvoření automatického spouštěcího mechanismu k rychlejšímu použití zvláštních nástrojů pro zmírnění rizik a řízení založených na aktivních a pasivních opatřeních, které budou pro zemědělce cenově dostupné;</w:t>
      </w:r>
    </w:p>
    <w:p w14:paraId="30F3DE2E" w14:textId="3745F27D" w:rsidR="00A21F59" w:rsidRPr="006D401F" w:rsidRDefault="00A21F59" w:rsidP="00A21F59">
      <w:pPr>
        <w:pStyle w:val="NormalHanging12a"/>
      </w:pPr>
      <w:r w:rsidRPr="006D401F">
        <w:t>3</w:t>
      </w:r>
      <w:r w:rsidR="00E6736E">
        <w:t>7</w:t>
      </w:r>
      <w:r w:rsidRPr="006D401F">
        <w:t>.</w:t>
      </w:r>
      <w:r w:rsidRPr="006D401F">
        <w:tab/>
        <w:t>vyzývá členské státy, aby zajistily včasné a správné provádění svých vnitrostátních strategických plánů v rámci obou pilířů, a zabránily tak navracení finančních prostředků;</w:t>
      </w:r>
    </w:p>
    <w:p w14:paraId="169F5C50" w14:textId="117473DD" w:rsidR="00A21F59" w:rsidRPr="006D401F" w:rsidRDefault="00A21F59" w:rsidP="00A21F59">
      <w:pPr>
        <w:pStyle w:val="NormalHanging12a"/>
      </w:pPr>
      <w:r w:rsidRPr="006D401F">
        <w:lastRenderedPageBreak/>
        <w:t>3</w:t>
      </w:r>
      <w:r w:rsidR="00E6736E">
        <w:t>8</w:t>
      </w:r>
      <w:r w:rsidRPr="006D401F">
        <w:t>.</w:t>
      </w:r>
      <w:r w:rsidRPr="006D401F">
        <w:tab/>
        <w:t xml:space="preserve">zdůrazňuje, že jelikož zemědělství přispívá prostřednictvím SZP k dalším politikám a strategiím, např. v oblasti životního prostředí, energetiky, obchodu, klimatu, biologické rozmanitosti, zdraví a dobrých životních podmínek zvířat, veřejného zdraví a regionálního rozvoje, je důležité a vítané, aby i ostatní politiky nadále přispívaly k udržitelnosti zemědělství a rozvoji venkova a poskytování služeb, které přesahují rámec produkce potravin a biogenních zdrojů; zdůrazňuje zejména význam rozvoje bioenergie a biohospodářství pro podporu odolnosti zemědělského odvětví; </w:t>
      </w:r>
    </w:p>
    <w:p w14:paraId="7AA5151E" w14:textId="3B8D9F94" w:rsidR="00A21F59" w:rsidRPr="006D401F" w:rsidRDefault="00A21F59" w:rsidP="00A21F59">
      <w:pPr>
        <w:pStyle w:val="NormalHanging12a"/>
      </w:pPr>
      <w:r w:rsidRPr="006D401F">
        <w:t>3</w:t>
      </w:r>
      <w:r w:rsidR="00E6736E">
        <w:t>9</w:t>
      </w:r>
      <w:r w:rsidRPr="006D401F">
        <w:t>.</w:t>
      </w:r>
      <w:r w:rsidRPr="006D401F">
        <w:tab/>
        <w:t>vyzývá Komisi, aby ve všech oblastech politiky zavedla celounijní mechanismus ověřování dopadu na venkovské oblasti a aby do všech činností souvisejících s rámcem pro rozvoj venkova zapojila komunitní platformu Paktu pro venkov a Výbor regionů; vyjadřuje politování nad tím, že ačkoli Komise zahrnula mechanismus ověřování dopadu na venkovské oblasti do své vize pro venkovské oblasti do roku 2040, v praxi se zdá, že byl zaveden pouze v omezené míře;</w:t>
      </w:r>
    </w:p>
    <w:p w14:paraId="2A28189C" w14:textId="432FD6BE" w:rsidR="00A21F59" w:rsidRPr="006D401F" w:rsidRDefault="00E6736E" w:rsidP="00A21F59">
      <w:pPr>
        <w:pStyle w:val="NormalHanging12a"/>
      </w:pPr>
      <w:r>
        <w:t>40</w:t>
      </w:r>
      <w:r w:rsidR="00A21F59" w:rsidRPr="006D401F">
        <w:t>.</w:t>
      </w:r>
      <w:r w:rsidR="00A21F59" w:rsidRPr="006D401F">
        <w:tab/>
        <w:t>znovu potvrzuje, že EU má v oblasti bezpečnosti potravin, dobrých životních podmínek zvířat, ochrany životního prostředí a sociální ochrany, které jsou základními kameny konkurenceschopnosti kvalitních zemědělských produktů EU, nejvyšší standardy na světě, které je třeba dodržovat a chránit; požaduje proto, aby veškeré navrhované právní předpisy v těchto oblastech byly vědecky podložené a aby jim předcházelo důkladné a komplexní posouzení dopadů a aby byly navrženy tak, aby posilovaly konkurenceschopnost a udržitelnost zemědělských podniků v EU; domnívá se, že pro splnění tohoto cíle je třeba, aby zemědělci získali nezbytné pobídky a kompenzaci za jakékoli dodatečné náklady, které jim vzniknou;</w:t>
      </w:r>
    </w:p>
    <w:p w14:paraId="5F44E420" w14:textId="1D4E1908" w:rsidR="00A21F59" w:rsidRPr="006D401F" w:rsidRDefault="00A21F59" w:rsidP="00A21F59">
      <w:pPr>
        <w:pStyle w:val="NormalHanging12a"/>
      </w:pPr>
      <w:r w:rsidRPr="006D401F">
        <w:t>4</w:t>
      </w:r>
      <w:r w:rsidR="00E6736E">
        <w:t>1</w:t>
      </w:r>
      <w:r w:rsidRPr="006D401F">
        <w:t>.</w:t>
      </w:r>
      <w:r w:rsidRPr="006D401F">
        <w:tab/>
        <w:t>zdůrazňuje, že zlepšení životních podmínek zvířat je nejen etickým imperativem, ale také cestou k odolnějším a ziskovějším systémům chovu hospodářských zvířat; zdůrazňuje, že zdravější zvířata s nižší mírou stresu obecně vyžadují méně veterinárních zásahů, mají vyšší míru plodnosti a lépe prosperují, což vede k větší hospodářské účinnosti; vyzývá k tomu, aby opatření SZP i nadále podporovala investice a odbornou přípravu v oblasti vyšších norem pro dobré životní podmínky zvířat v souladu s očekáváními trhu a vědeckými doporučeními;</w:t>
      </w:r>
    </w:p>
    <w:p w14:paraId="53EF41B9" w14:textId="77777777" w:rsidR="00A21F59" w:rsidRPr="006D401F" w:rsidRDefault="00A21F59" w:rsidP="00A21F59">
      <w:pPr>
        <w:pStyle w:val="NormalHanging12a"/>
      </w:pPr>
      <w:r w:rsidRPr="006D401F">
        <w:t>42.</w:t>
      </w:r>
      <w:r w:rsidRPr="006D401F">
        <w:tab/>
        <w:t>vyzývá Komisi, aby ve svých legislativních návrzích pro příští SZP předložila ambiciózní a komplexní strategii v oblasti bílkovin, která by měla zahrnovat vhodná opatření a nástroje na podporu produkce kvalitních bílkovinných plodin, včetně luštěnin, jako jsou mimo jiné některá olejnatá semena, luštěniny a zelená píce, a dalších plodin, jako je slunečnice a osivo řepky pro potravinářské a krmné účely, s cílem výrazně snížit nedostatek bílkovin v EU a zajistit strategickou autonomii;</w:t>
      </w:r>
    </w:p>
    <w:p w14:paraId="1CB9294E" w14:textId="77777777" w:rsidR="00A21F59" w:rsidRPr="006D401F" w:rsidRDefault="00A21F59" w:rsidP="00A21F59">
      <w:pPr>
        <w:pStyle w:val="NormalHanging12a"/>
      </w:pPr>
      <w:r w:rsidRPr="006D401F">
        <w:t>43.</w:t>
      </w:r>
      <w:r w:rsidRPr="006D401F">
        <w:tab/>
        <w:t xml:space="preserve">zdůrazňuje, že udržitelný chov hospodářských zvířat má zásadní význam pro rozvoj venkova, zachování biologické rozmanitosti, obhospodařování krajiny a udržitelnost životního prostředí, zejména ve znevýhodněných oblastech a v krajině vysoké přírodní hodnoty, a zdůrazňuje, že je třeba poskytnout tomuto odvětví odpovídající finanční podporu s cílem zajistit jeho udržitelnost; zdůrazňuje, že živočišné produkty nemají pouze výživovou hodnotu, ale jejich produkce hraje klíčovou úlohu při zachování tradiční kulturní krajiny, úrodnosti půdy a ukládání uhlíku; vyzývá Komisi, aby vytvořila skupinu na vysoké úrovni pro chov hospodářských zvířat, do níž by byly zapojeny všechny příslušné zúčastněné strany a jež by vypracovala nové přístupy k ochraně budoucnosti tohoto odvětví a řešila postupný úbytek hospodářských zvířat v EU s cílem podpořit generační obměnu, prosazovat dobré životní podmínky zvířat </w:t>
      </w:r>
      <w:r w:rsidRPr="006D401F">
        <w:lastRenderedPageBreak/>
        <w:t xml:space="preserve">a oběhové hospodářství – včetně využívání digestátu jako cenného </w:t>
      </w:r>
      <w:proofErr w:type="spellStart"/>
      <w:r w:rsidRPr="006D401F">
        <w:t>biohnojiva</w:t>
      </w:r>
      <w:proofErr w:type="spellEnd"/>
      <w:r w:rsidRPr="006D401F">
        <w:t xml:space="preserve"> přispívajícího k recyklaci živin a zdraví půdy – a maximalizovat pozitivní přínos udržitelného chovu hospodářských zvířat k ochraně a obnově přírody, biologické rozmanitosti a zdraví a úrodnosti půdy a podporovat investice na podporu konkurenceschopnosti tohoto odvětví; domnívá se, že zavedením nového systému obchodování se zemědělskými emisemi (ETS) by vznikla přílišná složitost, aniž by byla zaručena účinnost;</w:t>
      </w:r>
    </w:p>
    <w:p w14:paraId="067259AD" w14:textId="77777777" w:rsidR="00A21F59" w:rsidRPr="006D401F" w:rsidRDefault="00A21F59" w:rsidP="00A21F59">
      <w:pPr>
        <w:pStyle w:val="NormalHanging12a"/>
      </w:pPr>
      <w:r w:rsidRPr="006D401F">
        <w:t>44.</w:t>
      </w:r>
      <w:r w:rsidRPr="006D401F">
        <w:tab/>
        <w:t>poukazuje na nedávná ohniska nákaz zvířat v několika členských státech; vyzývá Komisi a členské státy, aby posílily preventivní a </w:t>
      </w:r>
      <w:proofErr w:type="spellStart"/>
      <w:r w:rsidRPr="006D401F">
        <w:t>eradikační</w:t>
      </w:r>
      <w:proofErr w:type="spellEnd"/>
      <w:r w:rsidRPr="006D401F">
        <w:t xml:space="preserve"> opatření a navýšily finanční prostředky SZP určené na řízení rizik a zlepšení investic do biologické bezpečnosti v zemědělských podnicích; vyzývá Komisi, aby posílila opatření pro zdraví zvířat v odvětví zemědělství EU koordinací výzkumu, nákupu a dodávek veterinárních očkovacích látek na úrovni EU prostřednictvím mechanismu připravenosti a včasného odhalování a podporou vývoje těchto očkovacích látek v EU; vyzývá k odpovídajícímu financování tohoto mechanismu z jiných prostředků než ze SZP; naléhavě vyzývá členské státy, aby podporovaly regiony a spolupracovaly s nimi na vytváření a provádění plánů prevence, očkování a zmírňování rizik těchto nákaz;</w:t>
      </w:r>
    </w:p>
    <w:p w14:paraId="6BE6E822" w14:textId="77777777" w:rsidR="00A21F59" w:rsidRPr="006D401F" w:rsidRDefault="00A21F59" w:rsidP="00A21F59">
      <w:pPr>
        <w:pStyle w:val="NormalHanging12a"/>
        <w:widowControl w:val="0"/>
      </w:pPr>
      <w:r w:rsidRPr="006D401F">
        <w:t>45.</w:t>
      </w:r>
      <w:r w:rsidRPr="006D401F">
        <w:tab/>
        <w:t>vyjadřuje politování nad tím, že financování opatření k prevenci, tlumení a eradikaci některých nákaz zvířat prostřednictvím programu pro jednotný trh je pro podporu zemědělců a členských států při zvládání nákaz, jako je slintavka a kulhavka, nedostatečné; zdůrazňuje, že v EU může mít jakékoli selhání v prevenci nebo tlumení nákaz zvířat v jednom členském státě okamžité důsledky pro ostatní členské státy a tato problematika vyžaduje koordinovanou reakci; vyzývá k zavedení přísných veterinárních norem na úrovni EU s cílem chránit chov hospodářských zvířat, včetně ustanovení o řízení populací volně žijících zvířat, které představují riziko infekce, a o cíleném očkování zvířat, je-li to nezbytné;</w:t>
      </w:r>
    </w:p>
    <w:p w14:paraId="14645997" w14:textId="77777777" w:rsidR="00A21F59" w:rsidRPr="006D401F" w:rsidRDefault="00A21F59" w:rsidP="00A21F59">
      <w:pPr>
        <w:spacing w:after="240"/>
        <w:ind w:left="567" w:hanging="567"/>
      </w:pPr>
      <w:r w:rsidRPr="006D401F">
        <w:t>46.</w:t>
      </w:r>
      <w:r w:rsidRPr="006D401F">
        <w:tab/>
        <w:t xml:space="preserve">zdůrazňuje, že antimikrobiální rezistence představuje závažnou hrozbu pro lidské zdraví a že omezení používání antibiotik v živočišné výrobě musí být prioritou; bere na vědomí dostupné finanční prostředky na snížení citlivosti a přenosu nákaz zvířat, které jsou již k dispozici v rámci SZP; </w:t>
      </w:r>
    </w:p>
    <w:p w14:paraId="68CDA56F" w14:textId="77777777" w:rsidR="00A21F59" w:rsidRPr="006D401F" w:rsidRDefault="00A21F59" w:rsidP="00A21F59">
      <w:pPr>
        <w:pStyle w:val="NormalHanging12a"/>
        <w:rPr>
          <w:szCs w:val="24"/>
        </w:rPr>
      </w:pPr>
      <w:r w:rsidRPr="006D401F">
        <w:t>47.</w:t>
      </w:r>
      <w:r w:rsidRPr="006D401F">
        <w:tab/>
        <w:t>znovu potvrzuje, že je třeba vypracovat zastřešující potravinovou strategii pro EU založenou na vědeckých experimentech, která by zahrnovala pěstování plodin na orné půdě a chov hospodářských zvířat a zároveň zaručila rovné zacházení se všemi zemědělskými odvětvími, podporuje vědecky podložená posouzení vlivů na životní prostředí, která zohledňují celý životní cyklus potravinářských výrobků; podporuje výživu založenou na vědeckých hodnoceních, která potvrzují význam potravin živočišného původu pro lidské zdraví, zejména pro zranitelné skupiny obyvatelstva, jako jsou děti, starší osoby a ženy;</w:t>
      </w:r>
    </w:p>
    <w:p w14:paraId="34507A47" w14:textId="77777777" w:rsidR="00A21F59" w:rsidRPr="006D401F" w:rsidRDefault="00A21F59" w:rsidP="00A21F59">
      <w:pPr>
        <w:pStyle w:val="NormalHanging12a"/>
      </w:pPr>
      <w:r w:rsidRPr="006D401F">
        <w:t>48.</w:t>
      </w:r>
      <w:r w:rsidRPr="006D401F">
        <w:tab/>
        <w:t xml:space="preserve">vyzývá členské státy, aby podporovaly a zlepšovaly pracovní a sociální podmínky a mzdy zemědělců a dalších zaměstnanců v zemědělství a aby zajistily řádné pokrytí a nahrazování pracovníků v případě nemoci nebo úrazu, které způsobí dočasnou nepřítomnost; vyzývá rovněž k poskytování odborné přípravy a řádné dovolené a pracovního volna z rodinných důvodů za účelem péče o rodinné příslušníky s cílem zajistit kvalitní pracovní místa a lepší rovnováhu mezi pracovním a soukromým životem zemědělců a pracovníků v zemědělství; vyzdvihuje úlohu zemědělství jako klíčového </w:t>
      </w:r>
      <w:r w:rsidRPr="006D401F">
        <w:lastRenderedPageBreak/>
        <w:t>přispěvatele k sociální odpovědnosti a důstojným pracovním podmínkám ve venkovských oblastech;</w:t>
      </w:r>
    </w:p>
    <w:p w14:paraId="0E6FBF4D" w14:textId="77777777" w:rsidR="00A21F59" w:rsidRPr="006D401F" w:rsidRDefault="00A21F59" w:rsidP="00A21F59">
      <w:pPr>
        <w:pStyle w:val="NormalHanging12a"/>
      </w:pPr>
      <w:r w:rsidRPr="006D401F">
        <w:t>49.</w:t>
      </w:r>
      <w:r w:rsidRPr="006D401F">
        <w:tab/>
        <w:t>vyzývá Komisi, aby v příštím VFR aktualizovala finanční příděly na program POSEI tak, aby odrážely alespoň kumulativní inflaci, a to s každoročně upravovaným finančním krytím, a lituje, že v současném VFR nebyl u programu POSEI zohledněn také 2% deflátor uplatňovaný na přímé platby; domnívá se však, že Komise musí učinit více a v příštím VFR navrhnout výrazné navýšení rozpočtu programu POSEI s cílem poskytnout doplňkovou podporu zemědělské produkci, a zajistit tak potravinovou soběstačnost v nejvzdálenějších regionech; opakuje, že to je nezbytné pro zajištění kontinuity zemědělské činnosti v nejvzdálenějších regionech, podporu investic a zajištění hospodářské, sociální a územní soudržnosti EU, a to v plném souladu s článkem 349 SFEU, který uznává specifickou povahu těchto regionů a potřebu přijmout diferencovaná opatření k řešení jejich trvalých omezení; tvrdí proto, že navýšení financování programu POSEI by mělo zohlednit skutečné a specifické zemědělské potřeby těchto regionů, včetně změn výrobních nákladů, vystavení rostoucím extrémním povětrnostním jevům a změně klimatu, územní roztříštěnosti, nestability trhu a potřeby zajistit ekonomickou životaschopnost zemědělských podniků a spravedlivé příjmy zemědělců; v této souvislosti zdůrazňuje, že je důležité vytvořit zvláštní mechanismus, konkrétně program POSEI pro dopravu, který pomůže zmírnit dodatečné náklady na dopravu produktů v rámci nejvzdálenějších regionů a z těchto regionů na vnitřní trh a výrobní faktory v nejvzdálenějších regionech;</w:t>
      </w:r>
    </w:p>
    <w:p w14:paraId="700AA7B7" w14:textId="77777777" w:rsidR="00A21F59" w:rsidRPr="006D401F" w:rsidRDefault="00A21F59" w:rsidP="00A21F59">
      <w:pPr>
        <w:pStyle w:val="NormalHanging12a"/>
      </w:pPr>
      <w:r w:rsidRPr="006D401F">
        <w:t>50.</w:t>
      </w:r>
      <w:r w:rsidRPr="006D401F">
        <w:tab/>
        <w:t>poukazuje na to, že financování pilíře II určené pro včelařství je třeba lépe zacílit a zefektivnit a že nový legislativní rámec by měl stanovit modernizaci a zjednodušení režimu podpory v rámci pilíře I pro včelaře, který zohlední zvláštní rysy a zranitelná místa tohoto odvětví;</w:t>
      </w:r>
    </w:p>
    <w:p w14:paraId="63D100E7" w14:textId="77777777" w:rsidR="00A21F59" w:rsidRPr="006D401F" w:rsidRDefault="00A21F59" w:rsidP="00A21F59">
      <w:pPr>
        <w:pStyle w:val="NormalHanging12a"/>
      </w:pPr>
      <w:r w:rsidRPr="006D401F">
        <w:t>51.</w:t>
      </w:r>
      <w:r w:rsidRPr="006D401F">
        <w:tab/>
        <w:t xml:space="preserve">zdůrazňuje, že je důležité, aby zemědělci měli přístup k fyzické a digitální infrastruktuře se spolehlivým vysokorychlostním širokopásmovým připojením a mohli používat satelitní technologie, které jim usnadní práci a zajistí kvalitu života ve venkovských oblastech a pomohou jim překonat sociální izolaci; trvá proto na tom, že je důležité dosáhnout postupné digitalizace zemědělství, což zahrnuje neustálý přístup k internetu, digitální znalosti, inovace, přístup zemědělců k údajům a jejich vlastnictví a příležitosti ke vzdělávání a odborné přípravě s cílem přilákat a udržet lidi, zejména mladé lidi, v těchto oblastech a umožnit jim zůstat tam, pokud si to přejí; vyzývá Komisi a členské státy, aby zemědělcům a správcům lesů umožnily absolvovat odbornou přípravu s cílem získat digitální dovednosti, které jim mohou pomoci co nejlépe využívat výhod digitalizace a precizního zemědělství a pracovat účinnějším a udržitelnějším způsobem, přičemž je třeba mít na paměti, že pro mnoho zemědělců má i nadále zásadní význam osobní a ústní komunikace; je si vědom toho, že klíčovou úlohu při podpoře digitální transformace zemědělství mají organizace zemědělců; </w:t>
      </w:r>
    </w:p>
    <w:p w14:paraId="641C8DA2" w14:textId="77777777" w:rsidR="00A21F59" w:rsidRPr="006D401F" w:rsidRDefault="00A21F59" w:rsidP="00A21F59">
      <w:pPr>
        <w:pStyle w:val="NormalHanging12a"/>
      </w:pPr>
      <w:r w:rsidRPr="006D401F">
        <w:t>52.</w:t>
      </w:r>
      <w:r w:rsidRPr="006D401F">
        <w:tab/>
        <w:t>vyzývá Komisi a členské státy, aby zajistily plný soulad mezi programem Digitální Evropa, politikami zavádění širokopásmového připojení a SZP po roce 2027; potvrzuje, že je nezbytné vybavit venkovské oblasti digitální infrastrukturou a posílit dovednosti nezbytné pro práci na dálku, precizní zemědělství a digitální podnikání; zdůrazňuje, že lidé na venkově musí mít přístup k cenově dostupné digitální infrastruktuře; zdůrazňuje, že tyto investice jsou klíčové pro snížení vylidňování venkova a zvýšení atraktivity zemědělství a života na venkově pro mladší generace;</w:t>
      </w:r>
    </w:p>
    <w:p w14:paraId="36727963" w14:textId="77777777" w:rsidR="00A21F59" w:rsidRPr="006D401F" w:rsidRDefault="00A21F59" w:rsidP="00A21F59">
      <w:pPr>
        <w:pStyle w:val="NormalHanging12a"/>
      </w:pPr>
      <w:r w:rsidRPr="006D401F">
        <w:lastRenderedPageBreak/>
        <w:t>53.</w:t>
      </w:r>
      <w:r w:rsidRPr="006D401F">
        <w:tab/>
        <w:t>vyzývá k tomu, že vzhledem k vysoké míře sebevražd v odvětví zemědělství je třeba zvyšovat povědomí o významu duševního zdraví zemědělců a pracovníků v zemědělství; zdůrazňuje, že tento znepokojivý jev je způsobený mimo jiné vysokou mírou stresu, nejistotou, nadměrnou administrativní zátěží, jakož i zranitelností, sociální izolací, nedostatečnou dovolenou, zadlužením a hospodářskými obtížemi, jimž zemědělci čelí; dále zdůrazňuje, že další tlak na zemědělce při řízení jejich podniků vyvíjejí stresující kontrolní postupy v zemědělských podnicích, a vyzývá členské státy, aby vytvořily mechanismy pro řešení tohoto problému; vyzývá Komisi a členské státy, aby podpořily spolupráci na vypracování komplexní strategie duševního zdraví zemědělců a zajistily, aby byla do příští SZP zahrnuta vhodná podpůrná opatření; vyzdvihuje hodnotu přístupů přizpůsobených místním podmínkám s využitím různých typů podpůrných služeb, včetně stávajících zemědělských poradenských sítí a dalších skupin na podporu venkovských komunit; domnívá se, že je třeba vytvořit programy psychologické podpory, ale i opatření ke zjednodušení administrativy a sladění pracovního a soukromého života, aby se zlepšila kvalita života zemědělců a pracovníků v EU; opakuje, že je třeba, aby zemědělci dostávali za své tržní i netržní produkty spravedlivé ceny;</w:t>
      </w:r>
      <w:r w:rsidRPr="006D401F">
        <w:rPr>
          <w:i/>
        </w:rPr>
        <w:t xml:space="preserve"> </w:t>
      </w:r>
    </w:p>
    <w:p w14:paraId="60A79644" w14:textId="77777777" w:rsidR="00A21F59" w:rsidRPr="006D401F" w:rsidRDefault="00A21F59" w:rsidP="00A21F59">
      <w:pPr>
        <w:pStyle w:val="NormalHanging12a"/>
      </w:pPr>
      <w:r w:rsidRPr="006D401F">
        <w:t>54.</w:t>
      </w:r>
      <w:r w:rsidRPr="006D401F">
        <w:tab/>
        <w:t>zdůrazňuje, že více než 70 % spotřebitelů v EU se při nákupu rozhoduje na základě informací na obalech, a upozorňuje na reálné riziko klamání spotřebitelů; vyzývá proto ke konsolidaci harmonizovaného označování EU s cílem zajistit spravedlivý a nestranný systém, který bude transparentně informovat o zemi původu, zárukách kvality a výrobních normách, včetně norem v oblasti dobrých životních podmínek zvířat a ekologických norem, zemědělsko-potravinářských produktů EU; domnívá se, že je nezbytné zaručit sledovatelnost a konkurenceschopnost na jednotném trhu i v celosvětovém měřítku prostřednictvím jasných pravidel, aby se zabránilo narušení a klamavým praktikám, s cílem chránit integritu potravinových systémů EU, posílit jejich propagaci a zlepšit informovanost a povědomí spotřebitelů;</w:t>
      </w:r>
    </w:p>
    <w:p w14:paraId="183C9D9A" w14:textId="77777777" w:rsidR="00A21F59" w:rsidRPr="006D401F" w:rsidRDefault="00A21F59" w:rsidP="00A21F59">
      <w:pPr>
        <w:pStyle w:val="NormalHanging12a"/>
      </w:pPr>
      <w:r w:rsidRPr="006D401F">
        <w:t>55.</w:t>
      </w:r>
      <w:r w:rsidRPr="006D401F">
        <w:tab/>
        <w:t>vyzývá k posílení ochranných opatření pro regionální produkty, včetně posílení režimů chráněných označení původu, chráněných zeměpisných označení a zaručených tradičních specialit, a to prostřednictvím zjednodušených postupů, které chrání před zneužitím a paděláním;</w:t>
      </w:r>
    </w:p>
    <w:p w14:paraId="6876C9D3" w14:textId="77777777" w:rsidR="00A21F59" w:rsidRPr="006D401F" w:rsidRDefault="00A21F59" w:rsidP="00A21F59">
      <w:pPr>
        <w:pStyle w:val="NormalHanging12a"/>
      </w:pPr>
      <w:r w:rsidRPr="006D401F">
        <w:t>56.</w:t>
      </w:r>
      <w:r w:rsidRPr="006D401F">
        <w:tab/>
        <w:t xml:space="preserve">dále vyzývá Komisi, aby ukončila systémy označování na přední straně obalu, které jsou považovány za zjednodušené, jako je systém </w:t>
      </w:r>
      <w:proofErr w:type="spellStart"/>
      <w:r w:rsidRPr="006D401F">
        <w:t>Nutri-score</w:t>
      </w:r>
      <w:proofErr w:type="spellEnd"/>
      <w:r w:rsidRPr="006D401F">
        <w:t>, a to z důvodu nedostatku širokého vědeckého konsensu a rizika, že potravinářský průmysl upraví parametry tak, aby vyhovovaly jeho zájmům;</w:t>
      </w:r>
    </w:p>
    <w:p w14:paraId="30299C4A" w14:textId="77777777" w:rsidR="00A21F59" w:rsidRPr="006D401F" w:rsidRDefault="00A21F59" w:rsidP="00A21F59">
      <w:pPr>
        <w:pStyle w:val="NormalHanging12a"/>
      </w:pPr>
      <w:r w:rsidRPr="006D401F">
        <w:t>57.</w:t>
      </w:r>
      <w:r w:rsidRPr="006D401F">
        <w:tab/>
        <w:t xml:space="preserve">vyzývá k podpoře vzdělávání v oblasti výživy ve školách a školních jídelnách s cílem pomoci dětem pochopit význam úplné a vyvážené stravy od raného věku a pomoci jim pochopit původ potravin; vybízí k rozvoji zdravých stravovacích návyků a přípravě takových jídel ve školních jídelnách, které obsahují vitaminy, vlákninu a potraviny bohaté na živiny, s cílem přispět k posílení fyzické a duševní pohody studentů; dále zdůrazňuje, že je třeba respektovat a podporovat celostátní, místní a sezónní gastronomii jako cenné kulturní dědictví, které je dobře zastoupeno ve středomořském modelu stravy; naléhavě vyzývá Komisi, aby zajistila, že místním a regionálním orgánům budou na programy zaměřené na tyto činnosti poskytnuty dodatečné zdroje, a zdůrazňuje, že je třeba, aby se zadávání veřejných zakázek řídilo kvalitou a nikoli cenou a aby pokud možno podporovalo spotřebu ekologických, místních a sezónních produktů se zeměpisným označením; </w:t>
      </w:r>
    </w:p>
    <w:p w14:paraId="475D874B" w14:textId="77777777" w:rsidR="00A21F59" w:rsidRPr="006D401F" w:rsidRDefault="00A21F59" w:rsidP="00A21F59">
      <w:pPr>
        <w:pStyle w:val="NormalHanging12a"/>
      </w:pPr>
      <w:r w:rsidRPr="006D401F">
        <w:lastRenderedPageBreak/>
        <w:t>58.</w:t>
      </w:r>
      <w:r w:rsidRPr="006D401F">
        <w:tab/>
        <w:t>zdůrazňuje význam projektu EU pro distribuci mléka, ovoce a zeleniny dětem prostřednictvím školních programů jako klíčového nástroje na podporu zdravého stravování, zejména pro děti ze zranitelného prostředí, pro něž může být školní jídlo jedním z mála zdrojů vyvážené výživy; vyjadřuje politování nad tím, že některé členské státy finanční prostředky přidělené na tento program nevyužívají, což vede k nedostatečnému využívání dostupného rozpočtu; upozorňuje na to, že do poskytování vzdělávání v oblasti potravin je třeba zapojit zemědělce a aktéry v celém zemědělsko-potravinářském hodnotovém řetězci a podporovat přímé vazby mezi producenty a školami;</w:t>
      </w:r>
    </w:p>
    <w:p w14:paraId="6A1C1BDD" w14:textId="77777777" w:rsidR="00A21F59" w:rsidRPr="006D401F" w:rsidRDefault="00A21F59" w:rsidP="00A21F59">
      <w:pPr>
        <w:pStyle w:val="NormalHanging12a"/>
      </w:pPr>
      <w:r w:rsidRPr="006D401F">
        <w:t>59.</w:t>
      </w:r>
      <w:r w:rsidRPr="006D401F">
        <w:tab/>
        <w:t>zdůrazňuje, že je důležité zachovat odpovídající financování produkce olivového oleje a stolních oliv vzhledem k jejich značným zdravotním a výživovým přínosům pro všechny Evropany;</w:t>
      </w:r>
    </w:p>
    <w:p w14:paraId="5365E266" w14:textId="77777777" w:rsidR="00A21F59" w:rsidRPr="006D401F" w:rsidRDefault="00A21F59" w:rsidP="00A21F59">
      <w:pPr>
        <w:pStyle w:val="NormalHanging12a"/>
        <w:rPr>
          <w:szCs w:val="24"/>
        </w:rPr>
      </w:pPr>
      <w:r w:rsidRPr="006D401F">
        <w:t>60.</w:t>
      </w:r>
      <w:r w:rsidRPr="006D401F">
        <w:tab/>
        <w:t>vyjadřuje hluboké znepokojení nad rozvojem projektů výroby „masa vypěstovaného v laboratoři“; zdůrazňuje, že je třeba revidovat unijní legislativní rámec použitelný pro povolování těchto výrobků, aby byly lépe zohledněny hospodářské, sociální a environmentální důsledky a etické aspekty spojené s tímto typem inovace;</w:t>
      </w:r>
    </w:p>
    <w:p w14:paraId="06AB393A" w14:textId="77777777" w:rsidR="00A21F59" w:rsidRPr="006D401F" w:rsidRDefault="00A21F59" w:rsidP="00A21F59">
      <w:pPr>
        <w:pStyle w:val="NormalHanging12a"/>
      </w:pPr>
      <w:r w:rsidRPr="006D401F">
        <w:t>61.</w:t>
      </w:r>
      <w:r w:rsidRPr="006D401F">
        <w:tab/>
        <w:t>vybízí politiky, školy, sdělovací prostředky, zemědělce a místní sdružení ke spolupráci při propagaci pozitivního obrazu zemědělství, zvýšení jeho přitažlivosti pro mladé lidi a k lepšímu informování o úloze zemědělců v udržitelné produkci potravin a environmentálních službách; vyzývá k širokému uznání zásadní práce zemědělců a pracovníků v zemědělství, pokud jde o bezpečnost potravin, a jejich závazku uplatňovat udržitelné postupy, a to prostřednictvím kampaní zaměřených na zvyšování povědomí spotřebitelů o rozhodnutích, která činí při nákupu, na posílení vztahů mezi spotřebiteli a zemědělci v EU a na podporu lepšího porozumění tomu, jak vyrábějí zemědělsko-potravinářské produkty, které spotřebitelé kupují; zdůrazňuje, že je třeba bojovat proti dezinformacím a zavádějícím, mylným a neopodstatněným sdělením s cílem zlepšit negativní obraz zemědělců ve společnosti; naléhavě vyzývá členské státy, aby toto uznání zahrnuly do svých vzdělávacích plánů s cílem zajistit, aby se zemědělství stalo atraktivní hospodářskou činností; vyjadřuje hluboké politování nad tím, že zemědělci a obyvatelé venkova se po mnoho let potýkají s tím, že jejich činnost ztrácí prioritu a jsou na ni vynakládány nedostatečné investice;</w:t>
      </w:r>
      <w:r w:rsidRPr="006D401F">
        <w:rPr>
          <w:i/>
        </w:rPr>
        <w:t xml:space="preserve"> </w:t>
      </w:r>
    </w:p>
    <w:p w14:paraId="4A9D2908" w14:textId="77777777" w:rsidR="00A21F59" w:rsidRPr="006D401F" w:rsidRDefault="00A21F59" w:rsidP="00A21F59">
      <w:pPr>
        <w:pStyle w:val="NormalHanging12a"/>
        <w:rPr>
          <w:i/>
          <w:iCs/>
        </w:rPr>
      </w:pPr>
      <w:r w:rsidRPr="006D401F">
        <w:rPr>
          <w:b/>
          <w:i/>
        </w:rPr>
        <w:t>Zjednodušení SZP po roce 2027:</w:t>
      </w:r>
      <w:r w:rsidRPr="006D401F">
        <w:rPr>
          <w:rStyle w:val="Bold"/>
          <w:i/>
          <w:color w:val="000000"/>
        </w:rPr>
        <w:t xml:space="preserve"> na cestě k efektivnějšímu řízení</w:t>
      </w:r>
    </w:p>
    <w:p w14:paraId="0A3BFA24" w14:textId="39C45A68" w:rsidR="00A21F59" w:rsidRPr="006D401F" w:rsidRDefault="00A21F59" w:rsidP="00A21F59">
      <w:pPr>
        <w:pStyle w:val="NormalHanging12a"/>
      </w:pPr>
      <w:r w:rsidRPr="006D401F">
        <w:t>6</w:t>
      </w:r>
      <w:r w:rsidR="00E6736E">
        <w:t>2</w:t>
      </w:r>
      <w:r w:rsidRPr="006D401F">
        <w:t>.</w:t>
      </w:r>
      <w:r w:rsidRPr="006D401F">
        <w:tab/>
        <w:t>s ohledem na budoucnost podporuje cíl Komise pro období 2024–2029 spočívající ve snížení administrativní zátěže pro zemědělce a zjednodušení právních předpisů jako průřezovou strategickou prioritu s cílem usnadnit přístup k podpoře v rámci SZP a zefektivnit její provádění v praxi; trvá na tom, že se musí jednat o jednu z hlavních zásad, na nichž jsou založena všechna opatření zaměřená na dosažení sociální, environmentální a hospodářské udržitelnosti zemědělství EU, aniž by bylo ohroženo pět hlavních cílů SZP stanovených v článku 39 SFEU; zdůrazňuje, že zjednodušení SZP by nemělo ohrozit silný regulační rámec na úrovni EU, který je zásadní pro zachování jednotnosti SZP a zajištění veřejné podpory nezbytných finančních zdrojů;</w:t>
      </w:r>
      <w:r w:rsidRPr="006D401F">
        <w:rPr>
          <w:i/>
        </w:rPr>
        <w:t xml:space="preserve"> </w:t>
      </w:r>
    </w:p>
    <w:p w14:paraId="39F7EF93" w14:textId="3CCD0EAA" w:rsidR="00A21F59" w:rsidRPr="006D401F" w:rsidRDefault="00A21F59" w:rsidP="00A21F59">
      <w:pPr>
        <w:pStyle w:val="NormalHanging12a"/>
      </w:pPr>
      <w:r w:rsidRPr="006D401F">
        <w:t>6</w:t>
      </w:r>
      <w:r w:rsidR="00E6736E">
        <w:t>3</w:t>
      </w:r>
      <w:r w:rsidRPr="006D401F">
        <w:t>.</w:t>
      </w:r>
      <w:r w:rsidRPr="006D401F">
        <w:tab/>
        <w:t xml:space="preserve">zdůrazňuje, že je třeba zajistit větší flexibilitu a zjednodušit strukturu financování nové SZP, která bude přínosem pro aktivní zemědělce; poukazuje na to, že nestabilní podmínky, zvyšující se regulace a rostoucí společenská očekávání způsobují </w:t>
      </w:r>
      <w:r w:rsidRPr="006D401F">
        <w:lastRenderedPageBreak/>
        <w:t>u zemědělců frustraci a ovlivňují atraktivitu tohoto povolání, zejména mezi mladými zemědělci a nejzranitelnějšími osobami;</w:t>
      </w:r>
    </w:p>
    <w:p w14:paraId="77AEB297" w14:textId="21B86328" w:rsidR="00A21F59" w:rsidRPr="006D401F" w:rsidRDefault="00A21F59" w:rsidP="00A21F59">
      <w:pPr>
        <w:pStyle w:val="NormalHanging12a"/>
        <w:widowControl w:val="0"/>
      </w:pPr>
      <w:r w:rsidRPr="006D401F">
        <w:t>6</w:t>
      </w:r>
      <w:r w:rsidR="00E6736E">
        <w:t>4</w:t>
      </w:r>
      <w:r w:rsidRPr="006D401F">
        <w:t>.</w:t>
      </w:r>
      <w:r w:rsidRPr="006D401F">
        <w:tab/>
        <w:t xml:space="preserve">vyzývá Komisi, aby se při navrhování budoucí struktury SZP zaměřila na stanovení jasnějších kritérií, digitalizované postupy, standardizované pokyny, včasné informování o změnách a dostupnou technickou podporu; zdůrazňuje, že tzv. </w:t>
      </w:r>
      <w:proofErr w:type="spellStart"/>
      <w:r w:rsidRPr="006D401F">
        <w:t>gold</w:t>
      </w:r>
      <w:proofErr w:type="spellEnd"/>
      <w:r w:rsidRPr="006D401F">
        <w:t xml:space="preserve"> </w:t>
      </w:r>
      <w:proofErr w:type="spellStart"/>
      <w:r w:rsidRPr="006D401F">
        <w:t>plating</w:t>
      </w:r>
      <w:proofErr w:type="spellEnd"/>
      <w:r w:rsidRPr="006D401F">
        <w:t xml:space="preserve"> zvyšuje složitost pro zemědělce a příjemce, což snižuje účinnost a využívání důležitých opatření;</w:t>
      </w:r>
    </w:p>
    <w:p w14:paraId="0406430B" w14:textId="39C0AF60" w:rsidR="00A21F59" w:rsidRPr="006D401F" w:rsidRDefault="00A21F59" w:rsidP="00A21F59">
      <w:pPr>
        <w:pStyle w:val="NormalHanging12a"/>
      </w:pPr>
      <w:r w:rsidRPr="006D401F">
        <w:t>6</w:t>
      </w:r>
      <w:r w:rsidR="00E6736E">
        <w:t>5</w:t>
      </w:r>
      <w:r w:rsidRPr="006D401F">
        <w:t>.</w:t>
      </w:r>
      <w:r w:rsidRPr="006D401F">
        <w:tab/>
        <w:t>požaduje lepší koordinaci mezi Komisí a celostátními a regionálními orgány, pokud jde o omezení povinností týkajících se předkládání dokumentace a podávání zpráv; zdůrazňuje, že před vypracováním vnitrostátních strategických plánů SZP je zapotřebí, aby Komise, orgány členských států, zemědělci a zemědělské organizace spolu aktivně spolupracovali; zdůrazňuje, že je třeba zajistit, aby členské státy měly v rámci strategických plánů SZP větší flexibilitu, která jim umožní přizpůsobit konkrétní prvky, aniž by v případě potřeby musely žádat Komisi o předchozí souhlas; vyzývá ke zřízení centralizovaného elektronického systému podávání zpráv, tzv. jednotného kontaktního místa SZP, kde by zemědělci mohli podávat žádosti, zprávy a veškerou požadovanou dokumentaci na jednom místě, což by zabránilo zbytečné a zdvojené administrativě;</w:t>
      </w:r>
    </w:p>
    <w:p w14:paraId="7F46BDF5" w14:textId="3014D868" w:rsidR="00A21F59" w:rsidRPr="006D401F" w:rsidRDefault="00A21F59" w:rsidP="00A21F59">
      <w:pPr>
        <w:pStyle w:val="NormalHanging12a"/>
      </w:pPr>
      <w:r w:rsidRPr="006D401F">
        <w:t>6</w:t>
      </w:r>
      <w:r w:rsidR="00E6736E">
        <w:t>6</w:t>
      </w:r>
      <w:r w:rsidRPr="006D401F">
        <w:t>.</w:t>
      </w:r>
      <w:r w:rsidRPr="006D401F">
        <w:tab/>
        <w:t>vyzývá k tomu, aby byl pro zemědělce vytvořen realistický systém založený na pobídkách, který by odrážel časový závazek příjemce, a nikoli systém založený výhradně na povinnosti dosáhnout ambiciózních environmentálních a sociálních cílů, a že by měl tento systém náležitě zohledňovat specifika zeměpisných oblastí; domnívá se, že přístupy založené na pobídkách přinášejí nejlepší výsledky, pokud jde o posílení udržitelnosti zemědělství v EU; zdůrazňuje, že je zásadní, aby při výpočtu odměny za poskytnuté služby šla metodika nad rámec úzkého pohledu na „vzniklé náklady a ušlé příjmy“ zemědělce, neboť socioekonomické ztráty širší komunity mohou být vzhledem ke ztrátám předcházejících i navazujících hospodářských činností v dané oblasti mnohem vyšší; domnívá se, že financování těchto plateb by mělo pocházet ze SZP nebo z vnitrostátních fondů, aby veřejné financování mohlo skutečně stimulovat ekologické inovace a ekologickou transformaci; vyzývá Komisi, aby prozkoumala další zdroje financování mimo SZP na podporu zemědělců při rozvoji místně přizpůsobených a udržitelných obchodních modelů;</w:t>
      </w:r>
      <w:r w:rsidRPr="006D401F">
        <w:rPr>
          <w:i/>
        </w:rPr>
        <w:t xml:space="preserve"> </w:t>
      </w:r>
    </w:p>
    <w:p w14:paraId="57F24C59" w14:textId="2ABEE227" w:rsidR="00A21F59" w:rsidRPr="006D401F" w:rsidRDefault="00A21F59" w:rsidP="00A21F59">
      <w:pPr>
        <w:pStyle w:val="NormalHanging12a"/>
      </w:pPr>
      <w:r w:rsidRPr="006D401F">
        <w:t>6</w:t>
      </w:r>
      <w:r w:rsidR="00E6736E">
        <w:t>7</w:t>
      </w:r>
      <w:r w:rsidRPr="006D401F">
        <w:t>.</w:t>
      </w:r>
      <w:r w:rsidRPr="006D401F">
        <w:tab/>
        <w:t>zdůrazňuje, že provádění požadavků dobrých zemědělských a environmentálních podmínek musí zohledňovat stávající způsoby využívání půdy a zemědělské postupy; zdůrazňuje, že aktivní zemědělci si musí zachovat právo pokračovat ve své současné zemědělské činnosti, včetně nezbytných údržbových prací, aniž by čelili dalším administrativním nebo provozním omezením;</w:t>
      </w:r>
    </w:p>
    <w:p w14:paraId="0567E55A" w14:textId="77F6B9DF" w:rsidR="00A21F59" w:rsidRPr="006D401F" w:rsidRDefault="00A21F59" w:rsidP="00A21F59">
      <w:pPr>
        <w:pStyle w:val="NormalHanging12a"/>
      </w:pPr>
      <w:r w:rsidRPr="006D401F">
        <w:t>6</w:t>
      </w:r>
      <w:r w:rsidR="00E6736E">
        <w:t>8</w:t>
      </w:r>
      <w:r w:rsidRPr="006D401F">
        <w:t>.</w:t>
      </w:r>
      <w:r w:rsidRPr="006D401F">
        <w:tab/>
        <w:t>zdůrazňuje, že je třeba pokračovat v posuzování požadavků podmíněnosti SZP s cílem snížit administrativní zátěž, hospodářské a jiné překážky, omezit náklady a vyhnout se nepřiměřeným požadavkům na provádění pro zemědělce; trvá na tom, že je třeba zajistit zemědělcům flexibilitu a jednoduchost a zároveň i nadále podporovat odpovědné zemědělské postupy prostřednictvím pobídek a zachovat rovné podmínky a veřejnou podporu této politiky v rámci přístupu, který vytváří větší přidanou hodnotu a více investic do inovací;</w:t>
      </w:r>
      <w:r w:rsidRPr="006D401F">
        <w:rPr>
          <w:i/>
        </w:rPr>
        <w:t xml:space="preserve"> </w:t>
      </w:r>
    </w:p>
    <w:p w14:paraId="7DD65A33" w14:textId="4F4599B2" w:rsidR="00A21F59" w:rsidRPr="006D401F" w:rsidRDefault="00E6736E" w:rsidP="00A21F59">
      <w:pPr>
        <w:pStyle w:val="NormalHanging12a"/>
      </w:pPr>
      <w:r>
        <w:t>69</w:t>
      </w:r>
      <w:r w:rsidR="00A21F59" w:rsidRPr="006D401F">
        <w:t>.</w:t>
      </w:r>
      <w:r w:rsidR="00A21F59" w:rsidRPr="006D401F">
        <w:tab/>
        <w:t xml:space="preserve">naléhavě vyzývá Komisi, aby povzbuzovala zemědělce k převzetí odpovědnosti tím, že umožní určitou toleranci a zajistí, aby sankce byly spravedlivé a přiměřené, zejména </w:t>
      </w:r>
      <w:r w:rsidR="00A21F59" w:rsidRPr="006D401F">
        <w:lastRenderedPageBreak/>
        <w:t xml:space="preserve">pokud jde o požadavky podmíněnosti, jakož i dobrovolné </w:t>
      </w:r>
      <w:proofErr w:type="spellStart"/>
      <w:r w:rsidR="00A21F59" w:rsidRPr="006D401F">
        <w:t>ekorežimy</w:t>
      </w:r>
      <w:proofErr w:type="spellEnd"/>
      <w:r w:rsidR="00A21F59" w:rsidRPr="006D401F">
        <w:t xml:space="preserve"> a </w:t>
      </w:r>
      <w:proofErr w:type="spellStart"/>
      <w:r w:rsidR="00A21F59" w:rsidRPr="006D401F">
        <w:t>agroenvironmentální</w:t>
      </w:r>
      <w:proofErr w:type="spellEnd"/>
      <w:r w:rsidR="00A21F59" w:rsidRPr="006D401F">
        <w:t xml:space="preserve"> a klimatická opatření; zdůrazňuje, že všechny nové legislativní požadavky v rámci SZP po roce 2027 musí být doprovázeny dostatečně dlouhými přechodnými obdobími a administrativními zjednodušeními s cílem zajistit zemědělcům právní jistotu a jistotu plánování;</w:t>
      </w:r>
    </w:p>
    <w:p w14:paraId="234F52B0" w14:textId="3C261AE7" w:rsidR="00A21F59" w:rsidRPr="006D401F" w:rsidRDefault="00A21F59" w:rsidP="00A21F59">
      <w:pPr>
        <w:pStyle w:val="NormalHanging12a"/>
      </w:pPr>
      <w:r w:rsidRPr="006D401F">
        <w:t>7</w:t>
      </w:r>
      <w:r w:rsidR="00E6736E">
        <w:t>0</w:t>
      </w:r>
      <w:r w:rsidRPr="006D401F">
        <w:t>.</w:t>
      </w:r>
      <w:r w:rsidRPr="006D401F">
        <w:tab/>
        <w:t>zdůrazňuje, že nařízení o společné organizaci trhů</w:t>
      </w:r>
      <w:r w:rsidRPr="006D401F">
        <w:rPr>
          <w:rStyle w:val="FootnoteReference"/>
        </w:rPr>
        <w:footnoteReference w:id="33"/>
      </w:r>
      <w:r w:rsidRPr="006D401F">
        <w:t xml:space="preserve"> musí být zjednodušeno, čímž se urychlí postupy pro poskytování mimořádné podpory zemědělcům; zdůrazňuje, že je důležité podporovat a posilovat klíčovou úlohu družstev, organizací producentů, sdružení organizací producentů, organizací producentů ovoce a zeleniny, mezioborových organizací a dalších subjektů přispívajících k zemědělsko-potravinářskému hodnotovému řetězci, včetně ekologického odvětví, a zajistit vyváženější zemědělsko-potravinový hodnotový řetězec, a tím i lepší odměňování zemědělců; naléhavě vyzývá Komisi, aby prozkoumala, jak lze jejich spolupráci prostřednictvím nařízení o společné organizaci trhů dále povzbuzovat a podporovat;</w:t>
      </w:r>
    </w:p>
    <w:p w14:paraId="3523DCAA" w14:textId="1CE2F692" w:rsidR="00A21F59" w:rsidRPr="006D401F" w:rsidRDefault="00A21F59" w:rsidP="00A21F59">
      <w:pPr>
        <w:pStyle w:val="NormalHanging12a"/>
      </w:pPr>
      <w:r w:rsidRPr="006D401F">
        <w:t>7</w:t>
      </w:r>
      <w:r w:rsidR="00E6736E">
        <w:t>1</w:t>
      </w:r>
      <w:r w:rsidRPr="006D401F">
        <w:t>.</w:t>
      </w:r>
      <w:r w:rsidRPr="006D401F">
        <w:tab/>
        <w:t>vyzývá Komisi, aby uskutečnila komplexní přezkum nástrojů, včetně středisek pro sledování trhu, zaměřených na zlepšení odolnosti vůči kolísavosti trhu a zhroucení tržních cen; trvá na tom, že je nezbytné aktualizovat a posílit stávající nástroje řízení rizik a zlepšit spolupráci mezi družstvy, organizacemi producentů a sdruženími organizací producentů s cílem posílit jejich úlohu při řízení hospodářských nástrojů a nástrojů řízení rizik; trvá na tom, že je třeba dále usnadnit uplatňování výjimek z pravidel hospodářské soutěže pro zemědělce s cílem řešit a překonat krize na trhu;</w:t>
      </w:r>
    </w:p>
    <w:p w14:paraId="3BD53E79" w14:textId="4A1A1309" w:rsidR="00A21F59" w:rsidRPr="006D401F" w:rsidRDefault="00A21F59" w:rsidP="00A21F59">
      <w:pPr>
        <w:pStyle w:val="NormalHanging12a"/>
      </w:pPr>
      <w:r w:rsidRPr="006D401F">
        <w:t>7</w:t>
      </w:r>
      <w:r w:rsidR="00E6736E">
        <w:t>2</w:t>
      </w:r>
      <w:r w:rsidRPr="006D401F">
        <w:t>.</w:t>
      </w:r>
      <w:r w:rsidRPr="006D401F">
        <w:tab/>
        <w:t>nabádá Komisi, aby v nařízení o společné organizaci trhů zajistila účinné záchranné sítě, včetně přezkumu stávajících cen v rámci veřejné intervence a referenčních prahových hodnot tak, aby přesně odrážely stávající hospodářské podmínky a realitu;</w:t>
      </w:r>
    </w:p>
    <w:p w14:paraId="7ECA8431" w14:textId="65590B7F" w:rsidR="00A21F59" w:rsidRPr="006D401F" w:rsidRDefault="00A21F59" w:rsidP="00A21F59">
      <w:pPr>
        <w:pStyle w:val="NormalHanging12a"/>
      </w:pPr>
      <w:r w:rsidRPr="006D401F">
        <w:t>7</w:t>
      </w:r>
      <w:r w:rsidR="00E6736E">
        <w:t>3</w:t>
      </w:r>
      <w:r w:rsidRPr="006D401F">
        <w:t>.</w:t>
      </w:r>
      <w:r w:rsidRPr="006D401F">
        <w:tab/>
        <w:t>vítá nový balíček Komise pro odvětví vína a vyzývá Komisi, aby dále vyčlenila finanční zdroje na provádění navrhovaných opatření a na dlouhodobě udržitelné oživení odvětví vína;</w:t>
      </w:r>
    </w:p>
    <w:p w14:paraId="3A3E3CA5" w14:textId="241AEF10" w:rsidR="00A21F59" w:rsidRPr="006D401F" w:rsidRDefault="00A21F59" w:rsidP="00A21F59">
      <w:pPr>
        <w:pStyle w:val="NormalHanging12a"/>
        <w:rPr>
          <w:szCs w:val="24"/>
        </w:rPr>
      </w:pPr>
      <w:r w:rsidRPr="006D401F">
        <w:t>7</w:t>
      </w:r>
      <w:r w:rsidR="00E6736E">
        <w:t>4</w:t>
      </w:r>
      <w:r w:rsidRPr="006D401F">
        <w:t>.</w:t>
      </w:r>
      <w:r w:rsidRPr="006D401F">
        <w:tab/>
        <w:t>dále připomíná, že nařízení o společné organizaci trhů by se mělo zabývat požadavkem výrobců a spotřebitelů, pokud jde o obchodní názvy některých zemědělských produktů, například produktů souvisejících s masem, které musí být chráněny před rizikem klamavého používání;</w:t>
      </w:r>
    </w:p>
    <w:p w14:paraId="00A94EB3" w14:textId="3852102E" w:rsidR="00A21F59" w:rsidRPr="006D401F" w:rsidRDefault="00A21F59" w:rsidP="00A21F59">
      <w:pPr>
        <w:pStyle w:val="NormalHanging12a"/>
      </w:pPr>
      <w:r w:rsidRPr="006D401F">
        <w:t>7</w:t>
      </w:r>
      <w:r w:rsidR="00E6736E">
        <w:t>5</w:t>
      </w:r>
      <w:r w:rsidRPr="006D401F">
        <w:t>.</w:t>
      </w:r>
      <w:r w:rsidRPr="006D401F">
        <w:tab/>
        <w:t xml:space="preserve">vyzývá k zajištění toho, aby každému legislativnímu návrhu týkajícímu se zemědělství předcházelo, s výjimkou výjimečných okolností, podrobné, komplexní a na důkazech založené posouzení kumulativních dopadů, se zvláštním důrazem na hospodářské, environmentální a sociální aspekty, s cílem poskytnout zemědělcům právní jistotu; podporuje posouzení hospodářských dopadů navrhovaných politických opatření na úrovni zemědělských podniků a finančních prostředků potřebných k jejich provádění, jakož i průběžné sledování těchto opatření; zdůrazňuje, že neustálé zvyšování regulační </w:t>
      </w:r>
      <w:r w:rsidRPr="006D401F">
        <w:lastRenderedPageBreak/>
        <w:t>zátěže kladené na odvětví vyvolává u zemědělců frustraci a vede ke značným dodatečným nákladům na úrovni zemědělských podniků a je jedním z faktorů, které ovlivňují přitažlivost tohoto povolání pro nové subjekty;</w:t>
      </w:r>
    </w:p>
    <w:p w14:paraId="7A3CEAD0" w14:textId="3F43869C" w:rsidR="00A21F59" w:rsidRPr="006D401F" w:rsidRDefault="00A21F59" w:rsidP="00A21F59">
      <w:pPr>
        <w:pStyle w:val="NormalHanging12a"/>
      </w:pPr>
      <w:r w:rsidRPr="006D401F">
        <w:t>7</w:t>
      </w:r>
      <w:r w:rsidR="00E6736E">
        <w:t>6</w:t>
      </w:r>
      <w:r w:rsidRPr="006D401F">
        <w:t>.</w:t>
      </w:r>
      <w:r w:rsidRPr="006D401F">
        <w:tab/>
        <w:t>zdůrazňuje, že při navrhování podpůrných opatření, regulačních požadavků a inovačních strategií je důležité uznat rozmanitost evropského zemědělství, včetně skleníkového zahradnictví a trvalých kultur; vyzývá k zavedení a úpravě právních předpisů EU speciálně vypracovaných s cílem řešit výzvy a příležitosti spojené se skleníkovým, městským a vertikálním zemědělstvím;</w:t>
      </w:r>
    </w:p>
    <w:p w14:paraId="0E0919D7" w14:textId="1C8FD69B" w:rsidR="00A21F59" w:rsidRPr="006D401F" w:rsidRDefault="00A21F59" w:rsidP="00A21F59">
      <w:pPr>
        <w:pStyle w:val="NormalHanging12a"/>
      </w:pPr>
      <w:r w:rsidRPr="006D401F">
        <w:t>7</w:t>
      </w:r>
      <w:r w:rsidR="00E6736E">
        <w:t>7</w:t>
      </w:r>
      <w:r w:rsidRPr="006D401F">
        <w:t>.</w:t>
      </w:r>
      <w:r w:rsidRPr="006D401F">
        <w:tab/>
        <w:t xml:space="preserve">zdůrazňuje, že je třeba přejít na integrované a interoperabilní digitální systémy pro sledování SZP; v této souvislosti zdůrazňuje, že je důležité podporovat shromažďování údajů a informací v rámci jednotného legislativního rámce, který se při vývoji integrovaných řídicích a kontrolních systémů opírá zejména o satelitní snímky; zdůrazňuje, že cílem těchto systémů by mělo být pokud možno omezit osobní nebo fyzické kontroly na místě a minimalizovat administrativní zátěž a náklady zemědělců; trvá na tom, že musí být plně zaručena ochrana a vlastnictví údajů zemědělců; nicméně připomíná, že s ohledem na stávající omezení při používání satelitní technologie, zejména pokud jde o malé, úzké pozemky, je nezbytné zároveň zachovat i jiné systémy; </w:t>
      </w:r>
    </w:p>
    <w:p w14:paraId="0E30F7E5" w14:textId="5528BA2B" w:rsidR="00A21F59" w:rsidRPr="006D401F" w:rsidRDefault="00A21F59" w:rsidP="00A21F59">
      <w:pPr>
        <w:pStyle w:val="NormalHanging12a"/>
      </w:pPr>
      <w:r w:rsidRPr="006D401F">
        <w:t>7</w:t>
      </w:r>
      <w:r w:rsidR="00E6736E">
        <w:t>8</w:t>
      </w:r>
      <w:r w:rsidRPr="006D401F">
        <w:t>.</w:t>
      </w:r>
      <w:r w:rsidRPr="006D401F">
        <w:tab/>
        <w:t xml:space="preserve">vyzývá členské státy, aby uplatňovaly přístup jednotného auditu s cílem minimalizovat čas, který zemědělci ztratí při doprovázení kontrol; vyzývá Komisi, aby modernizovala integrovaný systém řízení a kontroly družicových snímků, jako je </w:t>
      </w:r>
      <w:proofErr w:type="spellStart"/>
      <w:r w:rsidRPr="006D401F">
        <w:t>Copernicus</w:t>
      </w:r>
      <w:proofErr w:type="spellEnd"/>
      <w:r w:rsidRPr="006D401F">
        <w:t xml:space="preserve"> a Galileo, s cílem integrovat stávající nové technologie a zajistit tak větší přesnost, spolehlivost a jednoduchost;</w:t>
      </w:r>
    </w:p>
    <w:p w14:paraId="07A2B4CE" w14:textId="167AF6DD" w:rsidR="00A21F59" w:rsidRPr="006D401F" w:rsidRDefault="00E6736E" w:rsidP="00A21F59">
      <w:pPr>
        <w:pStyle w:val="NormalHanging12a"/>
      </w:pPr>
      <w:r>
        <w:t>79</w:t>
      </w:r>
      <w:r w:rsidR="00A21F59" w:rsidRPr="006D401F">
        <w:t>.</w:t>
      </w:r>
      <w:r w:rsidR="00A21F59" w:rsidRPr="006D401F">
        <w:tab/>
        <w:t>zasazuje se o to, aby byla členským státům umožněna větší flexibilita, pokud jde o podporu investic do klíčových inovací a technologií, jako je využívání družic, internetu věcí a podobných technologií pro zachycování provozních údajů; věří, že to zajistí transparentnost a dodržování předpisů, aniž by zemědělcům vznikaly dodatečné náklady, což usnadní přechod na systém založený na důvěře, v němž budou moci spolehliví zemědělci sami certifikovat, že dodržují předpisy, doplněný cílenými audity založenými na posouzení rizik, a nikoli na rozsáhlých a rutinních kontrolách;</w:t>
      </w:r>
    </w:p>
    <w:p w14:paraId="07FF078D" w14:textId="065D3DB4" w:rsidR="00A21F59" w:rsidRPr="006D401F" w:rsidRDefault="00A21F59" w:rsidP="00A21F59">
      <w:pPr>
        <w:pStyle w:val="NormalHanging12a"/>
      </w:pPr>
      <w:r w:rsidRPr="006D401F">
        <w:t>8</w:t>
      </w:r>
      <w:r w:rsidR="00E6736E">
        <w:t>0</w:t>
      </w:r>
      <w:r w:rsidRPr="006D401F">
        <w:t>.</w:t>
      </w:r>
      <w:r w:rsidRPr="006D401F">
        <w:tab/>
        <w:t>zdůrazňuje, že je třeba navrhnout inovační strategie a digitální transformaci způsobem, který bude participativní a přístupný všem zemědělským podnikům, a zajistit, aby technologický pokrok přispíval k soudržnosti venkova, demokratické účasti a udržitelnému rozvoji;</w:t>
      </w:r>
    </w:p>
    <w:p w14:paraId="5DD14EFD" w14:textId="4214C575" w:rsidR="00A21F59" w:rsidRPr="006D401F" w:rsidRDefault="00A21F59" w:rsidP="00A21F59">
      <w:pPr>
        <w:pStyle w:val="NormalHanging12a"/>
        <w:rPr>
          <w:szCs w:val="24"/>
        </w:rPr>
      </w:pPr>
      <w:r w:rsidRPr="006D401F">
        <w:t>8</w:t>
      </w:r>
      <w:r w:rsidR="00E6736E">
        <w:t>1</w:t>
      </w:r>
      <w:r w:rsidRPr="006D401F">
        <w:t>.</w:t>
      </w:r>
      <w:r w:rsidRPr="006D401F">
        <w:tab/>
        <w:t>považuje za nezbytné poskytnout členským státům, které uznávají, že regiony mají statutární úlohu v řízení SZP, možnost obnovit nástroje řízení na regionální úrovni v souvislosti s opatřeními pro rozvoj venkova;</w:t>
      </w:r>
    </w:p>
    <w:p w14:paraId="41D0248A" w14:textId="77777777" w:rsidR="00A21F59" w:rsidRPr="006D401F" w:rsidRDefault="00A21F59" w:rsidP="00A21F59">
      <w:pPr>
        <w:pStyle w:val="NormalHanging12a"/>
        <w:rPr>
          <w:b/>
          <w:i/>
          <w:iCs/>
        </w:rPr>
      </w:pPr>
      <w:r w:rsidRPr="006D401F">
        <w:rPr>
          <w:b/>
          <w:i/>
        </w:rPr>
        <w:t>Voda a oběhové hospodářství jako základ SZP po roce 2027</w:t>
      </w:r>
    </w:p>
    <w:p w14:paraId="691699CC" w14:textId="31E7F3A5" w:rsidR="00A21F59" w:rsidRPr="006D401F" w:rsidRDefault="00A21F59" w:rsidP="00A21F59">
      <w:pPr>
        <w:pStyle w:val="NormalHanging12a"/>
      </w:pPr>
      <w:r w:rsidRPr="006D401F">
        <w:t>8</w:t>
      </w:r>
      <w:r w:rsidR="00E6736E">
        <w:t>2</w:t>
      </w:r>
      <w:r w:rsidRPr="006D401F">
        <w:t>.</w:t>
      </w:r>
      <w:r w:rsidRPr="006D401F">
        <w:tab/>
        <w:t xml:space="preserve">naléhavě vyzývá Komisi, aby začlenila strategický a holistický přístup k vodním zdrojům do SZP po roce 2027 a zvýšila svou součinnost s dalšími fondy EU, jako je Evropský fond pro regionální rozvoj, s cílem posílit vazbu mezi vodou a potravinami jako klíčový prvek při posilování potravinového zabezpečení a při rozvoji venkovských oblastí; dále vyzývá ke zvýšení investic do zlepšování vodohospodářské odolnosti prostřednictvím modernizace a rozvoje zadržování, distribuce a skladování vody </w:t>
      </w:r>
      <w:r w:rsidRPr="006D401F">
        <w:lastRenderedPageBreak/>
        <w:t>a udržitelné regulační infrastruktury, jakož i řešení inspirovaných přírodou, což je klíčové pro dosažení účinnějšího a konkurenceschopnějšího zemědělského odvětví;</w:t>
      </w:r>
    </w:p>
    <w:p w14:paraId="231714E2" w14:textId="2A7AC820" w:rsidR="00A21F59" w:rsidRPr="006D401F" w:rsidRDefault="00A21F59" w:rsidP="00A21F59">
      <w:pPr>
        <w:pStyle w:val="NormalHanging12a"/>
      </w:pPr>
      <w:r w:rsidRPr="006D401F">
        <w:t>8</w:t>
      </w:r>
      <w:r w:rsidR="00E6736E">
        <w:t>3</w:t>
      </w:r>
      <w:r w:rsidRPr="006D401F">
        <w:t>.</w:t>
      </w:r>
      <w:r w:rsidRPr="006D401F">
        <w:tab/>
        <w:t>vyzývá Komisi, aby zaručila přístup k vodě pro udržitelné zavlažování; zdůrazňuje, že je třeba podporovat investice do čištění a zpracování odpadních vod, jakož i využívání nekonvenčních zdrojů vody, jako je recyklovaná a odsolená voda, pro zemědělské odvětví, bez ohledu na velikost zemědělského podniku, a to za konkurenceschopné ceny, přičemž pro přepravu této vody jsou stejně důležitá propojení systémů dopravy vody; vyzývá Komisi, aby zohlednila jak významné rozdíly a výzvy v členských státech, tak osvědčené postupy uplatňované jednotlivými členskými státy za účelem ochrany zemědělské produkce; vyzývá Komisi, aby investovala do vzdělávacích programů pro zemědělce v oblasti účinného využívání vody;</w:t>
      </w:r>
    </w:p>
    <w:p w14:paraId="4788D98C" w14:textId="435C3C88" w:rsidR="00A21F59" w:rsidRPr="006D401F" w:rsidRDefault="00A21F59" w:rsidP="00A21F59">
      <w:pPr>
        <w:pStyle w:val="NormalHanging12a"/>
      </w:pPr>
      <w:r w:rsidRPr="006D401F">
        <w:t>8</w:t>
      </w:r>
      <w:r w:rsidR="00E6736E">
        <w:t>4</w:t>
      </w:r>
      <w:r w:rsidRPr="006D401F">
        <w:t>.</w:t>
      </w:r>
      <w:r w:rsidRPr="006D401F">
        <w:tab/>
        <w:t>vyzývá Komisi, aby upřednostňovala podporu inovativních technologií a inteligentního zavlažování a digitalizaci infrastruktury s cílem optimalizovat využívání vody a snížit vodní stopu, zejména v regionech postižených suchem a desertifikací, a zároveň zajistit stabilní produkci;</w:t>
      </w:r>
    </w:p>
    <w:p w14:paraId="680EB995" w14:textId="448AFD21" w:rsidR="00A21F59" w:rsidRPr="006D401F" w:rsidRDefault="00A21F59" w:rsidP="00A21F59">
      <w:pPr>
        <w:pStyle w:val="NormalHanging12a"/>
      </w:pPr>
      <w:r w:rsidRPr="006D401F">
        <w:t>8</w:t>
      </w:r>
      <w:r w:rsidR="00E6736E">
        <w:t>5</w:t>
      </w:r>
      <w:r w:rsidRPr="006D401F">
        <w:t>.</w:t>
      </w:r>
      <w:r w:rsidRPr="006D401F">
        <w:tab/>
        <w:t>upozorňuje na skutečnost, že mnoho zavlažovacích systémů je zastaralých a neúčinných, což způsobuje značné ztráty vody, a proto vyžadují výměnu nebo modernizaci; vyzývá proto Komisi, aby mezi své priority zahrnula finanční pobídky pro tuto modernizaci, a podporuje jejich začlenění jako způsobilých investic do strategických plánů SZP a příslušných nástrojů soudržnosti EU;</w:t>
      </w:r>
    </w:p>
    <w:p w14:paraId="17F26E49" w14:textId="231DBF05" w:rsidR="00A21F59" w:rsidRPr="006D401F" w:rsidRDefault="00A21F59" w:rsidP="00A21F59">
      <w:pPr>
        <w:pStyle w:val="NormalHanging12a"/>
      </w:pPr>
      <w:r w:rsidRPr="006D401F">
        <w:t>8</w:t>
      </w:r>
      <w:r w:rsidR="00E6736E">
        <w:t>6</w:t>
      </w:r>
      <w:r w:rsidRPr="006D401F">
        <w:t>.</w:t>
      </w:r>
      <w:r w:rsidRPr="006D401F">
        <w:tab/>
        <w:t>zdůrazňuje, že využívání finančních prostředků SZP, zejména prostředků z pilíře II, k financování zavlažovací infrastruktury, je složité, a vyzývá proto k přezkumu koncepce a mechanismů financování této infrastruktury s cílem zlepšit dostupnost a využívání vodních zdrojů zemědělci, a to s ohledem na skutečné náklady a přidanou hodnotu environmentálních a krajinných služeb, které poskytují;</w:t>
      </w:r>
    </w:p>
    <w:p w14:paraId="4A7DA23D" w14:textId="4735E919" w:rsidR="00A21F59" w:rsidRPr="006D401F" w:rsidRDefault="00A21F59" w:rsidP="00A21F59">
      <w:pPr>
        <w:pStyle w:val="NormalHanging12a"/>
      </w:pPr>
      <w:r w:rsidRPr="006D401F">
        <w:t>8</w:t>
      </w:r>
      <w:r w:rsidR="00E6736E">
        <w:t>7</w:t>
      </w:r>
      <w:r w:rsidRPr="006D401F">
        <w:t>.</w:t>
      </w:r>
      <w:r w:rsidRPr="006D401F">
        <w:tab/>
        <w:t xml:space="preserve">vyzývá k cílené a účinné podpoře zemědělců a lesníků v EU s cílem posílit oběhové hospodářství a začlenit se do vznikajícího biohospodářství prostřednictvím pobídek pro získávání biomasy, zemědělského odpadu a druhotných produktů, což by rovněž podpořilo energetickou autonomii zemědělských podniků a snížilo jejich závislost na vnějších vstupech; poukazuje na to, že je třeba optimalizovat využívání surovin a druhotných produktů, jejichž prostřednictvím jsou vytvářeny vedlejší produkty, jako je digestát a nové zdroje energie, včetně udržitelného bioplynu a udržitelných biopaliv, přičemž je třeba mít na paměti, že je třeba upřednostnit výrobu potravin; zdůrazňuje, že tato opatření, která nesmí vést ke zvýšení administrativní zátěže na úrovni zemědělských podniků, přispějí k posílení energetické autonomie EU, podpoří další zdroje příjmů pro zemědělce a vytvoří nové pracovní příležitosti; vybízí v této souvislosti Komisi, aby uznala význam těchto aspektů v nadcházející </w:t>
      </w:r>
      <w:proofErr w:type="spellStart"/>
      <w:r w:rsidRPr="006D401F">
        <w:t>biohospodářské</w:t>
      </w:r>
      <w:proofErr w:type="spellEnd"/>
      <w:r w:rsidRPr="006D401F">
        <w:t xml:space="preserve"> strategii do roku 2025;</w:t>
      </w:r>
    </w:p>
    <w:p w14:paraId="50C5CF15" w14:textId="7A3C4C74" w:rsidR="00A21F59" w:rsidRPr="006D401F" w:rsidRDefault="00A21F59" w:rsidP="00A21F59">
      <w:pPr>
        <w:pStyle w:val="NormalHanging12a"/>
        <w:rPr>
          <w:bCs/>
          <w:iCs/>
        </w:rPr>
      </w:pPr>
      <w:r w:rsidRPr="006D401F">
        <w:t>8</w:t>
      </w:r>
      <w:r w:rsidR="00E6736E">
        <w:t>8</w:t>
      </w:r>
      <w:r w:rsidRPr="006D401F">
        <w:t>.</w:t>
      </w:r>
      <w:r w:rsidRPr="006D401F">
        <w:tab/>
        <w:t>zdůrazňuje, že je třeba zaujmout holistický přístup k dekarbonizaci zemědělství, a vyzývá k poskytnutí vhodné podpory a pobídek, včetně obnovy biomasy a odměňování záchytu uhlíku v půdě, jakož i k zajištění dostatečného financování pro zemědělce, aby mohli přijímat řešení a postupy, které snižují uhlíkovou stopu plodin při současném zachování své konkurenceschopnosti, tak aby zátěž spojená s touto dekarbonizací a pracovní zátěž nedopadala výhradně na ně;</w:t>
      </w:r>
    </w:p>
    <w:p w14:paraId="4FA63910" w14:textId="764DFF50" w:rsidR="00A21F59" w:rsidRPr="006D401F" w:rsidRDefault="00E6736E" w:rsidP="00A21F59">
      <w:pPr>
        <w:pStyle w:val="NormalHanging12a"/>
        <w:rPr>
          <w:bCs/>
          <w:iCs/>
        </w:rPr>
      </w:pPr>
      <w:r>
        <w:lastRenderedPageBreak/>
        <w:t>89</w:t>
      </w:r>
      <w:r w:rsidR="00A21F59" w:rsidRPr="006D401F">
        <w:t>.</w:t>
      </w:r>
      <w:r w:rsidR="00A21F59" w:rsidRPr="006D401F">
        <w:tab/>
        <w:t xml:space="preserve">naléhavě vyzývá Komisi a členské státy, aby podporovaly a posilovaly integraci zemědělství a energie z obnovitelných zdrojů a uznaly potenciál této synergie pro podporu udržitelných zemědělských postupů, upevnění místní odolnosti vůči změně klimatu a posílení oběhového hospodářství; zdůrazňuje, že zemědělství může hrát klíčovou úlohu v rámci Dohody o čistém průmyslu a transformace energetiky prostřednictvím výroby energie z obnovitelných zdrojů v tomto odvětví; vyzývá Komisi, aby vyjasnila ustanovení společné zemědělské politiky s cílem lépe sladit a zvýšit slučitelnost obnovitelných a udržitelných zdrojů energie, jako je </w:t>
      </w:r>
      <w:proofErr w:type="spellStart"/>
      <w:r w:rsidR="00A21F59" w:rsidRPr="006D401F">
        <w:t>agrosolární</w:t>
      </w:r>
      <w:proofErr w:type="spellEnd"/>
      <w:r w:rsidR="00A21F59" w:rsidRPr="006D401F">
        <w:t xml:space="preserve"> energie a bioplyn, se zemědělskými činnostmi;</w:t>
      </w:r>
    </w:p>
    <w:p w14:paraId="36E7EBE3" w14:textId="2948A5F6" w:rsidR="00A21F59" w:rsidRPr="006D401F" w:rsidRDefault="00A21F59" w:rsidP="00A21F59">
      <w:pPr>
        <w:pStyle w:val="NormalHanging12a"/>
        <w:rPr>
          <w:bCs/>
          <w:iCs/>
        </w:rPr>
      </w:pPr>
      <w:r w:rsidRPr="006D401F">
        <w:t>9</w:t>
      </w:r>
      <w:r w:rsidR="00E6736E">
        <w:t>0</w:t>
      </w:r>
      <w:r w:rsidRPr="006D401F">
        <w:t>.</w:t>
      </w:r>
      <w:r w:rsidRPr="006D401F">
        <w:tab/>
        <w:t>zasazuje se o přezkum směrnice o dusičnanech s cílem uvést ji do souladu s nejnovějšími vědeckými poznatky a osvědčenými zemědělskými postupy a zároveň i nadále chránit kvalitu vody; vyzývá v této souvislosti Komisi, aby spolupracovala s členskými státy na urychleném přijetí vědecky podloženého návrhu, který umožní používání hnojiv RENURE za jasně stanovených podmínek, aby zemědělci mohli snížit svou závislost na syntetických hnojivech a urychlit přechod k </w:t>
      </w:r>
      <w:proofErr w:type="spellStart"/>
      <w:r w:rsidRPr="006D401F">
        <w:t>oběhovějším</w:t>
      </w:r>
      <w:proofErr w:type="spellEnd"/>
      <w:r w:rsidRPr="006D401F">
        <w:t xml:space="preserve"> a udržitelnějším systémům hospodaření s živinami;</w:t>
      </w:r>
    </w:p>
    <w:p w14:paraId="7A512B78" w14:textId="6313989F" w:rsidR="00A21F59" w:rsidRPr="006D401F" w:rsidRDefault="00A21F59" w:rsidP="00A21F59">
      <w:pPr>
        <w:pStyle w:val="NormalHanging12a"/>
        <w:rPr>
          <w:szCs w:val="24"/>
        </w:rPr>
      </w:pPr>
      <w:r w:rsidRPr="006D401F">
        <w:t>9</w:t>
      </w:r>
      <w:r w:rsidR="00E6736E">
        <w:t>1</w:t>
      </w:r>
      <w:r w:rsidRPr="006D401F">
        <w:t>.</w:t>
      </w:r>
      <w:r w:rsidRPr="006D401F">
        <w:tab/>
        <w:t>požaduje usnadnění strukturované výměny poznatků a spolupráce mezi srovnatelnými výrobními systémy napříč členskými státy s cílem podpořit vzájemné učení, řešit problémy specifické pro jednotlivé regiony, jako jsou problémy v oblastech intenzivní produkce, a urychlit udržitelné změny, jež budou přizpůsobené konkrétní realitě každého odvětví;</w:t>
      </w:r>
    </w:p>
    <w:p w14:paraId="16FD89CA" w14:textId="01D2E5D4" w:rsidR="00A21F59" w:rsidRPr="006D401F" w:rsidRDefault="00A21F59" w:rsidP="00A21F59">
      <w:pPr>
        <w:pStyle w:val="NormalHanging12a"/>
      </w:pPr>
      <w:r w:rsidRPr="006D401F">
        <w:t>9</w:t>
      </w:r>
      <w:r w:rsidR="00E6736E">
        <w:t>2</w:t>
      </w:r>
      <w:r w:rsidRPr="006D401F">
        <w:t>.</w:t>
      </w:r>
      <w:r w:rsidRPr="006D401F">
        <w:tab/>
        <w:t>žádá Komisi a členské státy, aby posílily využívání nástrojů řízení rizik v SZP po roce 2027 zvýšením finanční podpory zemědělskému pojištění, vzájemným fondům a nástroji ke stabilizaci příjmů; trvá na tom, že je třeba, aby bylo pojištění pro zemědělce dostupnější a finančně udržitelnější; poukazuje na to, že je třeba zavést mechanismus na úrovni EU s cílem posílit vnitrostátní systémy zemědělského pojištění, které budou aktivovány automaticky, aby bylo možné čelit extrémním a nepředvídatelným klimatickým a sanitárním krizím a krizím trhu; zdůrazňuje, že tato opatření by měla doplňovat již existující nástroje řízení trhu a neměla by oslabovat stávající vnitrostátní systémy;</w:t>
      </w:r>
    </w:p>
    <w:p w14:paraId="179BD324" w14:textId="12C7B63B" w:rsidR="00A21F59" w:rsidRPr="006D401F" w:rsidRDefault="00A21F59" w:rsidP="00A21F59">
      <w:pPr>
        <w:pStyle w:val="NormalHanging12a"/>
      </w:pPr>
      <w:r w:rsidRPr="006D401F">
        <w:t>9</w:t>
      </w:r>
      <w:r w:rsidR="00E6736E">
        <w:t>3</w:t>
      </w:r>
      <w:r w:rsidRPr="006D401F">
        <w:t>.</w:t>
      </w:r>
      <w:r w:rsidRPr="006D401F">
        <w:tab/>
        <w:t>vyzývá Komisi, aby posílila opatření k řízení rizik, včetně pojištění, systémů zajištění a dalších doplňkových fondů, z nichž se čerpá v případě vyšších prahových hodnot škod, a to jak na preventivní opatření, tak na odškodnění zemědělců v souvislosti s přírodními katastrofami, epidemiemi zvířat a chorobami rostlin; v této souvislosti považuje za nezbytné začlenit sem investice do prevence, systémů včasného varování a rozvoje nové infrastruktury zvyšující odolnost, která tomuto odvětví umožní přecházet rostoucím rizikům souvisejícím s klimatem a zotavit se z nich; zdůrazňuje, že je třeba, aby členské státy více využívaly nyní nedostatečně využívané nástroje řízení rizik;</w:t>
      </w:r>
    </w:p>
    <w:p w14:paraId="4FFFCDDD" w14:textId="12A6C277" w:rsidR="00A21F59" w:rsidRPr="006D401F" w:rsidRDefault="00A21F59" w:rsidP="00A21F59">
      <w:pPr>
        <w:pStyle w:val="NormalHanging12a"/>
      </w:pPr>
      <w:r w:rsidRPr="006D401F">
        <w:t>9</w:t>
      </w:r>
      <w:r w:rsidR="00E6736E">
        <w:t>4</w:t>
      </w:r>
      <w:r w:rsidRPr="006D401F">
        <w:t>.</w:t>
      </w:r>
      <w:r w:rsidRPr="006D401F">
        <w:tab/>
        <w:t>zdůrazňuje, že je třeba reformovat a zvýšit finanční kapacitu zemědělské rezervy s cílem řešit nepředvídané narušení trhu a události související s klimatem, jako jsou sucha a povodně; zdůrazňuje však, že zemědělská rezerva nemůže být jediným nástrojem a opakuje, že je důležité vyvinout širší škálu nástrojů řízení rizik a rychlé reakce, včetně účinnějších systémů zemědělského pojištění, vzájemných fondů, fondů pro mimořádné situace v oblasti klimatu a mimořádnou podporu likvidity pro zemědělské odvětví EU;</w:t>
      </w:r>
    </w:p>
    <w:p w14:paraId="2389838F" w14:textId="227F0F39" w:rsidR="00A21F59" w:rsidRPr="006D401F" w:rsidRDefault="00A21F59" w:rsidP="00A21F59">
      <w:pPr>
        <w:pStyle w:val="NormalHanging12a"/>
        <w:rPr>
          <w:szCs w:val="24"/>
        </w:rPr>
      </w:pPr>
      <w:r w:rsidRPr="006D401F">
        <w:lastRenderedPageBreak/>
        <w:t>9</w:t>
      </w:r>
      <w:r w:rsidR="00E6736E">
        <w:t>5</w:t>
      </w:r>
      <w:r w:rsidRPr="006D401F">
        <w:t>.</w:t>
      </w:r>
      <w:r w:rsidRPr="006D401F">
        <w:tab/>
        <w:t>upozorňuje na nedostatek jednotných a snadno použitelných metodik pro výpočet emisí v jednotlivých zemědělských odvětvích; důrazně se proto staví proti jakýmkoli pokusům o začlenění zemědělství do systému obchodování s emisemi nebo do jakéhokoli systému ekologického zdanění;</w:t>
      </w:r>
    </w:p>
    <w:p w14:paraId="6D88CA7B" w14:textId="7F77B5D3" w:rsidR="00A21F59" w:rsidRPr="006D401F" w:rsidRDefault="00A21F59" w:rsidP="00A21F59">
      <w:pPr>
        <w:pStyle w:val="NormalHanging12a"/>
        <w:rPr>
          <w:bCs/>
          <w:iCs/>
        </w:rPr>
      </w:pPr>
      <w:r w:rsidRPr="006D401F">
        <w:t>9</w:t>
      </w:r>
      <w:r w:rsidR="00E6736E">
        <w:t>6</w:t>
      </w:r>
      <w:r w:rsidRPr="006D401F">
        <w:t>.</w:t>
      </w:r>
      <w:r w:rsidRPr="006D401F">
        <w:tab/>
        <w:t>zdůrazňuje, že důsledky změny klimatu jsou zasaženy všemi regiony EU; poukazuje však na to, že jižní regiony jsou zranitelnější, trpí desertifikací, suchem, zasolováním zvodnělých vrstev, lesními požáry a přetrvávajícími dešti a záplavami, jejichž zaviněním se objevují noví škůdci a choroby, což vše ohrožuje zemědělství; zdůrazňuje proto, že zemědělci v celé EU potřebují zvláštní podpůrná opatření a nástroje, aby mohli mnohem více usilovat o přizpůsobení svých činností změně klimatu a snažit se předcházet jejím negativním dopadům a tyto dopady zmírňovat; upozorňuje na význam poskytování komplexní podpory venkovským komunitám a místním orgánům při dosahování těchto cílů;</w:t>
      </w:r>
    </w:p>
    <w:p w14:paraId="33CCC01A" w14:textId="2E8761BB" w:rsidR="00A21F59" w:rsidRPr="006D401F" w:rsidRDefault="00A21F59" w:rsidP="00A21F59">
      <w:pPr>
        <w:pStyle w:val="NormalHanging12a"/>
        <w:rPr>
          <w:bCs/>
          <w:iCs/>
        </w:rPr>
      </w:pPr>
      <w:r w:rsidRPr="006D401F">
        <w:t>9</w:t>
      </w:r>
      <w:r w:rsidR="00E6736E">
        <w:t>7</w:t>
      </w:r>
      <w:r w:rsidRPr="006D401F">
        <w:t>.</w:t>
      </w:r>
      <w:r w:rsidRPr="006D401F">
        <w:tab/>
        <w:t>vyzývá k trvalé podpoře inovativních zemědělských technik, včetně těch, které se používají v ekologickém zemědělství, a dalších agroekologických postupů používaných v ekologických a stále častěji i konvenčních systémech s cílem výrazně snížit využívání vstupů a vnější závislost v zemědělství a posílit autonomii a potravinové zabezpečení;</w:t>
      </w:r>
    </w:p>
    <w:p w14:paraId="50F2832E" w14:textId="1ABD0300" w:rsidR="00A21F59" w:rsidRPr="006D401F" w:rsidRDefault="00A21F59" w:rsidP="00A21F59">
      <w:pPr>
        <w:pStyle w:val="NormalHanging12a"/>
        <w:rPr>
          <w:bCs/>
          <w:iCs/>
        </w:rPr>
      </w:pPr>
      <w:r w:rsidRPr="006D401F">
        <w:t>9</w:t>
      </w:r>
      <w:r w:rsidR="00E6736E">
        <w:t>8</w:t>
      </w:r>
      <w:r w:rsidRPr="006D401F">
        <w:t>.</w:t>
      </w:r>
      <w:r w:rsidRPr="006D401F">
        <w:tab/>
        <w:t>trvá na tom, že budoucí rozvoj ekologického odvětví EU musí být tržně orientovaný, a vyzývá k tomu, aby nová SZP i nadále poskytovala pobídky pro zemědělce a nové účastníky na trhu, aby se zapojili do ekologického zemědělství; vyzývá Komisi, aby prozkoumala nové způsoby řešení krizí na trhu s ekologickými produkty; připomíná, že je třeba podporovat ekologickou spotřebu i prostřednictvím zadávání veřejných zakázek;</w:t>
      </w:r>
    </w:p>
    <w:p w14:paraId="029F5E78" w14:textId="6028D617" w:rsidR="00A21F59" w:rsidRPr="006D401F" w:rsidRDefault="00E6736E" w:rsidP="00A21F59">
      <w:pPr>
        <w:pStyle w:val="NormalHanging12a"/>
      </w:pPr>
      <w:r>
        <w:t>99</w:t>
      </w:r>
      <w:r w:rsidR="00A21F59" w:rsidRPr="006D401F">
        <w:t>.</w:t>
      </w:r>
      <w:r w:rsidR="00A21F59" w:rsidRPr="006D401F">
        <w:tab/>
        <w:t>vybízí k tomu, aby se minimalizovalo plýtvání potravinami a potravinové ztráty v celém zemědělsko-potravinovém řetězci, včetně prvovýrobců, s cílem zajistit účinné, inovativní a udržitelné využívání všech zdrojů; vyzývá Komisi, aby přijala opatření na všech úrovních s cílem předcházet ztrátám a podporovat přeměnu přebytků na produkty s přidanou hodnotou; trvá na tom, že je třeba přikládat větší hodnotu potravinám produkovaným zemědělci a oceňovat velké úsilí o jejich získávání; v této souvislosti vybízí Komisi, aby podporovala řešení, jako je přezkum dat minimální trvanlivosti a používání přírodních konzervačních látek na biologické bázi, s cílem prodloužit trvanlivost potravinářských výrobků;</w:t>
      </w:r>
    </w:p>
    <w:p w14:paraId="36F7E481" w14:textId="19AA07F3" w:rsidR="00A21F59" w:rsidRPr="006D401F" w:rsidRDefault="00A21F59" w:rsidP="00A21F59">
      <w:pPr>
        <w:pStyle w:val="NormalHanging12a"/>
        <w:widowControl w:val="0"/>
      </w:pPr>
      <w:r w:rsidRPr="006D401F">
        <w:t>10</w:t>
      </w:r>
      <w:r w:rsidR="00E6736E">
        <w:t>0</w:t>
      </w:r>
      <w:r w:rsidRPr="006D401F">
        <w:t>.</w:t>
      </w:r>
      <w:r w:rsidRPr="006D401F">
        <w:tab/>
        <w:t>vyzývá Komisi, aby vypracovala komplexní strategii získávání živin v celém zemědělsko-potravinářském řetězci, jež by cíleně podporovala inovace při separaci, zpracování a opětovném použití živin ze zpracování potravin a z odpadu generovaného maloobchodem a spotřebiteli;</w:t>
      </w:r>
    </w:p>
    <w:p w14:paraId="5F060A92" w14:textId="77777777" w:rsidR="00A21F59" w:rsidRPr="006D401F" w:rsidRDefault="00A21F59" w:rsidP="00A21F59">
      <w:pPr>
        <w:pStyle w:val="Normal12a24b"/>
        <w:rPr>
          <w:i/>
          <w:iCs/>
        </w:rPr>
      </w:pPr>
      <w:r w:rsidRPr="006D401F">
        <w:rPr>
          <w:rStyle w:val="Bold"/>
          <w:i/>
        </w:rPr>
        <w:t>Atraktivní odvětví pro nové generace</w:t>
      </w:r>
    </w:p>
    <w:p w14:paraId="05D06E7D" w14:textId="2AFFB5B8" w:rsidR="00A21F59" w:rsidRPr="006D401F" w:rsidRDefault="00A21F59" w:rsidP="00A21F59">
      <w:pPr>
        <w:pStyle w:val="NormalHanging12a"/>
      </w:pPr>
      <w:r w:rsidRPr="006D401F">
        <w:t>10</w:t>
      </w:r>
      <w:r w:rsidR="00E6736E">
        <w:t>1</w:t>
      </w:r>
      <w:r w:rsidRPr="006D401F">
        <w:t xml:space="preserve">. </w:t>
      </w:r>
      <w:r w:rsidRPr="006D401F">
        <w:tab/>
        <w:t xml:space="preserve">zdůrazňuje, že zajištění generační obměny a podnikání žen má zásadní význam pro zachování budoucnosti zemědělství EU a sociálně-ekonomické struktury venkovských oblastí; uznává úsilí vyvíjené prostřednictvím opatření SZP na podporu generační obměny, zejména v okrajových venkovských oblastech, a zdůrazňuje, že je třeba je posílit; poukazuje však na to, že SZP nemůže být jediným nástrojem pro zapojení mladých lidí a žen do zemědělství, ale musí být podpořena vnitrostátními strategiemi zahrnujícími soukromé zdroje financování, včetně bank, společné hospodaření </w:t>
      </w:r>
      <w:r w:rsidRPr="006D401F">
        <w:lastRenderedPageBreak/>
        <w:t>a partnerství a finanční nástroje s omezenými nebo nulovými požadavky na spolufinancování; trvá na tom, že životně důležitý cíl zajistit generační obměnu v zemědělství EU musí být doprovázen strukturálními opatřeními, zejména pokud jde o inovace, digitalizaci, digitální konektivitu a přístup k půdě; v tomto ohledu očekává zveřejnění strategie Komise pro generační obměnu;</w:t>
      </w:r>
      <w:r w:rsidRPr="006D401F">
        <w:rPr>
          <w:b/>
          <w:i/>
        </w:rPr>
        <w:t xml:space="preserve"> </w:t>
      </w:r>
    </w:p>
    <w:p w14:paraId="282B7705" w14:textId="2EEB0F6A" w:rsidR="00A21F59" w:rsidRPr="006D401F" w:rsidRDefault="00A21F59" w:rsidP="00A21F59">
      <w:pPr>
        <w:pStyle w:val="NormalHanging12a"/>
      </w:pPr>
      <w:r w:rsidRPr="006D401F">
        <w:t>10</w:t>
      </w:r>
      <w:r w:rsidR="00E6736E">
        <w:t>2</w:t>
      </w:r>
      <w:r w:rsidRPr="006D401F">
        <w:t>.</w:t>
      </w:r>
      <w:r w:rsidRPr="006D401F">
        <w:tab/>
        <w:t xml:space="preserve">vyzývá členské státy, aby vypracovaly soudržné, udržitelné a předvídatelné strategie ke zvýšení atraktivity práce v zemědělství a zajistily slučitelnost s politikami EU a regionálními politikami, včetně jejich vnitrostátních strategických plánů; trvá na tom, že je třeba navýšit a mobilizovat finanční zdroje SZP ve prospěch generační obměny, což v současné době zahrnuje dodatečnou platbu v rámci prvního pilíře a podporu na investice a na usazení, která je k dispozici v rámci pilíře II, jakož i vytvoření nových finančních nástrojů mimo SZP; zdůrazňuje, že tyto nástroje by měly zahrnovat posílené daňové výjimky a pobídky, půjčky s nízkým úrokem, systémy záruk za zemědělské úvěry, dotace na nástroje přesného zemědělství a služby odborné přípravy, včetně udržitelných obchodních modelů, jejichž cílem je zlepšit ziskovost; </w:t>
      </w:r>
    </w:p>
    <w:p w14:paraId="2681CAD7" w14:textId="0ABB187F" w:rsidR="00A21F59" w:rsidRPr="006D401F" w:rsidRDefault="00A21F59" w:rsidP="00A21F59">
      <w:pPr>
        <w:pStyle w:val="NormalHanging12a"/>
        <w:widowControl w:val="0"/>
      </w:pPr>
      <w:r w:rsidRPr="006D401F">
        <w:t>10</w:t>
      </w:r>
      <w:r w:rsidR="00E6736E">
        <w:t>3</w:t>
      </w:r>
      <w:r w:rsidRPr="006D401F">
        <w:t>.</w:t>
      </w:r>
      <w:r w:rsidRPr="006D401F">
        <w:tab/>
        <w:t>zdůrazňuje, že je důležité poskytovat diverzifikované, přizpůsobené a nezávislé poradenské služby na podporu mladých zemědělců a nových účastníků na trhu, a to jak před zahájením jejich činnosti, tak v následujících letech, zejména v oblasti sociálních dovedností, digitálních a přímých marketingových dovedností, účetnictví, právních aspektů, diverzifikace podnikání, udržitelného zemědělství a komunikace; prosazuje široké využívání inkubátorů zemědělských podniků, které umožňují potenciálním zemědělcům těžit ze znalostí zemědělců s několika lety zkušeností ve strukturovaném prostředí, než převezmou samostatný zemědělský podnik; vyzývá Komisi a členské státy, aby zajistily zřízení vnitrostátních středisek pro odbornou přípravu mladých zemědělců;</w:t>
      </w:r>
    </w:p>
    <w:p w14:paraId="5C4F73A5" w14:textId="46A78273" w:rsidR="00A21F59" w:rsidRPr="006D401F" w:rsidRDefault="00A21F59" w:rsidP="00A21F59">
      <w:pPr>
        <w:pStyle w:val="NormalHanging12a"/>
      </w:pPr>
      <w:r w:rsidRPr="006D401F">
        <w:t>10</w:t>
      </w:r>
      <w:r w:rsidR="00E6736E">
        <w:t>4</w:t>
      </w:r>
      <w:r w:rsidRPr="006D401F">
        <w:t>.</w:t>
      </w:r>
      <w:r w:rsidRPr="006D401F">
        <w:tab/>
        <w:t>žádá Komisi, aby posoudila, zda by prodloužení věkové hranice pro podporu mladých zemědělců na 45 let nepovzbudilo více lidí k zahájení činnosti v zemědělství, a to i prostřednictvím rekvalifikace; vyzývá Komisi, aby rovněž přehodnotila další prvky kritérií způsobilosti, které mohou být příliš restriktivní;</w:t>
      </w:r>
    </w:p>
    <w:p w14:paraId="6F145D1A" w14:textId="2344461A" w:rsidR="00A21F59" w:rsidRPr="006D401F" w:rsidRDefault="00A21F59" w:rsidP="00A21F59">
      <w:pPr>
        <w:pStyle w:val="NormalHanging12a"/>
        <w:rPr>
          <w:bCs/>
          <w:iCs/>
        </w:rPr>
      </w:pPr>
      <w:r w:rsidRPr="006D401F">
        <w:t>10</w:t>
      </w:r>
      <w:r w:rsidR="00E6736E">
        <w:t>5</w:t>
      </w:r>
      <w:r w:rsidRPr="006D401F">
        <w:t>.</w:t>
      </w:r>
      <w:r w:rsidRPr="006D401F">
        <w:tab/>
        <w:t>vítá dohodu o spolupráci se skupinou Evropské investiční banky (EIB) jako slibný model, který může podpořit vytváření finančních nástrojů pro řadu aspektů SZP, včetně podpory pro mladé zemědělce, ženy podnikající v zemědělství a politiky v oblasti vodohospodářské odolnosti, odolnosti trhu a odolnosti vůči změnám klimatu ve všech členských státech; je přesvědčen, že úloha EIB by se měla zaměřovat primárně na poskytování nízkonákladového financování, které odpovídá financování kapitálových položek a infrastrukturních projektů, do nichž by se mohli zemědělci zapojit v rámci modernizačního programu;</w:t>
      </w:r>
    </w:p>
    <w:p w14:paraId="7B449851" w14:textId="0D422280" w:rsidR="00A21F59" w:rsidRPr="006D401F" w:rsidRDefault="00A21F59" w:rsidP="00A21F59">
      <w:pPr>
        <w:pStyle w:val="NormalHanging12a"/>
      </w:pPr>
      <w:r w:rsidRPr="006D401F">
        <w:t>10</w:t>
      </w:r>
      <w:r w:rsidR="00E6736E">
        <w:t>6</w:t>
      </w:r>
      <w:r w:rsidRPr="006D401F">
        <w:t>.</w:t>
      </w:r>
      <w:r w:rsidRPr="006D401F">
        <w:tab/>
        <w:t>vybízí členské státy, aby navrhly mechanismy, které usnadní přechod k důstojnému a plánovanému odchodu do důchodu; vyzývá zejména k zavedení systémů předčasného odchodu do důchodu pro zemědělce, které by byly financovány ze samostatných fondů; požaduje rozšíření služeb, které spojují zemědělce odcházející do důchodu se začínajícími mladými nebo novými zemědělci, mimo jiné spolu s logistickou podporou a právním poradenstvím, s cílem umožnit vzájemně prospěšný převod zemědělských podniků a zajistit kontinuitu znalostí a zemědělské činnosti;</w:t>
      </w:r>
    </w:p>
    <w:p w14:paraId="11944E98" w14:textId="3D322DD1" w:rsidR="00A21F59" w:rsidRPr="006D401F" w:rsidRDefault="00A21F59" w:rsidP="00A21F59">
      <w:pPr>
        <w:pStyle w:val="NormalHanging12a"/>
        <w:rPr>
          <w:rFonts w:eastAsia="Calibri"/>
          <w:color w:val="000000"/>
        </w:rPr>
      </w:pPr>
      <w:r w:rsidRPr="006D401F">
        <w:lastRenderedPageBreak/>
        <w:t>10</w:t>
      </w:r>
      <w:r w:rsidR="00E6736E">
        <w:t>7</w:t>
      </w:r>
      <w:r w:rsidRPr="006D401F">
        <w:t>.</w:t>
      </w:r>
      <w:r w:rsidRPr="006D401F">
        <w:tab/>
        <w:t>vyzývá Komisi a členské státy, aby se ve svých strategiích generační obnovy zabývaly specifickými překážkami, s nimiž se potýkají ženy, zejména mladé ženy, které chtějí vstoupit do zemědělského odvětví, včetně otázek, které přímo nesouvisejí se zemědělstvím, jako jsou odpovídající zdravotní péče a sociální služby;</w:t>
      </w:r>
      <w:r w:rsidRPr="006D401F">
        <w:rPr>
          <w:color w:val="000000"/>
        </w:rPr>
        <w:t xml:space="preserve"> uznává úsilí vyvíjené prostřednictvím opatření SZP na podporu žen v zemědělství, avšak zdůrazňuje, že je zapotřebí silnější a lépe uzpůsobená podpora, zejména v okrajových venkovských oblastech, včetně přístupu k půjčkám, odborné přípravě nebo finanční pomoci, aby se zajistilo skutečné zapojení žen a rovné příležitosti; naléhavě vyzývá členské státy, aby vytvořily vhodné podmínky pro aktivní účast žen v reprezentativních zemědělsko-potravinářských organizacích a v řídících orgánech zemědělských podniků a sdružení venkovských žen; v této souvislosti vítá připravované vytvoření platformy žen hospodařících v zemědělství jako prostoru pro dialog a výměnu osvědčených postupů s cílem posílit účast a rovné příležitosti v zemědělsko-potravinářském odvětví;</w:t>
      </w:r>
    </w:p>
    <w:p w14:paraId="0197D7BE" w14:textId="49146FEF" w:rsidR="00A21F59" w:rsidRPr="006D401F" w:rsidRDefault="00A21F59" w:rsidP="00A21F59">
      <w:pPr>
        <w:pStyle w:val="NormalHanging12a"/>
        <w:rPr>
          <w:color w:val="000000"/>
        </w:rPr>
      </w:pPr>
      <w:r w:rsidRPr="006D401F">
        <w:rPr>
          <w:color w:val="000000"/>
        </w:rPr>
        <w:t>10</w:t>
      </w:r>
      <w:r w:rsidR="00E6736E">
        <w:rPr>
          <w:color w:val="000000"/>
        </w:rPr>
        <w:t>8</w:t>
      </w:r>
      <w:r w:rsidRPr="006D401F">
        <w:rPr>
          <w:color w:val="000000"/>
        </w:rPr>
        <w:t>.</w:t>
      </w:r>
      <w:r w:rsidRPr="006D401F">
        <w:rPr>
          <w:color w:val="000000"/>
        </w:rPr>
        <w:tab/>
        <w:t>vyzývá Komisi a členské státy, aby se neprodleně zabývaly problémem úbytku a koncentrace zemědělské půdy, včetně nedostatečné transparentnosti tohoto trhu; zdůrazňuje, že pronájem pozemků za podmínek právní jistoty je schůdnou krátkodobou alternativou pro usnadnění přístupu k půdě, protože jeho zavedení vyžaduje méně zdrojů a podporuje generační obměnu; zdůrazňuje význam veřejně podporovaných služeb párování nabídky a poptávky po zemědělské půdě a strukturovaného plánování nástupnictví, zejména pokud jde o převod půdy, který umožňuje předčasný odchod do důchodu a kontinuitu řízení zemědělských podniků; doporučuje členským státům, aby přijaly politiky na podporu dlouhodobého stabilního pronájmu půdy, čímž zajistí jistotu držby a čas na investice, zejména pro mladé, ženy a nové zemědělce, což by mohlo také zlepšit zdraví půdy, environmentální výkonnost a odolnost vůči změně klimatu;</w:t>
      </w:r>
    </w:p>
    <w:p w14:paraId="393C422E" w14:textId="301708D4" w:rsidR="00A21F59" w:rsidRPr="006D401F" w:rsidRDefault="00A21F59" w:rsidP="00A21F59">
      <w:pPr>
        <w:pStyle w:val="NormalHanging12a"/>
        <w:rPr>
          <w:color w:val="000000"/>
        </w:rPr>
      </w:pPr>
      <w:r w:rsidRPr="006D401F">
        <w:rPr>
          <w:color w:val="000000"/>
        </w:rPr>
        <w:t>1</w:t>
      </w:r>
      <w:r w:rsidR="00E6736E">
        <w:rPr>
          <w:color w:val="000000"/>
        </w:rPr>
        <w:t>09</w:t>
      </w:r>
      <w:r w:rsidRPr="006D401F">
        <w:rPr>
          <w:color w:val="000000"/>
        </w:rPr>
        <w:t>.</w:t>
      </w:r>
      <w:r w:rsidRPr="006D401F">
        <w:rPr>
          <w:color w:val="000000"/>
        </w:rPr>
        <w:tab/>
        <w:t>vítá záměr Komise zřídit středisko EU pro sledování zemědělské půdy, které by mělo zlepšit transparentnost trhu se zemědělskou půdou v EU a usnadnit harmonizaci údajů o zemědělské půdě a přístup k ní, umožnit spolupráci a výměnu osvědčených postupů mezi členskými státy a poskytnout doporučení pro informovanější tvorbu politik EU;</w:t>
      </w:r>
    </w:p>
    <w:p w14:paraId="57C3B45B" w14:textId="7EBA8128" w:rsidR="00A21F59" w:rsidRPr="006D401F" w:rsidRDefault="00A21F59" w:rsidP="00A21F59">
      <w:pPr>
        <w:pStyle w:val="NormalHanging12a"/>
        <w:rPr>
          <w:color w:val="000000"/>
        </w:rPr>
      </w:pPr>
      <w:r w:rsidRPr="006D401F">
        <w:rPr>
          <w:color w:val="000000"/>
        </w:rPr>
        <w:t>11</w:t>
      </w:r>
      <w:r w:rsidR="00E6736E">
        <w:rPr>
          <w:color w:val="000000"/>
        </w:rPr>
        <w:t>0</w:t>
      </w:r>
      <w:r w:rsidRPr="006D401F">
        <w:rPr>
          <w:color w:val="000000"/>
        </w:rPr>
        <w:t>.</w:t>
      </w:r>
      <w:r w:rsidRPr="006D401F">
        <w:rPr>
          <w:color w:val="000000"/>
        </w:rPr>
        <w:tab/>
        <w:t>zdůrazňuje, že zachování rozmanitých kulturních krajin EU má nejen ekologický a turistický význam, ale je také základním kamenem regionální identity a dlouhodobé odolnosti venkova; požaduje proto jejich výslovné uznání a začlenění jejich zachování jako strategického cíle do SZP po roce 2027;</w:t>
      </w:r>
    </w:p>
    <w:p w14:paraId="09EADD9B" w14:textId="53F9DB0F" w:rsidR="00A21F59" w:rsidRPr="006D401F" w:rsidRDefault="00A21F59" w:rsidP="00A21F59">
      <w:pPr>
        <w:pStyle w:val="NormalHanging12a"/>
        <w:rPr>
          <w:color w:val="000000"/>
          <w:szCs w:val="24"/>
        </w:rPr>
      </w:pPr>
      <w:r w:rsidRPr="006D401F">
        <w:rPr>
          <w:color w:val="000000"/>
        </w:rPr>
        <w:t>11</w:t>
      </w:r>
      <w:r w:rsidR="00E6736E">
        <w:rPr>
          <w:color w:val="000000"/>
        </w:rPr>
        <w:t>1</w:t>
      </w:r>
      <w:r w:rsidRPr="006D401F">
        <w:rPr>
          <w:color w:val="000000"/>
        </w:rPr>
        <w:t>.</w:t>
      </w:r>
      <w:r w:rsidRPr="006D401F">
        <w:rPr>
          <w:color w:val="000000"/>
        </w:rPr>
        <w:tab/>
      </w:r>
      <w:r w:rsidR="00041C39" w:rsidRPr="00041C39">
        <w:rPr>
          <w:color w:val="000000"/>
        </w:rPr>
        <w:t xml:space="preserve">podporuje takové přístupy k obnově přírody, které fungují v partnerství se zemědělci a vlastníky půdy a zajišťují plné dodržování vlastnických </w:t>
      </w:r>
      <w:proofErr w:type="gramStart"/>
      <w:r w:rsidR="00041C39" w:rsidRPr="00041C39">
        <w:rPr>
          <w:color w:val="000000"/>
        </w:rPr>
        <w:t>práv;</w:t>
      </w:r>
      <w:r w:rsidRPr="006D401F">
        <w:rPr>
          <w:color w:val="000000"/>
        </w:rPr>
        <w:t>;</w:t>
      </w:r>
      <w:proofErr w:type="gramEnd"/>
    </w:p>
    <w:p w14:paraId="12442EEC" w14:textId="3355AE49" w:rsidR="00A21F59" w:rsidRPr="006D401F" w:rsidRDefault="00A21F59" w:rsidP="00A21F59">
      <w:pPr>
        <w:pStyle w:val="NormalHanging12a"/>
        <w:rPr>
          <w:color w:val="000000"/>
          <w:szCs w:val="24"/>
        </w:rPr>
      </w:pPr>
      <w:r w:rsidRPr="006D401F">
        <w:rPr>
          <w:color w:val="000000"/>
        </w:rPr>
        <w:t>11</w:t>
      </w:r>
      <w:r w:rsidR="00E6736E">
        <w:rPr>
          <w:color w:val="000000"/>
        </w:rPr>
        <w:t>2</w:t>
      </w:r>
      <w:r w:rsidRPr="006D401F">
        <w:rPr>
          <w:color w:val="000000"/>
        </w:rPr>
        <w:t>.</w:t>
      </w:r>
      <w:r w:rsidRPr="006D401F">
        <w:rPr>
          <w:color w:val="000000"/>
        </w:rPr>
        <w:tab/>
        <w:t>vybízí Komisi, aby prozkoumala, jak by SZP mohla podpořit nové obchodní modely pro zemědělce na cestě k ještě udržitelnějšímu a konkurenceschopnějšímu zemědělství v Evropě;</w:t>
      </w:r>
    </w:p>
    <w:p w14:paraId="5CC8BC45" w14:textId="790BE635" w:rsidR="00A21F59" w:rsidRPr="006D401F" w:rsidRDefault="00A21F59" w:rsidP="00A21F59">
      <w:pPr>
        <w:pStyle w:val="NormalHanging12a"/>
        <w:rPr>
          <w:color w:val="000000"/>
        </w:rPr>
      </w:pPr>
      <w:r w:rsidRPr="006D401F">
        <w:rPr>
          <w:color w:val="000000"/>
        </w:rPr>
        <w:t>11</w:t>
      </w:r>
      <w:r w:rsidR="00E6736E">
        <w:rPr>
          <w:color w:val="000000"/>
        </w:rPr>
        <w:t>3</w:t>
      </w:r>
      <w:r w:rsidRPr="006D401F">
        <w:rPr>
          <w:color w:val="000000"/>
        </w:rPr>
        <w:t>.</w:t>
      </w:r>
      <w:r w:rsidRPr="006D401F">
        <w:rPr>
          <w:color w:val="000000"/>
        </w:rPr>
        <w:tab/>
        <w:t>vyzývá Komisi, aby podporovala partnerství pro výměnu osvědčených postupů a inovativních nápadů mezi členskými státy ve spolupráci s místními orgány, vysokými školami, výzkumnými středisky a zemědělskými podniky; zdůrazňuje, že tato spolupráce by se měla zaměřit na zjednodušení, dostupnost, zvýšení udržitelnosti a řešení problémů specifických pro každý region a odvětví a měla by být podporována vhodnou odbornou přípravou, aby se zabránilo deformacím a rozdílným přístupům, které by mohly zemědělce znevýhodňovat;</w:t>
      </w:r>
      <w:r w:rsidRPr="006D401F">
        <w:rPr>
          <w:i/>
          <w:color w:val="000000"/>
        </w:rPr>
        <w:t xml:space="preserve"> </w:t>
      </w:r>
    </w:p>
    <w:p w14:paraId="1BEB872C" w14:textId="588B683A" w:rsidR="00A21F59" w:rsidRPr="006D401F" w:rsidRDefault="00A21F59" w:rsidP="00A21F59">
      <w:pPr>
        <w:pStyle w:val="NormalHanging12a"/>
        <w:rPr>
          <w:color w:val="000000"/>
        </w:rPr>
      </w:pPr>
      <w:r w:rsidRPr="006D401F">
        <w:rPr>
          <w:color w:val="000000"/>
        </w:rPr>
        <w:lastRenderedPageBreak/>
        <w:t>11</w:t>
      </w:r>
      <w:r w:rsidR="00E6736E">
        <w:rPr>
          <w:color w:val="000000"/>
        </w:rPr>
        <w:t>4</w:t>
      </w:r>
      <w:r w:rsidRPr="006D401F">
        <w:rPr>
          <w:color w:val="000000"/>
        </w:rPr>
        <w:t>.</w:t>
      </w:r>
      <w:r w:rsidRPr="006D401F">
        <w:rPr>
          <w:color w:val="000000"/>
        </w:rPr>
        <w:tab/>
        <w:t>vybízí k podpoře podpůrných a zviditelňujících programů, odrážejících obohacující a naplňující životní styl, který může zemědělské odvětví nabídnout, a vyzdvihující hodnotu zemědělců a jejich závazek vůči přírodě, potravinovému zabezpečení a samotným vlastnostem a hodnotám, které jsou neodmyslitelně spjaty s prací těchto profesionálů; upozorňuje na význam dlouhodobé konzistentnosti politiky jakožto základního předpokladu pro stanovení jasných dlouhodobých cílů pro odvětví zemědělství;</w:t>
      </w:r>
    </w:p>
    <w:p w14:paraId="35AD703D" w14:textId="772A6557" w:rsidR="00A21F59" w:rsidRPr="006D401F" w:rsidRDefault="00A21F59" w:rsidP="00A21F59">
      <w:pPr>
        <w:pStyle w:val="NormalHanging12a"/>
        <w:widowControl w:val="0"/>
        <w:rPr>
          <w:color w:val="000000"/>
        </w:rPr>
      </w:pPr>
      <w:r w:rsidRPr="006D401F">
        <w:rPr>
          <w:color w:val="000000"/>
        </w:rPr>
        <w:t>11</w:t>
      </w:r>
      <w:r w:rsidR="00E6736E">
        <w:rPr>
          <w:color w:val="000000"/>
        </w:rPr>
        <w:t>5</w:t>
      </w:r>
      <w:r w:rsidRPr="006D401F">
        <w:rPr>
          <w:color w:val="000000"/>
        </w:rPr>
        <w:t>.</w:t>
      </w:r>
      <w:r w:rsidRPr="006D401F">
        <w:rPr>
          <w:color w:val="000000"/>
        </w:rPr>
        <w:tab/>
        <w:t>zdůrazňuje význam důrazné a dobře financované politiky EU v oblasti propagace, včetně zvýšení rozpočtových prostředků na SZP, s cílem zvýšit povědomí o kvalitě zemědělských a potravinářských produktů EU jak v rámci EU, tak na celosvětové úrovni, a zdůrazňuje, že to má ještě větší význam v obdobích hospodářské nejistoty;</w:t>
      </w:r>
    </w:p>
    <w:p w14:paraId="59B7920D" w14:textId="77777777" w:rsidR="00A21F59" w:rsidRPr="006D401F" w:rsidRDefault="00A21F59" w:rsidP="00A21F59">
      <w:pPr>
        <w:pStyle w:val="Normal12a24b"/>
        <w:rPr>
          <w:i/>
          <w:iCs/>
        </w:rPr>
      </w:pPr>
      <w:r w:rsidRPr="006D401F">
        <w:rPr>
          <w:rStyle w:val="Bold"/>
          <w:i/>
        </w:rPr>
        <w:t>Inovace pro další modernizaci zemědělství</w:t>
      </w:r>
    </w:p>
    <w:p w14:paraId="726AD7E8" w14:textId="307EA681" w:rsidR="00A21F59" w:rsidRPr="006D401F" w:rsidRDefault="00A21F59" w:rsidP="00A21F59">
      <w:pPr>
        <w:pStyle w:val="NormalHanging12a"/>
      </w:pPr>
      <w:r w:rsidRPr="006D401F">
        <w:t>11</w:t>
      </w:r>
      <w:r w:rsidR="00E6736E">
        <w:t>6</w:t>
      </w:r>
      <w:r w:rsidRPr="006D401F">
        <w:t>.</w:t>
      </w:r>
      <w:r w:rsidRPr="006D401F">
        <w:tab/>
        <w:t>vyzývá k přijetí ambiciózního investičního balíčku pro inovace, technologie a aplikovaný výzkum, který bude přizpůsoben potřebám zemědělců a bude financován prostřednictvím SZP, programu Horizont Evropa, programu Digitální Evropa a dalších podpůrných mechanismů, jež budou hrát klíčovou úlohu při podpoře udržitelnějšího a lépe přizpůsobeného odvětví zemědělství; zdůrazňuje, že program Horizont Evropa by měl zahrnovat zvláštní pilíř věnovaný zemědělství, zaměřený na podporu výzkumu, inovací a předávání znalostí v zemědělsko-potravinářském odvětví;</w:t>
      </w:r>
    </w:p>
    <w:p w14:paraId="07E9E1A9" w14:textId="05C66BEC" w:rsidR="00A21F59" w:rsidRPr="006D401F" w:rsidRDefault="00A21F59" w:rsidP="00A21F59">
      <w:pPr>
        <w:pStyle w:val="NormalHanging12a"/>
      </w:pPr>
      <w:r w:rsidRPr="006D401F">
        <w:t>11</w:t>
      </w:r>
      <w:r w:rsidR="00E6736E">
        <w:t>7</w:t>
      </w:r>
      <w:r w:rsidRPr="006D401F">
        <w:t>.</w:t>
      </w:r>
      <w:r w:rsidRPr="006D401F">
        <w:tab/>
        <w:t xml:space="preserve">zdůrazňuje, že je třeba zajistit, aby inovativní a digitální řešení mohla být využívána za spravedlivých podmínek ve všech typech zemědělských podniků a ve všech oblastech EU a aby tato řešení podporovala udržitelné zemědělství, pomáhala při řízení rozmanitosti a složitosti </w:t>
      </w:r>
      <w:proofErr w:type="spellStart"/>
      <w:r w:rsidRPr="006D401F">
        <w:t>agroekosystémů</w:t>
      </w:r>
      <w:proofErr w:type="spellEnd"/>
      <w:r w:rsidRPr="006D401F">
        <w:t>, přispívala ke strategiím zmírňování změny klimatu a přizpůsobování se této změně, zlepšovala příjmy zemědělců, snižovala administrativní zátěž pro zemědělce i správní orgány, předjímala budoucí podmínky produkce a byla v souladu s očekáváními spotřebitelů a společnosti; zdůrazňuje, že využívání nových technologií by mělo být podpořeno vhodným právním rámcem, aby se mohl plně rozvinout jejich potenciál, a mělo by podléhat důkladnému posouzení rizik;</w:t>
      </w:r>
    </w:p>
    <w:p w14:paraId="3282C5F8" w14:textId="2826F409" w:rsidR="00A21F59" w:rsidRPr="006D401F" w:rsidRDefault="00A21F59" w:rsidP="00A21F59">
      <w:pPr>
        <w:pStyle w:val="NormalHanging12a"/>
      </w:pPr>
      <w:r w:rsidRPr="006D401F">
        <w:t>11</w:t>
      </w:r>
      <w:r w:rsidR="00E6736E">
        <w:t>8</w:t>
      </w:r>
      <w:r w:rsidRPr="006D401F">
        <w:t>.</w:t>
      </w:r>
      <w:r w:rsidRPr="006D401F">
        <w:tab/>
        <w:t xml:space="preserve">vyzývá k navýšení finančních prostředků na aplikovaný výzkum udržitelných a účinných alternativ ke konvenčním přípravkům na ochranu rostlin a vybízí k revizi stávajících schvalovacích postupů; zdůrazňuje, že je třeba zabránit dalšímu stahování přípravků na ochranu rostlin, které dodržují stanovené zákonné bezpečnostní limity, z trhu, pokud ještě nejsou k dispozici alternativy, s cílem zajistit, aby mohla být zachována bezpečná a udržitelná zemědělská produkce; poukazuje na potenciál </w:t>
      </w:r>
      <w:proofErr w:type="spellStart"/>
      <w:r w:rsidRPr="006D401F">
        <w:t>biostimulantů</w:t>
      </w:r>
      <w:proofErr w:type="spellEnd"/>
      <w:r w:rsidRPr="006D401F">
        <w:t xml:space="preserve"> pro zlepšení produktivity rostlin;</w:t>
      </w:r>
    </w:p>
    <w:p w14:paraId="5DF19010" w14:textId="796CB2B1" w:rsidR="00A21F59" w:rsidRPr="006D401F" w:rsidRDefault="00A21F59" w:rsidP="00A21F59">
      <w:pPr>
        <w:pStyle w:val="NormalHanging12a"/>
      </w:pPr>
      <w:r w:rsidRPr="006D401F">
        <w:t>1</w:t>
      </w:r>
      <w:r w:rsidR="00E6736E">
        <w:t>19</w:t>
      </w:r>
      <w:r w:rsidRPr="006D401F">
        <w:t>.</w:t>
      </w:r>
      <w:r w:rsidRPr="006D401F">
        <w:tab/>
        <w:t>zdůrazňuje, že je důležité uznat a posílit úlohu modelu AKIS jako strategického a průřezového nástroje SZP po roce 2027, který je schopen zajistit účinné šíření znalostí a inovací mezi zemědělci; domnívá se, že účinný a koordinovaný model AKIS má zásadní význam pro dosažení klíčových cílů SZP, pokud jde o konkurenceschopnost, udržitelnou produkci potravin, odolnost vůči změně klimatu a digitální transformaci, a musí být plně začleněn do vnitrostátních strategických plánů;</w:t>
      </w:r>
    </w:p>
    <w:p w14:paraId="17308EE8" w14:textId="5A101DB2" w:rsidR="00A21F59" w:rsidRPr="006D401F" w:rsidRDefault="00A21F59" w:rsidP="00A21F59">
      <w:pPr>
        <w:pStyle w:val="NormalHanging12a"/>
      </w:pPr>
      <w:r w:rsidRPr="006D401F">
        <w:t>12</w:t>
      </w:r>
      <w:r w:rsidR="00E6736E">
        <w:t>0</w:t>
      </w:r>
      <w:r w:rsidRPr="006D401F">
        <w:t>.</w:t>
      </w:r>
      <w:r w:rsidRPr="006D401F">
        <w:tab/>
        <w:t>uznává důležitost evropského inovačního partnerství v oblasti zemědělské produktivity a udržitelnosti (EIP-AGRI), které přispělo k pokroku v inovacích v zemědělsko-</w:t>
      </w:r>
      <w:r w:rsidRPr="006D401F">
        <w:lastRenderedPageBreak/>
        <w:t>potravinářském a lesnickém odvětví, a to vytvořením operačních skupin a realizací inovativních projektů zaměřených na rozvoj nejmodernějších řešení prokazujících osvědčené postupy, která zlepšují udržitelnost, odolnost a konkurenceschopnost zemědělsko-potravinářského odvětví; vyzývá Komisi, aby posílila podporu této iniciativy v rámci SZP po roce 2027;</w:t>
      </w:r>
    </w:p>
    <w:p w14:paraId="3CE70CA2" w14:textId="375016FF" w:rsidR="00A21F59" w:rsidRPr="006D401F" w:rsidRDefault="00A21F59" w:rsidP="00A21F59">
      <w:pPr>
        <w:pStyle w:val="NormalHanging12a"/>
      </w:pPr>
      <w:r w:rsidRPr="006D401F">
        <w:t>12</w:t>
      </w:r>
      <w:r w:rsidR="00E6736E">
        <w:t>1</w:t>
      </w:r>
      <w:r w:rsidRPr="006D401F">
        <w:t>.</w:t>
      </w:r>
      <w:r w:rsidRPr="006D401F">
        <w:tab/>
        <w:t>poukazuje na nutnost navrhnout v rámci rozvoje venkova konkrétní opatření založená na zásadách integrovaného udržitelného zemědělství, s cílem více využívat integrovanou ochranu rostlin, včetně biologické ochrany, bezpilotních letounů a </w:t>
      </w:r>
      <w:proofErr w:type="spellStart"/>
      <w:r w:rsidRPr="006D401F">
        <w:t>endoterapie</w:t>
      </w:r>
      <w:proofErr w:type="spellEnd"/>
      <w:r w:rsidRPr="006D401F">
        <w:t>, optimalizovat používání přípravků na ochranu rostlin, kdy budou vždy dodržovány stanovené právní a bezpečnostní limity a zemědělcům budou poskytnuty náhrady za případné finanční ztráty; zdůrazňuje, že je důležité zavést integrované zemědělství jako obecně uznávaný systém v EU a dosáhnout pokroku, pokud jde o zavedení a podporu udržitelných a ekologických zemědělských postupů;</w:t>
      </w:r>
    </w:p>
    <w:p w14:paraId="06DC7F18" w14:textId="168F0C9B" w:rsidR="00A21F59" w:rsidRPr="006D401F" w:rsidRDefault="00A21F59" w:rsidP="00A21F59">
      <w:pPr>
        <w:pStyle w:val="NormalHanging12a"/>
      </w:pPr>
      <w:r w:rsidRPr="006D401F">
        <w:t>12</w:t>
      </w:r>
      <w:r w:rsidR="00E6736E">
        <w:t>2</w:t>
      </w:r>
      <w:r w:rsidRPr="006D401F">
        <w:t>.</w:t>
      </w:r>
      <w:r w:rsidRPr="006D401F">
        <w:tab/>
        <w:t>zdůrazňuje, že je důležité mobilizovat soukromé financování v rámci SZP s cílem zvýšit investice do zemědělství a rozvoje venkova nalezením dlouhodobějších zdrojů pro organizace zemědělců, zejména pro malé a střední podniky a rodinné podniky;</w:t>
      </w:r>
    </w:p>
    <w:p w14:paraId="54045FD5" w14:textId="08E3533B" w:rsidR="00A21F59" w:rsidRPr="006D401F" w:rsidRDefault="00A21F59" w:rsidP="00A21F59">
      <w:pPr>
        <w:pStyle w:val="NormalHanging12a"/>
        <w:rPr>
          <w:szCs w:val="24"/>
        </w:rPr>
      </w:pPr>
      <w:r w:rsidRPr="006D401F">
        <w:t>12</w:t>
      </w:r>
      <w:r w:rsidR="00E6736E">
        <w:t>3</w:t>
      </w:r>
      <w:r w:rsidRPr="006D401F">
        <w:t>.</w:t>
      </w:r>
      <w:r w:rsidRPr="006D401F">
        <w:tab/>
        <w:t>konstatuje, že podle studie výzkumné služby Evropského parlamentu (EPRS) z roku 2025</w:t>
      </w:r>
      <w:r w:rsidRPr="006D401F">
        <w:rPr>
          <w:vertAlign w:val="superscript"/>
        </w:rPr>
        <w:footnoteReference w:id="34"/>
      </w:r>
      <w:r w:rsidRPr="006D401F">
        <w:t xml:space="preserve"> dochází v některých regionech ke koncentraci malého počtu velkých jatek; zdůrazňuje proto, že prostřednictvím fondů SZP je třeba podporovat zřizování a rozvoj jatek, a stimulovat tak místní hospodářství, vytvářet pracovní místa a posilovat krátké dodavatelské řetězce;</w:t>
      </w:r>
    </w:p>
    <w:p w14:paraId="46DD5D59" w14:textId="13FCA566" w:rsidR="00A21F59" w:rsidRPr="006D401F" w:rsidRDefault="00A21F59" w:rsidP="00A21F59">
      <w:pPr>
        <w:pStyle w:val="NormalHanging12a"/>
        <w:rPr>
          <w:szCs w:val="24"/>
        </w:rPr>
      </w:pPr>
      <w:r w:rsidRPr="006D401F">
        <w:t>12</w:t>
      </w:r>
      <w:r w:rsidR="00E6736E">
        <w:t>4</w:t>
      </w:r>
      <w:r w:rsidRPr="006D401F">
        <w:t>.</w:t>
      </w:r>
      <w:r w:rsidRPr="006D401F">
        <w:tab/>
        <w:t>vyzývá k rychlému schválení a zavedení nových šlechtitelských technik, jako je CRISPR-</w:t>
      </w:r>
      <w:proofErr w:type="spellStart"/>
      <w:r w:rsidRPr="006D401F">
        <w:t>Cas</w:t>
      </w:r>
      <w:proofErr w:type="spellEnd"/>
      <w:r w:rsidRPr="006D401F">
        <w:t>, v malých i velkých podnicích s cílem podpořit rozvoj plodin, které budou odolnější, budou účinněji využívat zdroje a budou environmentálně udržitelné;</w:t>
      </w:r>
    </w:p>
    <w:p w14:paraId="3552F98C" w14:textId="5E61FEEA" w:rsidR="00A21F59" w:rsidRPr="006D401F" w:rsidRDefault="00A21F59" w:rsidP="00A21F59">
      <w:pPr>
        <w:pStyle w:val="NormalHanging12a"/>
        <w:rPr>
          <w:szCs w:val="24"/>
        </w:rPr>
      </w:pPr>
      <w:r w:rsidRPr="006D401F">
        <w:t>12</w:t>
      </w:r>
      <w:r w:rsidR="00E6736E">
        <w:t>5</w:t>
      </w:r>
      <w:r w:rsidRPr="006D401F">
        <w:t>.</w:t>
      </w:r>
      <w:r w:rsidRPr="006D401F">
        <w:tab/>
        <w:t>vyzývá k přijetí opatření, která zajistí, aby si zemědělci zachovali plnou odpovědnost za své údaje a kontrolu nad nimi, čímž by byla chráněna jejich práva a podporována transparentnost při využívání a sdílení zemědělských údajů v souvislosti s vyvíjejícími se digitálními inovacemi a inovacemi založenými na umělé inteligenci;</w:t>
      </w:r>
    </w:p>
    <w:p w14:paraId="4B3C3E02" w14:textId="707D2E12" w:rsidR="00A21F59" w:rsidRPr="006D401F" w:rsidRDefault="00A21F59" w:rsidP="00A21F59">
      <w:pPr>
        <w:pStyle w:val="NormalHanging12a"/>
      </w:pPr>
      <w:r w:rsidRPr="006D401F">
        <w:t>12</w:t>
      </w:r>
      <w:r w:rsidR="00E6736E">
        <w:t>6</w:t>
      </w:r>
      <w:r w:rsidRPr="006D401F">
        <w:t>.</w:t>
      </w:r>
      <w:r w:rsidRPr="006D401F">
        <w:tab/>
        <w:t xml:space="preserve">uznává potenciální přínosy dobrovolného celoevropského rámce pro certifikaci odstraňování uhlíku a naléhavě vyzývá Komisi, aby zlepšila přístup zemědělského odvětví k těmto příležitostem; zdůrazňuje, že uhlíkové a přírodní kredity by mohly představovat pozitivní pobídku a dodatečnou odměnu pro zemědělce, zejména mladé zemědělce, tím, že by spravedlivě odměňovaly postupy, jako je agrolesnictví a regenerativní hospodaření s půdou, které přispívají k zachycování uhlíku a snižování emisí v zemědělských podnicích; zdůrazňuje, že takový certifikační rámec musí být otevřený a dostupný všem zemědělcům, kteří jsou ochotni zachovat nebo zvýšit kapacitu pro ukládání uhlíku ve své půdě, a vybízí Komisi, aby vytvořila podmínky pro zajištění tržní poptávky po těchto certifikátech prostřednictvím vhodných pobídek </w:t>
      </w:r>
      <w:r w:rsidRPr="006D401F">
        <w:lastRenderedPageBreak/>
        <w:t>a dlouhodobé tržní předvídatelnosti pro investory ze soukromého sektoru; zdůrazňuje, že uhlíkové zemědělství by mělo doplňovat, nikoli nahrazovat aktivní a udržitelnou zemědělskou produkci;</w:t>
      </w:r>
    </w:p>
    <w:p w14:paraId="6123BDDF" w14:textId="0D5D6B4B" w:rsidR="00A21F59" w:rsidRPr="006D401F" w:rsidRDefault="00A21F59" w:rsidP="00A21F59">
      <w:pPr>
        <w:pStyle w:val="NormalHanging12a"/>
        <w:rPr>
          <w:bCs/>
          <w:iCs/>
        </w:rPr>
      </w:pPr>
      <w:r w:rsidRPr="006D401F">
        <w:t>12</w:t>
      </w:r>
      <w:r w:rsidR="00E6736E">
        <w:t>7</w:t>
      </w:r>
      <w:r w:rsidRPr="006D401F">
        <w:t>.</w:t>
      </w:r>
      <w:r w:rsidRPr="006D401F">
        <w:tab/>
        <w:t>vyzývá Komisi, aby podporovala výrobu solární energie v zemědělských podnicích způsobem, který zajistí, aby vlastnictví zařízení a získané výhody zůstaly majiteli půdy a místní komunitě a jenž bude slučitelný se zemědělskou činností, s cílem zlepšit schopnost zemědělců přizpůsobit se změně klimatu a přispět ke stabilitě a diverzifikaci jejich příjmů;</w:t>
      </w:r>
    </w:p>
    <w:p w14:paraId="33380A79" w14:textId="53E9CE5F" w:rsidR="00A21F59" w:rsidRPr="006D401F" w:rsidRDefault="00A21F59" w:rsidP="00A21F59">
      <w:pPr>
        <w:pStyle w:val="NormalHanging12a"/>
        <w:rPr>
          <w:szCs w:val="24"/>
        </w:rPr>
      </w:pPr>
      <w:r w:rsidRPr="006D401F">
        <w:t>12</w:t>
      </w:r>
      <w:r w:rsidR="00E6736E">
        <w:t>8</w:t>
      </w:r>
      <w:r w:rsidRPr="006D401F">
        <w:t>.</w:t>
      </w:r>
      <w:r w:rsidRPr="006D401F">
        <w:tab/>
        <w:t xml:space="preserve">naléhavě vyzývá Komisi, aby se řídila doporučeními </w:t>
      </w:r>
      <w:proofErr w:type="spellStart"/>
      <w:r w:rsidRPr="006D401F">
        <w:t>Niinistöovy</w:t>
      </w:r>
      <w:proofErr w:type="spellEnd"/>
      <w:r w:rsidRPr="006D401F">
        <w:t xml:space="preserve"> zprávy a zvážila význam strategických potravinových zásob; vyzývá k rozsáhlému zavedení strategických zásob potravin na základě solidních zkušeností získaných ve Finsku a Německu a k začlenění koncepce „dvojího použití již při návrhu“ do politik rozvoje výroby biopaliv; domnívá se, že bez strategických potravinových zásob nemůže existovat potravinová soběstačnost;</w:t>
      </w:r>
    </w:p>
    <w:p w14:paraId="07F6A478" w14:textId="4B9F0035" w:rsidR="00A21F59" w:rsidRDefault="00A21F59" w:rsidP="00A21F59">
      <w:pPr>
        <w:pStyle w:val="NormalHanging12a"/>
        <w:widowControl w:val="0"/>
      </w:pPr>
      <w:r w:rsidRPr="006D401F">
        <w:t>1</w:t>
      </w:r>
      <w:r w:rsidR="00E6736E">
        <w:t>29</w:t>
      </w:r>
      <w:r w:rsidRPr="006D401F">
        <w:t>.</w:t>
      </w:r>
      <w:r w:rsidRPr="006D401F">
        <w:tab/>
        <w:t xml:space="preserve">zdůrazňuje, že je důležité výslovně potvrdit zákonnost pěstování, sklizně, zpracování a uvádění na trh celé rostliny konopí pro povolené průmyslové účely v celé EU s cílem poskytnout právní jistotu zemědělcům, zpracovatelům, regulačním orgánům a spotřebitelům; konstatuje, že pěstování konopí vyžaduje poměrně málo vstupů, zejména hnojiv, přípravků na ochranu rostlin a vody; zdůrazňuje, že přispívá také ke zdraví půdy a biologické rozmanitosti a že nabízí nové hospodářské příležitosti, dodatečné příjmy a inovace ve venkovských oblastech poskytováním surovin pro průmyslové využití, jako jsou textilní vlákna, a pro další využití, například pro oblast zdraví, potraviny a krmiva; vyzývá Komisi, aby pro právní klasifikaci průmyslového konopí stanovila společnou celounijní prahovou hodnotu 0,5 % </w:t>
      </w:r>
      <w:proofErr w:type="spellStart"/>
      <w:r w:rsidRPr="006D401F">
        <w:rPr>
          <w:shd w:val="clear" w:color="auto" w:fill="FFFFFF"/>
        </w:rPr>
        <w:t>tetrahydrokanabinolu</w:t>
      </w:r>
      <w:proofErr w:type="spellEnd"/>
      <w:r w:rsidRPr="006D401F">
        <w:t xml:space="preserve"> (THC) a zajistila tak harmonizaci vnitrostátních právních předpisů v souladu s rozsudky Soudního dvora Evropské unie a mezinárodním právem;</w:t>
      </w:r>
    </w:p>
    <w:p w14:paraId="648E43EE" w14:textId="77777777" w:rsidR="00E61C9E" w:rsidRPr="007E2FA0" w:rsidRDefault="00E61C9E" w:rsidP="00E61C9E">
      <w:pPr>
        <w:pStyle w:val="NormalCenter12a"/>
        <w:widowControl/>
        <w:ind w:left="567" w:hanging="567"/>
        <w:rPr>
          <w:szCs w:val="24"/>
        </w:rPr>
      </w:pPr>
      <w:r w:rsidRPr="007E2FA0">
        <w:rPr>
          <w:szCs w:val="24"/>
        </w:rPr>
        <w:t>°</w:t>
      </w:r>
    </w:p>
    <w:p w14:paraId="40D0EFFB" w14:textId="77777777" w:rsidR="00E61C9E" w:rsidRPr="007E2FA0" w:rsidRDefault="00E61C9E" w:rsidP="00E61C9E">
      <w:pPr>
        <w:pStyle w:val="NormalCenter12a"/>
        <w:widowControl/>
        <w:ind w:left="567" w:hanging="567"/>
        <w:rPr>
          <w:szCs w:val="24"/>
        </w:rPr>
      </w:pPr>
      <w:r w:rsidRPr="007E2FA0">
        <w:rPr>
          <w:szCs w:val="24"/>
        </w:rPr>
        <w:t>°</w:t>
      </w:r>
      <w:r>
        <w:rPr>
          <w:szCs w:val="24"/>
        </w:rPr>
        <w:t xml:space="preserve">         </w:t>
      </w:r>
      <w:r w:rsidRPr="007E2FA0">
        <w:rPr>
          <w:szCs w:val="24"/>
        </w:rPr>
        <w:t>°</w:t>
      </w:r>
    </w:p>
    <w:p w14:paraId="6DF192A1" w14:textId="2DD7C819" w:rsidR="00A21F59" w:rsidRPr="006D401F" w:rsidRDefault="00A21F59" w:rsidP="00A21F59">
      <w:pPr>
        <w:pStyle w:val="NormalHanging12a"/>
      </w:pPr>
      <w:r w:rsidRPr="006D401F">
        <w:t>13</w:t>
      </w:r>
      <w:r w:rsidR="00E6736E">
        <w:t>0</w:t>
      </w:r>
      <w:r w:rsidRPr="006D401F">
        <w:t>.</w:t>
      </w:r>
      <w:r w:rsidRPr="006D401F">
        <w:tab/>
        <w:t>pověřuje svou předsedkyni, aby předala toto usnesení Radě a Komisi.</w:t>
      </w:r>
    </w:p>
    <w:p w14:paraId="67931615" w14:textId="39DDDF9C" w:rsidR="00A21F59" w:rsidRPr="006D401F" w:rsidRDefault="00A21F59" w:rsidP="00A21F59"/>
    <w:sectPr w:rsidR="00A21F59" w:rsidRPr="006D401F" w:rsidSect="006D401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AFA77" w14:textId="77777777" w:rsidR="00D62CF4" w:rsidRPr="006D401F" w:rsidRDefault="00D62CF4">
      <w:r w:rsidRPr="006D401F">
        <w:separator/>
      </w:r>
    </w:p>
  </w:endnote>
  <w:endnote w:type="continuationSeparator" w:id="0">
    <w:p w14:paraId="6D68C3AA" w14:textId="77777777" w:rsidR="00D62CF4" w:rsidRPr="006D401F" w:rsidRDefault="00D62CF4">
      <w:r w:rsidRPr="006D40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27690" w14:textId="77777777" w:rsidR="00064002" w:rsidRPr="006D401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8049A" w14:textId="77777777" w:rsidR="00064002" w:rsidRPr="006D401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617D9" w14:textId="77777777" w:rsidR="00064002" w:rsidRPr="006D40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C15F8" w14:textId="77777777" w:rsidR="00D62CF4" w:rsidRPr="006D401F" w:rsidRDefault="00D62CF4">
      <w:r w:rsidRPr="006D401F">
        <w:separator/>
      </w:r>
    </w:p>
  </w:footnote>
  <w:footnote w:type="continuationSeparator" w:id="0">
    <w:p w14:paraId="553A272F" w14:textId="77777777" w:rsidR="00D62CF4" w:rsidRPr="006D401F" w:rsidRDefault="00D62CF4">
      <w:r w:rsidRPr="006D401F">
        <w:continuationSeparator/>
      </w:r>
    </w:p>
  </w:footnote>
  <w:footnote w:id="1">
    <w:p w14:paraId="2850FEEA" w14:textId="75A6368F"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r w:rsidRPr="006D401F">
        <w:rPr>
          <w:sz w:val="24"/>
          <w:lang w:val="cs-CZ"/>
        </w:rPr>
        <w:t>Průzkum Evropského parlamentu Eurobarometr z jara 2024 byl proveden v období od 7. února do 3. března 2024 ve 27 členských státech EU.</w:t>
      </w:r>
    </w:p>
  </w:footnote>
  <w:footnote w:id="2">
    <w:p w14:paraId="4650314C" w14:textId="70D156B9"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proofErr w:type="spellStart"/>
      <w:r w:rsidRPr="006D401F">
        <w:rPr>
          <w:sz w:val="24"/>
          <w:lang w:val="cs-CZ"/>
        </w:rPr>
        <w:t>Úř</w:t>
      </w:r>
      <w:proofErr w:type="spellEnd"/>
      <w:r w:rsidRPr="006D401F">
        <w:rPr>
          <w:sz w:val="24"/>
          <w:lang w:val="cs-CZ"/>
        </w:rPr>
        <w:t xml:space="preserve">. </w:t>
      </w:r>
      <w:proofErr w:type="spellStart"/>
      <w:r w:rsidRPr="006D401F">
        <w:rPr>
          <w:sz w:val="24"/>
          <w:lang w:val="cs-CZ"/>
        </w:rPr>
        <w:t>věst</w:t>
      </w:r>
      <w:proofErr w:type="spellEnd"/>
      <w:r w:rsidRPr="006D401F">
        <w:rPr>
          <w:sz w:val="24"/>
          <w:lang w:val="cs-CZ"/>
        </w:rPr>
        <w:t xml:space="preserve">. L 221, 8.8.1998, s. 23, ELI: </w:t>
      </w:r>
      <w:r w:rsidR="00241EEB">
        <w:fldChar w:fldCharType="begin"/>
      </w:r>
      <w:r w:rsidR="00241EEB" w:rsidRPr="00241EEB">
        <w:rPr>
          <w:lang w:val="fi-FI"/>
        </w:rPr>
        <w:instrText>HYPERLINK "https://eur-lex.europa.eu/eli/dir/1998/58/oj?eliuri=eli%3Adir%3A1998%3A58%3Aoj&amp;locale=cs"</w:instrText>
      </w:r>
      <w:r w:rsidR="00241EEB">
        <w:fldChar w:fldCharType="separate"/>
      </w:r>
      <w:r w:rsidRPr="006D401F">
        <w:rPr>
          <w:rStyle w:val="Hyperlink"/>
          <w:sz w:val="24"/>
          <w:lang w:val="cs-CZ"/>
        </w:rPr>
        <w:t>https://eur-lex.europa.eu/eli/dir/1998/58/oj?eliuri=eli%3Adir%3A1998%3A58%3Aoj&amp;locale=cs</w:t>
      </w:r>
      <w:r w:rsidR="00241EEB">
        <w:rPr>
          <w:rStyle w:val="Hyperlink"/>
          <w:sz w:val="24"/>
          <w:lang w:val="cs-CZ"/>
        </w:rPr>
        <w:fldChar w:fldCharType="end"/>
      </w:r>
      <w:r w:rsidRPr="006D401F">
        <w:rPr>
          <w:sz w:val="24"/>
          <w:lang w:val="cs-CZ"/>
        </w:rPr>
        <w:t>.</w:t>
      </w:r>
    </w:p>
  </w:footnote>
  <w:footnote w:id="3">
    <w:p w14:paraId="0D8005BB" w14:textId="4FFE9FE4"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proofErr w:type="spellStart"/>
      <w:r w:rsidRPr="006D401F">
        <w:rPr>
          <w:sz w:val="24"/>
          <w:lang w:val="cs-CZ"/>
        </w:rPr>
        <w:t>Úř</w:t>
      </w:r>
      <w:proofErr w:type="spellEnd"/>
      <w:r w:rsidRPr="006D401F">
        <w:rPr>
          <w:sz w:val="24"/>
          <w:lang w:val="cs-CZ"/>
        </w:rPr>
        <w:t xml:space="preserve">. </w:t>
      </w:r>
      <w:proofErr w:type="spellStart"/>
      <w:r w:rsidRPr="006D401F">
        <w:rPr>
          <w:sz w:val="24"/>
          <w:lang w:val="cs-CZ"/>
        </w:rPr>
        <w:t>věst</w:t>
      </w:r>
      <w:proofErr w:type="spellEnd"/>
      <w:r w:rsidRPr="006D401F">
        <w:rPr>
          <w:sz w:val="24"/>
          <w:lang w:val="cs-CZ"/>
        </w:rPr>
        <w:t>. C 177, 17.5.2023, s. 115.</w:t>
      </w:r>
    </w:p>
  </w:footnote>
  <w:footnote w:id="4">
    <w:p w14:paraId="0368979A" w14:textId="6470B6A4"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proofErr w:type="spellStart"/>
      <w:r w:rsidRPr="006D401F">
        <w:rPr>
          <w:sz w:val="24"/>
          <w:lang w:val="cs-CZ"/>
        </w:rPr>
        <w:t>Úř</w:t>
      </w:r>
      <w:proofErr w:type="spellEnd"/>
      <w:r w:rsidRPr="006D401F">
        <w:rPr>
          <w:sz w:val="24"/>
          <w:lang w:val="cs-CZ"/>
        </w:rPr>
        <w:t xml:space="preserve">. </w:t>
      </w:r>
      <w:proofErr w:type="spellStart"/>
      <w:r w:rsidRPr="006D401F">
        <w:rPr>
          <w:sz w:val="24"/>
          <w:lang w:val="cs-CZ"/>
        </w:rPr>
        <w:t>věst</w:t>
      </w:r>
      <w:proofErr w:type="spellEnd"/>
      <w:r w:rsidRPr="006D401F">
        <w:rPr>
          <w:sz w:val="24"/>
          <w:lang w:val="cs-CZ"/>
        </w:rPr>
        <w:t xml:space="preserve">. L, 2024/1468, 24.5.2024, ELI: </w:t>
      </w:r>
      <w:r w:rsidR="00241EEB">
        <w:fldChar w:fldCharType="begin"/>
      </w:r>
      <w:r w:rsidR="00241EEB" w:rsidRPr="00241EEB">
        <w:rPr>
          <w:lang w:val="fi-FI"/>
        </w:rPr>
        <w:instrText>HYPERLINK "https://eur-lex.europa.eu/eli/reg/2024/1468/oj?eliuri=eli%3Areg%3A2024%3A1468%3Aoj&amp;locale=cs"</w:instrText>
      </w:r>
      <w:r w:rsidR="00241EEB">
        <w:fldChar w:fldCharType="separate"/>
      </w:r>
      <w:r w:rsidRPr="006D401F">
        <w:rPr>
          <w:rStyle w:val="Hyperlink"/>
          <w:sz w:val="24"/>
          <w:lang w:val="cs-CZ"/>
        </w:rPr>
        <w:t>https://eur-lex.europa.eu/eli/reg/2024/1468/oj?eliuri=eli%3Areg%3A2024%3A1468%3Aoj&amp;locale=cs</w:t>
      </w:r>
      <w:r w:rsidR="00241EEB">
        <w:rPr>
          <w:rStyle w:val="Hyperlink"/>
          <w:sz w:val="24"/>
          <w:lang w:val="cs-CZ"/>
        </w:rPr>
        <w:fldChar w:fldCharType="end"/>
      </w:r>
      <w:r w:rsidRPr="006D401F">
        <w:rPr>
          <w:sz w:val="24"/>
          <w:lang w:val="cs-CZ"/>
        </w:rPr>
        <w:t>.</w:t>
      </w:r>
    </w:p>
  </w:footnote>
  <w:footnote w:id="5">
    <w:p w14:paraId="5E8C990E" w14:textId="647B05A0"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proofErr w:type="spellStart"/>
      <w:r w:rsidRPr="006D401F">
        <w:rPr>
          <w:sz w:val="24"/>
          <w:lang w:val="cs-CZ"/>
        </w:rPr>
        <w:t>Úř</w:t>
      </w:r>
      <w:proofErr w:type="spellEnd"/>
      <w:r w:rsidRPr="006D401F">
        <w:rPr>
          <w:sz w:val="24"/>
          <w:lang w:val="cs-CZ"/>
        </w:rPr>
        <w:t xml:space="preserve">. </w:t>
      </w:r>
      <w:proofErr w:type="spellStart"/>
      <w:r w:rsidRPr="006D401F">
        <w:rPr>
          <w:sz w:val="24"/>
          <w:lang w:val="cs-CZ"/>
        </w:rPr>
        <w:t>věst</w:t>
      </w:r>
      <w:proofErr w:type="spellEnd"/>
      <w:r w:rsidRPr="006D401F">
        <w:rPr>
          <w:sz w:val="24"/>
          <w:lang w:val="cs-CZ"/>
        </w:rPr>
        <w:t xml:space="preserve">. L 435, 6.12.2021, s. 1, ELI: </w:t>
      </w:r>
      <w:r w:rsidR="00241EEB">
        <w:fldChar w:fldCharType="begin"/>
      </w:r>
      <w:r w:rsidR="00241EEB" w:rsidRPr="00241EEB">
        <w:rPr>
          <w:lang w:val="cs-CZ"/>
        </w:rPr>
        <w:instrText>HYPERLINK "https://eur-lex.europa.eu/eli/reg/2021/2115/oj?eliuri=eli%3Areg%3A2021%3A2115%3Aoj&amp;locale=cs%23"</w:instrText>
      </w:r>
      <w:r w:rsidR="00241EEB">
        <w:fldChar w:fldCharType="separate"/>
      </w:r>
      <w:r w:rsidRPr="006D401F">
        <w:rPr>
          <w:rStyle w:val="Hyperlink"/>
          <w:sz w:val="24"/>
          <w:lang w:val="cs-CZ"/>
        </w:rPr>
        <w:t>https://eur-lex.europa.eu/eli/reg/2021/2115/oj?eliuri=eli%3Areg%3A2021%3A2115%3Aoj&amp;locale=cs#</w:t>
      </w:r>
      <w:r w:rsidR="00241EEB">
        <w:rPr>
          <w:rStyle w:val="Hyperlink"/>
          <w:sz w:val="24"/>
          <w:lang w:val="cs-CZ"/>
        </w:rPr>
        <w:fldChar w:fldCharType="end"/>
      </w:r>
      <w:r w:rsidRPr="006D401F">
        <w:rPr>
          <w:sz w:val="24"/>
          <w:lang w:val="cs-CZ"/>
        </w:rPr>
        <w:t>. Oprava závěrečného aktu (32021R2115</w:t>
      </w:r>
      <w:proofErr w:type="gramStart"/>
      <w:r w:rsidRPr="006D401F">
        <w:rPr>
          <w:sz w:val="24"/>
          <w:lang w:val="cs-CZ"/>
        </w:rPr>
        <w:t>R(</w:t>
      </w:r>
      <w:proofErr w:type="gramEnd"/>
      <w:r w:rsidRPr="006D401F">
        <w:rPr>
          <w:sz w:val="24"/>
          <w:lang w:val="cs-CZ"/>
        </w:rPr>
        <w:t xml:space="preserve">03)), </w:t>
      </w:r>
      <w:proofErr w:type="spellStart"/>
      <w:r w:rsidRPr="006D401F">
        <w:rPr>
          <w:sz w:val="24"/>
          <w:lang w:val="cs-CZ"/>
        </w:rPr>
        <w:t>Úř</w:t>
      </w:r>
      <w:proofErr w:type="spellEnd"/>
      <w:r w:rsidRPr="006D401F">
        <w:rPr>
          <w:sz w:val="24"/>
          <w:lang w:val="cs-CZ"/>
        </w:rPr>
        <w:t xml:space="preserve">. </w:t>
      </w:r>
      <w:proofErr w:type="spellStart"/>
      <w:r w:rsidRPr="006D401F">
        <w:rPr>
          <w:sz w:val="24"/>
          <w:lang w:val="cs-CZ"/>
        </w:rPr>
        <w:t>věst</w:t>
      </w:r>
      <w:proofErr w:type="spellEnd"/>
      <w:r w:rsidRPr="006D401F">
        <w:rPr>
          <w:sz w:val="24"/>
          <w:lang w:val="cs-CZ"/>
        </w:rPr>
        <w:t xml:space="preserve">. L 227, 1.9.2022, s. 136. Oprava závěrečného aktu (32021R2115R(02)), </w:t>
      </w:r>
      <w:proofErr w:type="spellStart"/>
      <w:r w:rsidRPr="006D401F">
        <w:rPr>
          <w:sz w:val="24"/>
          <w:lang w:val="cs-CZ"/>
        </w:rPr>
        <w:t>Úř</w:t>
      </w:r>
      <w:proofErr w:type="spellEnd"/>
      <w:r w:rsidRPr="006D401F">
        <w:rPr>
          <w:sz w:val="24"/>
          <w:lang w:val="cs-CZ"/>
        </w:rPr>
        <w:t xml:space="preserve">. </w:t>
      </w:r>
      <w:proofErr w:type="spellStart"/>
      <w:r w:rsidRPr="006D401F">
        <w:rPr>
          <w:sz w:val="24"/>
          <w:lang w:val="cs-CZ"/>
        </w:rPr>
        <w:t>věst</w:t>
      </w:r>
      <w:proofErr w:type="spellEnd"/>
      <w:r w:rsidRPr="006D401F">
        <w:rPr>
          <w:sz w:val="24"/>
          <w:lang w:val="cs-CZ"/>
        </w:rPr>
        <w:t>. L 181, 7.7.2022, s. 35.</w:t>
      </w:r>
    </w:p>
  </w:footnote>
  <w:footnote w:id="6">
    <w:p w14:paraId="52D88B12" w14:textId="63BBCBEA"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proofErr w:type="spellStart"/>
      <w:r w:rsidRPr="006D401F">
        <w:rPr>
          <w:sz w:val="24"/>
          <w:lang w:val="cs-CZ"/>
        </w:rPr>
        <w:t>Úř</w:t>
      </w:r>
      <w:proofErr w:type="spellEnd"/>
      <w:r w:rsidRPr="006D401F">
        <w:rPr>
          <w:sz w:val="24"/>
          <w:lang w:val="cs-CZ"/>
        </w:rPr>
        <w:t xml:space="preserve">. </w:t>
      </w:r>
      <w:proofErr w:type="spellStart"/>
      <w:r w:rsidRPr="006D401F">
        <w:rPr>
          <w:sz w:val="24"/>
          <w:lang w:val="cs-CZ"/>
        </w:rPr>
        <w:t>věst</w:t>
      </w:r>
      <w:proofErr w:type="spellEnd"/>
      <w:r w:rsidRPr="006D401F">
        <w:rPr>
          <w:sz w:val="24"/>
          <w:lang w:val="cs-CZ"/>
        </w:rPr>
        <w:t xml:space="preserve">. L 435, 6.12.2021, s. 262, ELI: </w:t>
      </w:r>
      <w:r w:rsidR="00241EEB">
        <w:fldChar w:fldCharType="begin"/>
      </w:r>
      <w:r w:rsidR="00241EEB" w:rsidRPr="00241EEB">
        <w:rPr>
          <w:lang w:val="cs-CZ"/>
        </w:rPr>
        <w:instrText>HYPERLINK "https://eur-lex.europa.eu/eli/reg/2021/2117/oj?eliuri=eli%3Areg%3A2021%3A2117%3Aoj&amp;locale=cs"</w:instrText>
      </w:r>
      <w:r w:rsidR="00241EEB">
        <w:fldChar w:fldCharType="separate"/>
      </w:r>
      <w:r w:rsidRPr="006D401F">
        <w:rPr>
          <w:rStyle w:val="Hyperlink"/>
          <w:sz w:val="24"/>
          <w:lang w:val="cs-CZ"/>
        </w:rPr>
        <w:t>https://eur-lex.europa.eu/eli/reg/2021/2117/oj?eliuri=eli%3Areg%3A2021%3A2117%3Aoj&amp;locale=cs</w:t>
      </w:r>
      <w:r w:rsidR="00241EEB">
        <w:rPr>
          <w:rStyle w:val="Hyperlink"/>
          <w:sz w:val="24"/>
          <w:lang w:val="cs-CZ"/>
        </w:rPr>
        <w:fldChar w:fldCharType="end"/>
      </w:r>
      <w:r w:rsidRPr="006D401F">
        <w:rPr>
          <w:sz w:val="24"/>
          <w:lang w:val="cs-CZ"/>
        </w:rPr>
        <w:t>. Oprava závěrečného aktu (32021R2117</w:t>
      </w:r>
      <w:proofErr w:type="gramStart"/>
      <w:r w:rsidRPr="006D401F">
        <w:rPr>
          <w:sz w:val="24"/>
          <w:lang w:val="cs-CZ"/>
        </w:rPr>
        <w:t>R(</w:t>
      </w:r>
      <w:proofErr w:type="gramEnd"/>
      <w:r w:rsidRPr="006D401F">
        <w:rPr>
          <w:sz w:val="24"/>
          <w:lang w:val="cs-CZ"/>
        </w:rPr>
        <w:t xml:space="preserve">04)), </w:t>
      </w:r>
      <w:proofErr w:type="spellStart"/>
      <w:r w:rsidRPr="006D401F">
        <w:rPr>
          <w:sz w:val="24"/>
          <w:lang w:val="cs-CZ"/>
        </w:rPr>
        <w:t>Úř</w:t>
      </w:r>
      <w:proofErr w:type="spellEnd"/>
      <w:r w:rsidRPr="006D401F">
        <w:rPr>
          <w:sz w:val="24"/>
          <w:lang w:val="cs-CZ"/>
        </w:rPr>
        <w:t xml:space="preserve">. </w:t>
      </w:r>
      <w:proofErr w:type="spellStart"/>
      <w:r w:rsidRPr="006D401F">
        <w:rPr>
          <w:sz w:val="24"/>
          <w:lang w:val="cs-CZ"/>
        </w:rPr>
        <w:t>věst</w:t>
      </w:r>
      <w:proofErr w:type="spellEnd"/>
      <w:r w:rsidRPr="006D401F">
        <w:rPr>
          <w:sz w:val="24"/>
          <w:lang w:val="cs-CZ"/>
        </w:rPr>
        <w:t>. L 192, 31.7.2023, s. 34.</w:t>
      </w:r>
    </w:p>
  </w:footnote>
  <w:footnote w:id="7">
    <w:p w14:paraId="585C1B56" w14:textId="037CDAA9"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proofErr w:type="spellStart"/>
      <w:r w:rsidRPr="00FB1054">
        <w:rPr>
          <w:i/>
          <w:iCs/>
          <w:sz w:val="24"/>
          <w:lang w:val="cs-CZ"/>
        </w:rPr>
        <w:t>Úř</w:t>
      </w:r>
      <w:proofErr w:type="spellEnd"/>
      <w:r w:rsidRPr="00FB1054">
        <w:rPr>
          <w:i/>
          <w:iCs/>
          <w:sz w:val="24"/>
          <w:lang w:val="cs-CZ"/>
        </w:rPr>
        <w:t xml:space="preserve">. </w:t>
      </w:r>
      <w:proofErr w:type="spellStart"/>
      <w:r w:rsidRPr="00FB1054">
        <w:rPr>
          <w:i/>
          <w:iCs/>
          <w:sz w:val="24"/>
          <w:lang w:val="cs-CZ"/>
        </w:rPr>
        <w:t>věst</w:t>
      </w:r>
      <w:proofErr w:type="spellEnd"/>
      <w:r w:rsidRPr="00FB1054">
        <w:rPr>
          <w:i/>
          <w:iCs/>
          <w:sz w:val="24"/>
          <w:lang w:val="cs-CZ"/>
        </w:rPr>
        <w:t>.</w:t>
      </w:r>
      <w:r w:rsidRPr="00FB1054">
        <w:rPr>
          <w:rStyle w:val="Emphasis"/>
          <w:i w:val="0"/>
          <w:iCs w:val="0"/>
          <w:sz w:val="24"/>
          <w:shd w:val="clear" w:color="auto" w:fill="FFFFFF"/>
          <w:lang w:val="cs-CZ"/>
        </w:rPr>
        <w:t xml:space="preserve"> L 78, 20.3.2013, s. 23, </w:t>
      </w:r>
      <w:r w:rsidRPr="006D401F">
        <w:rPr>
          <w:sz w:val="24"/>
          <w:shd w:val="clear" w:color="auto" w:fill="FFFFFF"/>
          <w:lang w:val="cs-CZ"/>
        </w:rPr>
        <w:t>ELI: </w:t>
      </w:r>
      <w:r w:rsidR="00241EEB">
        <w:fldChar w:fldCharType="begin"/>
      </w:r>
      <w:r w:rsidR="00241EEB" w:rsidRPr="00241EEB">
        <w:rPr>
          <w:lang w:val="cs-CZ"/>
        </w:rPr>
        <w:instrText>HYPERLINK "https://eur-lex.europa.eu/eli/reg/2013/228/oj?eliuri=eli%3Areg%3A2013%3A228%3Aoj&amp;locale=cs"</w:instrText>
      </w:r>
      <w:r w:rsidR="00241EEB">
        <w:fldChar w:fldCharType="separate"/>
      </w:r>
      <w:r w:rsidRPr="006D401F">
        <w:rPr>
          <w:rStyle w:val="Hyperlink"/>
          <w:sz w:val="24"/>
          <w:shd w:val="clear" w:color="auto" w:fill="FFFFFF"/>
          <w:lang w:val="cs-CZ"/>
        </w:rPr>
        <w:t>https://eur-lex.europa.eu/eli/reg/2013/228/oj?eliuri=eli%3Areg%3A2013%3A228%3Aoj&amp;locale=cs</w:t>
      </w:r>
      <w:r w:rsidR="00241EEB">
        <w:rPr>
          <w:rStyle w:val="Hyperlink"/>
          <w:sz w:val="24"/>
          <w:shd w:val="clear" w:color="auto" w:fill="FFFFFF"/>
          <w:lang w:val="cs-CZ"/>
        </w:rPr>
        <w:fldChar w:fldCharType="end"/>
      </w:r>
      <w:r w:rsidRPr="006D401F">
        <w:rPr>
          <w:sz w:val="24"/>
          <w:lang w:val="cs-CZ"/>
        </w:rPr>
        <w:t>.</w:t>
      </w:r>
    </w:p>
  </w:footnote>
  <w:footnote w:id="8">
    <w:p w14:paraId="60919E5D" w14:textId="2B26A858"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proofErr w:type="spellStart"/>
      <w:r w:rsidRPr="006D401F">
        <w:rPr>
          <w:sz w:val="24"/>
          <w:lang w:val="cs-CZ"/>
        </w:rPr>
        <w:t>Úř</w:t>
      </w:r>
      <w:proofErr w:type="spellEnd"/>
      <w:r w:rsidRPr="006D401F">
        <w:rPr>
          <w:sz w:val="24"/>
          <w:lang w:val="cs-CZ"/>
        </w:rPr>
        <w:t xml:space="preserve">. </w:t>
      </w:r>
      <w:proofErr w:type="spellStart"/>
      <w:r w:rsidRPr="006D401F">
        <w:rPr>
          <w:sz w:val="24"/>
          <w:lang w:val="cs-CZ"/>
        </w:rPr>
        <w:t>věst</w:t>
      </w:r>
      <w:proofErr w:type="spellEnd"/>
      <w:r w:rsidRPr="006D401F">
        <w:rPr>
          <w:sz w:val="24"/>
          <w:lang w:val="cs-CZ"/>
        </w:rPr>
        <w:t xml:space="preserve">. L 435, 6.12.2021, s. 187, ELI: </w:t>
      </w:r>
      <w:r w:rsidR="00241EEB">
        <w:fldChar w:fldCharType="begin"/>
      </w:r>
      <w:r w:rsidR="00241EEB" w:rsidRPr="00241EEB">
        <w:rPr>
          <w:lang w:val="fi-FI"/>
        </w:rPr>
        <w:instrText>HYPERLINK "https://eur-lex.europa.eu/eli/reg/2021/2116/oj?eliuri=eli%3Areg%3A2021%3A2116%3Aoj&amp;locale=cs"</w:instrText>
      </w:r>
      <w:r w:rsidR="00241EEB">
        <w:fldChar w:fldCharType="separate"/>
      </w:r>
      <w:r w:rsidRPr="006D401F">
        <w:rPr>
          <w:rStyle w:val="Hyperlink"/>
          <w:sz w:val="24"/>
          <w:lang w:val="cs-CZ"/>
        </w:rPr>
        <w:t>https://eur-lex.europa.eu/eli/reg/2021/2116/oj?eliuri=eli%3Areg%3A2021%3A2116%3Aoj&amp;locale=cs</w:t>
      </w:r>
      <w:r w:rsidR="00241EEB">
        <w:rPr>
          <w:rStyle w:val="Hyperlink"/>
          <w:sz w:val="24"/>
          <w:lang w:val="cs-CZ"/>
        </w:rPr>
        <w:fldChar w:fldCharType="end"/>
      </w:r>
      <w:r w:rsidRPr="006D401F">
        <w:rPr>
          <w:sz w:val="24"/>
          <w:lang w:val="cs-CZ"/>
        </w:rPr>
        <w:t xml:space="preserve">. </w:t>
      </w:r>
    </w:p>
  </w:footnote>
  <w:footnote w:id="9">
    <w:p w14:paraId="4D7533BF" w14:textId="106AF123"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proofErr w:type="spellStart"/>
      <w:r w:rsidRPr="006D401F">
        <w:rPr>
          <w:sz w:val="24"/>
          <w:lang w:val="cs-CZ"/>
        </w:rPr>
        <w:t>Úř</w:t>
      </w:r>
      <w:proofErr w:type="spellEnd"/>
      <w:r w:rsidRPr="006D401F">
        <w:rPr>
          <w:sz w:val="24"/>
          <w:lang w:val="cs-CZ"/>
        </w:rPr>
        <w:t xml:space="preserve">. </w:t>
      </w:r>
      <w:proofErr w:type="spellStart"/>
      <w:r w:rsidRPr="006D401F">
        <w:rPr>
          <w:sz w:val="24"/>
          <w:lang w:val="cs-CZ"/>
        </w:rPr>
        <w:t>věst</w:t>
      </w:r>
      <w:proofErr w:type="spellEnd"/>
      <w:r w:rsidRPr="006D401F">
        <w:rPr>
          <w:sz w:val="24"/>
          <w:lang w:val="cs-CZ"/>
        </w:rPr>
        <w:t xml:space="preserve">. L, 2024/1143, 23.4.2024, ELI: </w:t>
      </w:r>
      <w:r w:rsidR="00241EEB">
        <w:fldChar w:fldCharType="begin"/>
      </w:r>
      <w:r w:rsidR="00241EEB" w:rsidRPr="00241EEB">
        <w:rPr>
          <w:lang w:val="fi-FI"/>
        </w:rPr>
        <w:instrText>HYPERLINK "https://eur-lex.europa.eu/eli/reg/2024/1143/oj?eliuri=eli%3Areg%3A2024%3A1143%3Aoj&amp;locale=cs"</w:instrText>
      </w:r>
      <w:r w:rsidR="00241EEB">
        <w:fldChar w:fldCharType="separate"/>
      </w:r>
      <w:r w:rsidRPr="006D401F">
        <w:rPr>
          <w:rStyle w:val="Hyperlink"/>
          <w:sz w:val="24"/>
          <w:lang w:val="cs-CZ"/>
        </w:rPr>
        <w:t>https://eur-lex.europa.eu/eli/reg/2024/1143/oj?eliuri=eli%3Areg%3A2024%3A1143%3Aoj&amp;locale=cs</w:t>
      </w:r>
      <w:r w:rsidR="00241EEB">
        <w:rPr>
          <w:rStyle w:val="Hyperlink"/>
          <w:sz w:val="24"/>
          <w:lang w:val="cs-CZ"/>
        </w:rPr>
        <w:fldChar w:fldCharType="end"/>
      </w:r>
      <w:r w:rsidRPr="006D401F">
        <w:rPr>
          <w:sz w:val="24"/>
          <w:lang w:val="cs-CZ"/>
        </w:rPr>
        <w:t>.</w:t>
      </w:r>
    </w:p>
  </w:footnote>
  <w:footnote w:id="10">
    <w:p w14:paraId="244EF7B0" w14:textId="44C7A5AD"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proofErr w:type="spellStart"/>
      <w:r w:rsidRPr="006D401F">
        <w:rPr>
          <w:sz w:val="24"/>
          <w:lang w:val="cs-CZ"/>
        </w:rPr>
        <w:t>Úř</w:t>
      </w:r>
      <w:proofErr w:type="spellEnd"/>
      <w:r w:rsidRPr="006D401F">
        <w:rPr>
          <w:sz w:val="24"/>
          <w:lang w:val="cs-CZ"/>
        </w:rPr>
        <w:t xml:space="preserve">. </w:t>
      </w:r>
      <w:proofErr w:type="spellStart"/>
      <w:r w:rsidRPr="006D401F">
        <w:rPr>
          <w:sz w:val="24"/>
          <w:lang w:val="cs-CZ"/>
        </w:rPr>
        <w:t>věst</w:t>
      </w:r>
      <w:proofErr w:type="spellEnd"/>
      <w:r w:rsidRPr="006D401F">
        <w:rPr>
          <w:sz w:val="24"/>
          <w:lang w:val="cs-CZ"/>
        </w:rPr>
        <w:t>. C 67, 8.2.2022, s. 131.</w:t>
      </w:r>
    </w:p>
  </w:footnote>
  <w:footnote w:id="11">
    <w:p w14:paraId="0480D17D" w14:textId="38D9BC21"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proofErr w:type="spellStart"/>
      <w:r w:rsidRPr="006D401F">
        <w:rPr>
          <w:sz w:val="24"/>
          <w:lang w:val="cs-CZ"/>
        </w:rPr>
        <w:t>Úř</w:t>
      </w:r>
      <w:proofErr w:type="spellEnd"/>
      <w:r w:rsidRPr="006D401F">
        <w:rPr>
          <w:sz w:val="24"/>
          <w:lang w:val="cs-CZ"/>
        </w:rPr>
        <w:t xml:space="preserve">. </w:t>
      </w:r>
      <w:proofErr w:type="spellStart"/>
      <w:r w:rsidRPr="006D401F">
        <w:rPr>
          <w:sz w:val="24"/>
          <w:lang w:val="cs-CZ"/>
        </w:rPr>
        <w:t>věst</w:t>
      </w:r>
      <w:proofErr w:type="spellEnd"/>
      <w:r w:rsidRPr="006D401F">
        <w:rPr>
          <w:sz w:val="24"/>
          <w:lang w:val="cs-CZ"/>
        </w:rPr>
        <w:t xml:space="preserve">. C, C/2023/1063, 15.12.2023, ELI: </w:t>
      </w:r>
      <w:r w:rsidR="00241EEB">
        <w:fldChar w:fldCharType="begin"/>
      </w:r>
      <w:r w:rsidR="00241EEB" w:rsidRPr="00241EEB">
        <w:rPr>
          <w:lang w:val="fi-FI"/>
        </w:rPr>
        <w:instrText>HYPERLINK "https://eur-lex.europa.eu/eli/C/2023/1063/oj?eliuri=eli%3AC%3A2023%3A1063%3Aoj&amp;locale=cs"</w:instrText>
      </w:r>
      <w:r w:rsidR="00241EEB">
        <w:fldChar w:fldCharType="separate"/>
      </w:r>
      <w:r w:rsidRPr="006D401F">
        <w:rPr>
          <w:rStyle w:val="Hyperlink"/>
          <w:sz w:val="24"/>
          <w:lang w:val="cs-CZ"/>
        </w:rPr>
        <w:t>https://eur-lex.europa.eu/eli/C/2023/1063/oj?eliuri=eli%3AC%3A2023%3A1063%3Aoj&amp;locale=cs</w:t>
      </w:r>
      <w:r w:rsidR="00241EEB">
        <w:rPr>
          <w:rStyle w:val="Hyperlink"/>
          <w:sz w:val="24"/>
          <w:lang w:val="cs-CZ"/>
        </w:rPr>
        <w:fldChar w:fldCharType="end"/>
      </w:r>
      <w:r w:rsidRPr="006D401F">
        <w:rPr>
          <w:sz w:val="24"/>
          <w:lang w:val="cs-CZ"/>
        </w:rPr>
        <w:t>.</w:t>
      </w:r>
    </w:p>
  </w:footnote>
  <w:footnote w:id="12">
    <w:p w14:paraId="5CF164E0" w14:textId="3AD3B9B5"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proofErr w:type="spellStart"/>
      <w:r w:rsidRPr="006D401F">
        <w:rPr>
          <w:sz w:val="24"/>
          <w:lang w:val="cs-CZ"/>
        </w:rPr>
        <w:t>Úř</w:t>
      </w:r>
      <w:proofErr w:type="spellEnd"/>
      <w:r w:rsidRPr="006D401F">
        <w:rPr>
          <w:sz w:val="24"/>
          <w:lang w:val="cs-CZ"/>
        </w:rPr>
        <w:t xml:space="preserve">. </w:t>
      </w:r>
      <w:proofErr w:type="spellStart"/>
      <w:r w:rsidRPr="006D401F">
        <w:rPr>
          <w:sz w:val="24"/>
          <w:lang w:val="cs-CZ"/>
        </w:rPr>
        <w:t>věst</w:t>
      </w:r>
      <w:proofErr w:type="spellEnd"/>
      <w:r w:rsidRPr="006D401F">
        <w:rPr>
          <w:sz w:val="24"/>
          <w:lang w:val="cs-CZ"/>
        </w:rPr>
        <w:t>. C 461 I, 15.11.2021, s. 1.</w:t>
      </w:r>
    </w:p>
  </w:footnote>
  <w:footnote w:id="13">
    <w:p w14:paraId="33B7D59E" w14:textId="6C6AE62B"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r w:rsidRPr="006D401F">
        <w:rPr>
          <w:sz w:val="24"/>
          <w:lang w:val="cs-CZ"/>
        </w:rPr>
        <w:t>FAO, „</w:t>
      </w:r>
      <w:proofErr w:type="spellStart"/>
      <w:r w:rsidRPr="006D401F">
        <w:rPr>
          <w:sz w:val="24"/>
          <w:lang w:val="cs-CZ"/>
        </w:rPr>
        <w:t>The</w:t>
      </w:r>
      <w:proofErr w:type="spellEnd"/>
      <w:r w:rsidRPr="006D401F">
        <w:rPr>
          <w:sz w:val="24"/>
          <w:lang w:val="cs-CZ"/>
        </w:rPr>
        <w:t xml:space="preserve"> </w:t>
      </w:r>
      <w:proofErr w:type="spellStart"/>
      <w:r w:rsidRPr="006D401F">
        <w:rPr>
          <w:sz w:val="24"/>
          <w:lang w:val="cs-CZ"/>
        </w:rPr>
        <w:t>State</w:t>
      </w:r>
      <w:proofErr w:type="spellEnd"/>
      <w:r w:rsidRPr="006D401F">
        <w:rPr>
          <w:sz w:val="24"/>
          <w:lang w:val="cs-CZ"/>
        </w:rPr>
        <w:t xml:space="preserve"> </w:t>
      </w:r>
      <w:proofErr w:type="spellStart"/>
      <w:r w:rsidRPr="006D401F">
        <w:rPr>
          <w:sz w:val="24"/>
          <w:lang w:val="cs-CZ"/>
        </w:rPr>
        <w:t>of</w:t>
      </w:r>
      <w:proofErr w:type="spellEnd"/>
      <w:r w:rsidRPr="006D401F">
        <w:rPr>
          <w:sz w:val="24"/>
          <w:lang w:val="cs-CZ"/>
        </w:rPr>
        <w:t xml:space="preserve"> Food and </w:t>
      </w:r>
      <w:proofErr w:type="spellStart"/>
      <w:r w:rsidRPr="006D401F">
        <w:rPr>
          <w:sz w:val="24"/>
          <w:lang w:val="cs-CZ"/>
        </w:rPr>
        <w:t>Agriculture</w:t>
      </w:r>
      <w:proofErr w:type="spellEnd"/>
      <w:r w:rsidRPr="006D401F">
        <w:rPr>
          <w:sz w:val="24"/>
          <w:lang w:val="cs-CZ"/>
        </w:rPr>
        <w:t xml:space="preserve"> 2024 – </w:t>
      </w:r>
      <w:proofErr w:type="spellStart"/>
      <w:r w:rsidRPr="006D401F">
        <w:rPr>
          <w:sz w:val="24"/>
          <w:lang w:val="cs-CZ"/>
        </w:rPr>
        <w:t>Value-driven</w:t>
      </w:r>
      <w:proofErr w:type="spellEnd"/>
      <w:r w:rsidRPr="006D401F">
        <w:rPr>
          <w:sz w:val="24"/>
          <w:lang w:val="cs-CZ"/>
        </w:rPr>
        <w:t xml:space="preserve"> </w:t>
      </w:r>
      <w:proofErr w:type="spellStart"/>
      <w:r w:rsidRPr="006D401F">
        <w:rPr>
          <w:sz w:val="24"/>
          <w:lang w:val="cs-CZ"/>
        </w:rPr>
        <w:t>transformation</w:t>
      </w:r>
      <w:proofErr w:type="spellEnd"/>
      <w:r w:rsidRPr="006D401F">
        <w:rPr>
          <w:sz w:val="24"/>
          <w:lang w:val="cs-CZ"/>
        </w:rPr>
        <w:t xml:space="preserve"> </w:t>
      </w:r>
      <w:proofErr w:type="spellStart"/>
      <w:r w:rsidRPr="006D401F">
        <w:rPr>
          <w:sz w:val="24"/>
          <w:lang w:val="cs-CZ"/>
        </w:rPr>
        <w:t>of</w:t>
      </w:r>
      <w:proofErr w:type="spellEnd"/>
      <w:r w:rsidRPr="006D401F">
        <w:rPr>
          <w:sz w:val="24"/>
          <w:lang w:val="cs-CZ"/>
        </w:rPr>
        <w:t xml:space="preserve"> </w:t>
      </w:r>
      <w:proofErr w:type="spellStart"/>
      <w:r w:rsidRPr="006D401F">
        <w:rPr>
          <w:sz w:val="24"/>
          <w:lang w:val="cs-CZ"/>
        </w:rPr>
        <w:t>agrifood</w:t>
      </w:r>
      <w:proofErr w:type="spellEnd"/>
      <w:r w:rsidRPr="006D401F">
        <w:rPr>
          <w:sz w:val="24"/>
          <w:lang w:val="cs-CZ"/>
        </w:rPr>
        <w:t xml:space="preserve"> </w:t>
      </w:r>
      <w:proofErr w:type="spellStart"/>
      <w:r w:rsidRPr="006D401F">
        <w:rPr>
          <w:sz w:val="24"/>
          <w:lang w:val="cs-CZ"/>
        </w:rPr>
        <w:t>systems</w:t>
      </w:r>
      <w:proofErr w:type="spellEnd"/>
      <w:r w:rsidRPr="006D401F">
        <w:rPr>
          <w:sz w:val="24"/>
          <w:lang w:val="cs-CZ"/>
        </w:rPr>
        <w:t xml:space="preserve">“, Řím, 2024, </w:t>
      </w:r>
      <w:r w:rsidR="00241EEB">
        <w:fldChar w:fldCharType="begin"/>
      </w:r>
      <w:r w:rsidR="00241EEB" w:rsidRPr="00241EEB">
        <w:rPr>
          <w:lang w:val="en-GB"/>
        </w:rPr>
        <w:instrText>HYPERLINK "https://doi.org/10.4060/cd2616en"</w:instrText>
      </w:r>
      <w:r w:rsidR="00241EEB">
        <w:fldChar w:fldCharType="separate"/>
      </w:r>
      <w:r w:rsidRPr="006D401F">
        <w:rPr>
          <w:rStyle w:val="Hyperlink"/>
          <w:sz w:val="24"/>
          <w:lang w:val="cs-CZ"/>
        </w:rPr>
        <w:t>https://doi.org/10.4060/cd2616en</w:t>
      </w:r>
      <w:r w:rsidR="00241EEB">
        <w:rPr>
          <w:rStyle w:val="Hyperlink"/>
          <w:sz w:val="24"/>
          <w:lang w:val="cs-CZ"/>
        </w:rPr>
        <w:fldChar w:fldCharType="end"/>
      </w:r>
      <w:r w:rsidRPr="006D401F">
        <w:rPr>
          <w:sz w:val="24"/>
          <w:lang w:val="cs-CZ"/>
        </w:rPr>
        <w:t xml:space="preserve">. </w:t>
      </w:r>
    </w:p>
  </w:footnote>
  <w:footnote w:id="14">
    <w:p w14:paraId="2E8AEBFC" w14:textId="75DC8025"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proofErr w:type="spellStart"/>
      <w:r w:rsidRPr="006D401F">
        <w:rPr>
          <w:sz w:val="24"/>
          <w:lang w:val="cs-CZ"/>
        </w:rPr>
        <w:t>Úř</w:t>
      </w:r>
      <w:proofErr w:type="spellEnd"/>
      <w:r w:rsidRPr="006D401F">
        <w:rPr>
          <w:sz w:val="24"/>
          <w:lang w:val="cs-CZ"/>
        </w:rPr>
        <w:t xml:space="preserve">. </w:t>
      </w:r>
      <w:proofErr w:type="spellStart"/>
      <w:r w:rsidRPr="006D401F">
        <w:rPr>
          <w:sz w:val="24"/>
          <w:lang w:val="cs-CZ"/>
        </w:rPr>
        <w:t>věst</w:t>
      </w:r>
      <w:proofErr w:type="spellEnd"/>
      <w:r w:rsidRPr="006D401F">
        <w:rPr>
          <w:sz w:val="24"/>
          <w:lang w:val="cs-CZ"/>
        </w:rPr>
        <w:t xml:space="preserve">. C, C/2024/2658, 29.4.2024, ELI: </w:t>
      </w:r>
      <w:r w:rsidR="00241EEB">
        <w:fldChar w:fldCharType="begin"/>
      </w:r>
      <w:r w:rsidR="00241EEB" w:rsidRPr="00241EEB">
        <w:rPr>
          <w:lang w:val="fi-FI"/>
        </w:rPr>
        <w:instrText>HYPERLINK "https://eur-lex.europa.eu/eli/C/2024/2658/oj?eliuri=eli%3AC%3A2024%3A2658%3Aoj&amp;locale=cs"</w:instrText>
      </w:r>
      <w:r w:rsidR="00241EEB">
        <w:fldChar w:fldCharType="separate"/>
      </w:r>
      <w:r w:rsidRPr="006D401F">
        <w:rPr>
          <w:rStyle w:val="Hyperlink"/>
          <w:sz w:val="24"/>
          <w:lang w:val="cs-CZ"/>
        </w:rPr>
        <w:t>https://eur-lex.europa.eu/eli/C/2024/2658/oj?eliuri=eli%3AC%3A2024%3A2658%3Aoj&amp;locale=cs</w:t>
      </w:r>
      <w:r w:rsidR="00241EEB">
        <w:rPr>
          <w:rStyle w:val="Hyperlink"/>
          <w:sz w:val="24"/>
          <w:lang w:val="cs-CZ"/>
        </w:rPr>
        <w:fldChar w:fldCharType="end"/>
      </w:r>
      <w:r w:rsidRPr="006D401F">
        <w:rPr>
          <w:sz w:val="24"/>
          <w:lang w:val="cs-CZ"/>
        </w:rPr>
        <w:t xml:space="preserve">. </w:t>
      </w:r>
    </w:p>
  </w:footnote>
  <w:footnote w:id="15">
    <w:p w14:paraId="228BF75E" w14:textId="02561675"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proofErr w:type="spellStart"/>
      <w:r w:rsidRPr="006D401F">
        <w:rPr>
          <w:sz w:val="24"/>
          <w:lang w:val="cs-CZ"/>
        </w:rPr>
        <w:t>Úř</w:t>
      </w:r>
      <w:proofErr w:type="spellEnd"/>
      <w:r w:rsidRPr="006D401F">
        <w:rPr>
          <w:sz w:val="24"/>
          <w:lang w:val="cs-CZ"/>
        </w:rPr>
        <w:t xml:space="preserve">. </w:t>
      </w:r>
      <w:proofErr w:type="spellStart"/>
      <w:r w:rsidRPr="006D401F">
        <w:rPr>
          <w:sz w:val="24"/>
          <w:lang w:val="cs-CZ"/>
        </w:rPr>
        <w:t>věst</w:t>
      </w:r>
      <w:proofErr w:type="spellEnd"/>
      <w:r w:rsidRPr="006D401F">
        <w:rPr>
          <w:sz w:val="24"/>
          <w:lang w:val="cs-CZ"/>
        </w:rPr>
        <w:t>. C 177, 17.5.2023, s. 35.</w:t>
      </w:r>
    </w:p>
  </w:footnote>
  <w:footnote w:id="16">
    <w:p w14:paraId="6E9D9C4D" w14:textId="42182916"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proofErr w:type="spellStart"/>
      <w:r w:rsidRPr="006D401F">
        <w:rPr>
          <w:sz w:val="24"/>
          <w:lang w:val="cs-CZ"/>
        </w:rPr>
        <w:t>Úř</w:t>
      </w:r>
      <w:proofErr w:type="spellEnd"/>
      <w:r w:rsidRPr="006D401F">
        <w:rPr>
          <w:sz w:val="24"/>
          <w:lang w:val="cs-CZ"/>
        </w:rPr>
        <w:t xml:space="preserve">. </w:t>
      </w:r>
      <w:proofErr w:type="spellStart"/>
      <w:r w:rsidRPr="006D401F">
        <w:rPr>
          <w:sz w:val="24"/>
          <w:lang w:val="cs-CZ"/>
        </w:rPr>
        <w:t>věst</w:t>
      </w:r>
      <w:proofErr w:type="spellEnd"/>
      <w:r w:rsidRPr="006D401F">
        <w:rPr>
          <w:sz w:val="24"/>
          <w:lang w:val="cs-CZ"/>
        </w:rPr>
        <w:t xml:space="preserve">. C, C/2025/1703, 26.3.2025, ELI: </w:t>
      </w:r>
      <w:r w:rsidR="00241EEB">
        <w:fldChar w:fldCharType="begin"/>
      </w:r>
      <w:r w:rsidR="00241EEB" w:rsidRPr="00241EEB">
        <w:rPr>
          <w:lang w:val="fi-FI"/>
        </w:rPr>
        <w:instrText>HYPERLINK "https://eur-lex.europa.eu/eli/C/2025/1703/oj?eliuri=eli%3AC%3A2025%3A1703%3Aoj&amp;locale=cs"</w:instrText>
      </w:r>
      <w:r w:rsidR="00241EEB">
        <w:fldChar w:fldCharType="separate"/>
      </w:r>
      <w:r w:rsidRPr="006D401F">
        <w:rPr>
          <w:rStyle w:val="Hyperlink"/>
          <w:sz w:val="24"/>
          <w:lang w:val="cs-CZ"/>
        </w:rPr>
        <w:t>https://eur-lex.europa.eu/eli/C/2025/1703/oj?eliuri=eli%3AC%3A2025%3A1703%3Aoj&amp;locale=cs</w:t>
      </w:r>
      <w:r w:rsidR="00241EEB">
        <w:rPr>
          <w:rStyle w:val="Hyperlink"/>
          <w:sz w:val="24"/>
          <w:lang w:val="cs-CZ"/>
        </w:rPr>
        <w:fldChar w:fldCharType="end"/>
      </w:r>
      <w:r w:rsidRPr="006D401F">
        <w:rPr>
          <w:sz w:val="24"/>
          <w:lang w:val="cs-CZ"/>
        </w:rPr>
        <w:t xml:space="preserve">. </w:t>
      </w:r>
    </w:p>
  </w:footnote>
  <w:footnote w:id="17">
    <w:p w14:paraId="2F8216EE" w14:textId="29CAC7C6"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proofErr w:type="spellStart"/>
      <w:r w:rsidRPr="006D401F">
        <w:rPr>
          <w:sz w:val="24"/>
          <w:lang w:val="cs-CZ"/>
        </w:rPr>
        <w:t>Úř</w:t>
      </w:r>
      <w:proofErr w:type="spellEnd"/>
      <w:r w:rsidRPr="006D401F">
        <w:rPr>
          <w:sz w:val="24"/>
          <w:lang w:val="cs-CZ"/>
        </w:rPr>
        <w:t xml:space="preserve">. </w:t>
      </w:r>
      <w:proofErr w:type="spellStart"/>
      <w:r w:rsidRPr="006D401F">
        <w:rPr>
          <w:sz w:val="24"/>
          <w:lang w:val="cs-CZ"/>
        </w:rPr>
        <w:t>věst</w:t>
      </w:r>
      <w:proofErr w:type="spellEnd"/>
      <w:r w:rsidRPr="006D401F">
        <w:rPr>
          <w:sz w:val="24"/>
          <w:lang w:val="cs-CZ"/>
        </w:rPr>
        <w:t>. C 283, 11.8.2023, s. 51.</w:t>
      </w:r>
    </w:p>
  </w:footnote>
  <w:footnote w:id="18">
    <w:p w14:paraId="2CB6841A" w14:textId="457C3E42"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proofErr w:type="spellStart"/>
      <w:r w:rsidRPr="006D401F">
        <w:rPr>
          <w:sz w:val="24"/>
          <w:lang w:val="cs-CZ"/>
        </w:rPr>
        <w:t>Úř</w:t>
      </w:r>
      <w:proofErr w:type="spellEnd"/>
      <w:r w:rsidRPr="006D401F">
        <w:rPr>
          <w:sz w:val="24"/>
          <w:lang w:val="cs-CZ"/>
        </w:rPr>
        <w:t xml:space="preserve">. </w:t>
      </w:r>
      <w:proofErr w:type="spellStart"/>
      <w:r w:rsidRPr="006D401F">
        <w:rPr>
          <w:sz w:val="24"/>
          <w:lang w:val="cs-CZ"/>
        </w:rPr>
        <w:t>věst</w:t>
      </w:r>
      <w:proofErr w:type="spellEnd"/>
      <w:r w:rsidRPr="006D401F">
        <w:rPr>
          <w:sz w:val="24"/>
          <w:lang w:val="cs-CZ"/>
        </w:rPr>
        <w:t xml:space="preserve">. C, C/2024/480, 23.1.2024, ELI: </w:t>
      </w:r>
      <w:r w:rsidR="00241EEB">
        <w:fldChar w:fldCharType="begin"/>
      </w:r>
      <w:r w:rsidR="00241EEB" w:rsidRPr="00241EEB">
        <w:rPr>
          <w:lang w:val="fi-FI"/>
        </w:rPr>
        <w:instrText>HYPERLINK "https://eur-lex.europa.eu/eli/C/2024/480/oj?eliuri=eli%3AC%3A2024%3A480%3Aoj&amp;locale=cs"</w:instrText>
      </w:r>
      <w:r w:rsidR="00241EEB">
        <w:fldChar w:fldCharType="separate"/>
      </w:r>
      <w:r w:rsidRPr="006D401F">
        <w:rPr>
          <w:rStyle w:val="Hyperlink"/>
          <w:sz w:val="24"/>
          <w:lang w:val="cs-CZ"/>
        </w:rPr>
        <w:t>https://eur-lex.europa.eu/eli/C/2024/480/oj?eliuri=eli%3AC%3A2024%3A480%3Aoj&amp;locale=cs</w:t>
      </w:r>
      <w:r w:rsidR="00241EEB">
        <w:rPr>
          <w:rStyle w:val="Hyperlink"/>
          <w:sz w:val="24"/>
          <w:lang w:val="cs-CZ"/>
        </w:rPr>
        <w:fldChar w:fldCharType="end"/>
      </w:r>
      <w:r w:rsidRPr="006D401F">
        <w:rPr>
          <w:sz w:val="24"/>
          <w:lang w:val="cs-CZ"/>
        </w:rPr>
        <w:t xml:space="preserve">. </w:t>
      </w:r>
    </w:p>
  </w:footnote>
  <w:footnote w:id="19">
    <w:p w14:paraId="70F6928A" w14:textId="5D70735B"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proofErr w:type="spellStart"/>
      <w:r w:rsidRPr="006D401F">
        <w:rPr>
          <w:sz w:val="24"/>
          <w:lang w:val="cs-CZ"/>
        </w:rPr>
        <w:t>Úř</w:t>
      </w:r>
      <w:proofErr w:type="spellEnd"/>
      <w:r w:rsidRPr="006D401F">
        <w:rPr>
          <w:sz w:val="24"/>
          <w:lang w:val="cs-CZ"/>
        </w:rPr>
        <w:t xml:space="preserve">. </w:t>
      </w:r>
      <w:proofErr w:type="spellStart"/>
      <w:r w:rsidRPr="006D401F">
        <w:rPr>
          <w:sz w:val="24"/>
          <w:lang w:val="cs-CZ"/>
        </w:rPr>
        <w:t>věst</w:t>
      </w:r>
      <w:proofErr w:type="spellEnd"/>
      <w:r w:rsidRPr="006D401F">
        <w:rPr>
          <w:sz w:val="24"/>
          <w:lang w:val="cs-CZ"/>
        </w:rPr>
        <w:t xml:space="preserve">. C, C/2024/483, 23.1.2024, ELI: </w:t>
      </w:r>
      <w:r w:rsidR="00241EEB">
        <w:fldChar w:fldCharType="begin"/>
      </w:r>
      <w:r w:rsidR="00241EEB" w:rsidRPr="00241EEB">
        <w:rPr>
          <w:lang w:val="fi-FI"/>
        </w:rPr>
        <w:instrText>HYPERLINK "https://eur-lex.europa.eu/eli/C/2024/483/oj?eliuri=eli%3AC%3A2024%3A483%3Aoj&amp;locale=cs"</w:instrText>
      </w:r>
      <w:r w:rsidR="00241EEB">
        <w:fldChar w:fldCharType="separate"/>
      </w:r>
      <w:r w:rsidRPr="006D401F">
        <w:rPr>
          <w:rStyle w:val="Hyperlink"/>
          <w:sz w:val="24"/>
          <w:lang w:val="cs-CZ"/>
        </w:rPr>
        <w:t>https://eur-lex.europa.eu/eli/C/2024/483/oj?eliuri=eli%3AC%3A2024%3A483%3Aoj&amp;locale=cs</w:t>
      </w:r>
      <w:r w:rsidR="00241EEB">
        <w:rPr>
          <w:rStyle w:val="Hyperlink"/>
          <w:sz w:val="24"/>
          <w:lang w:val="cs-CZ"/>
        </w:rPr>
        <w:fldChar w:fldCharType="end"/>
      </w:r>
      <w:r w:rsidRPr="006D401F">
        <w:rPr>
          <w:sz w:val="24"/>
          <w:lang w:val="cs-CZ"/>
        </w:rPr>
        <w:t xml:space="preserve">. </w:t>
      </w:r>
    </w:p>
  </w:footnote>
  <w:footnote w:id="20">
    <w:p w14:paraId="3E60A1B5" w14:textId="113F620A"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proofErr w:type="spellStart"/>
      <w:r w:rsidRPr="006D401F">
        <w:rPr>
          <w:sz w:val="24"/>
          <w:lang w:val="cs-CZ"/>
        </w:rPr>
        <w:t>Úř</w:t>
      </w:r>
      <w:proofErr w:type="spellEnd"/>
      <w:r w:rsidRPr="006D401F">
        <w:rPr>
          <w:sz w:val="24"/>
          <w:lang w:val="cs-CZ"/>
        </w:rPr>
        <w:t xml:space="preserve">. </w:t>
      </w:r>
      <w:proofErr w:type="spellStart"/>
      <w:r w:rsidRPr="006D401F">
        <w:rPr>
          <w:sz w:val="24"/>
          <w:lang w:val="cs-CZ"/>
        </w:rPr>
        <w:t>věst</w:t>
      </w:r>
      <w:proofErr w:type="spellEnd"/>
      <w:r w:rsidRPr="006D401F">
        <w:rPr>
          <w:sz w:val="24"/>
          <w:lang w:val="cs-CZ"/>
        </w:rPr>
        <w:t>. C 252, 18.7.2018, s. 184.</w:t>
      </w:r>
    </w:p>
  </w:footnote>
  <w:footnote w:id="21">
    <w:p w14:paraId="1C28740C" w14:textId="01BDDC42"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proofErr w:type="spellStart"/>
      <w:r w:rsidRPr="006D401F">
        <w:rPr>
          <w:sz w:val="24"/>
          <w:lang w:val="cs-CZ"/>
        </w:rPr>
        <w:t>Úř</w:t>
      </w:r>
      <w:proofErr w:type="spellEnd"/>
      <w:r w:rsidRPr="006D401F">
        <w:rPr>
          <w:sz w:val="24"/>
          <w:lang w:val="cs-CZ"/>
        </w:rPr>
        <w:t xml:space="preserve">. </w:t>
      </w:r>
      <w:proofErr w:type="spellStart"/>
      <w:r w:rsidRPr="006D401F">
        <w:rPr>
          <w:sz w:val="24"/>
          <w:lang w:val="cs-CZ"/>
        </w:rPr>
        <w:t>věst</w:t>
      </w:r>
      <w:proofErr w:type="spellEnd"/>
      <w:r w:rsidRPr="006D401F">
        <w:rPr>
          <w:sz w:val="24"/>
          <w:lang w:val="cs-CZ"/>
        </w:rPr>
        <w:t xml:space="preserve">. C, C/2024/5363, 17.9.2024, ELI: </w:t>
      </w:r>
      <w:r w:rsidR="00241EEB">
        <w:fldChar w:fldCharType="begin"/>
      </w:r>
      <w:r w:rsidR="00241EEB" w:rsidRPr="00241EEB">
        <w:rPr>
          <w:lang w:val="fi-FI"/>
        </w:rPr>
        <w:instrText>HYPERLINK "https://eur-lex.europa.eu/eli/C/2024/5363/oj?eliuri=eli%3AC%3A2024%3A5363%3Aoj&amp;locale=cs"</w:instrText>
      </w:r>
      <w:r w:rsidR="00241EEB">
        <w:fldChar w:fldCharType="separate"/>
      </w:r>
      <w:r w:rsidRPr="006D401F">
        <w:rPr>
          <w:rStyle w:val="Hyperlink"/>
          <w:sz w:val="24"/>
          <w:lang w:val="cs-CZ"/>
        </w:rPr>
        <w:t>https://eur-lex.europa.eu/eli/C/2024/5363/oj?eliuri=eli%3AC%3A2024%3A5363%3Aoj&amp;locale=cs</w:t>
      </w:r>
      <w:r w:rsidR="00241EEB">
        <w:rPr>
          <w:rStyle w:val="Hyperlink"/>
          <w:sz w:val="24"/>
          <w:lang w:val="cs-CZ"/>
        </w:rPr>
        <w:fldChar w:fldCharType="end"/>
      </w:r>
      <w:r w:rsidRPr="006D401F">
        <w:rPr>
          <w:sz w:val="24"/>
          <w:lang w:val="cs-CZ"/>
        </w:rPr>
        <w:t xml:space="preserve">. </w:t>
      </w:r>
    </w:p>
  </w:footnote>
  <w:footnote w:id="22">
    <w:p w14:paraId="56F8BB49" w14:textId="79C2103E"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proofErr w:type="spellStart"/>
      <w:r w:rsidRPr="006D401F">
        <w:rPr>
          <w:sz w:val="24"/>
          <w:lang w:val="cs-CZ"/>
        </w:rPr>
        <w:t>Úř</w:t>
      </w:r>
      <w:proofErr w:type="spellEnd"/>
      <w:r w:rsidRPr="006D401F">
        <w:rPr>
          <w:sz w:val="24"/>
          <w:lang w:val="cs-CZ"/>
        </w:rPr>
        <w:t xml:space="preserve">. </w:t>
      </w:r>
      <w:proofErr w:type="spellStart"/>
      <w:r w:rsidRPr="006D401F">
        <w:rPr>
          <w:sz w:val="24"/>
          <w:lang w:val="cs-CZ"/>
        </w:rPr>
        <w:t>věst</w:t>
      </w:r>
      <w:proofErr w:type="spellEnd"/>
      <w:r w:rsidRPr="006D401F">
        <w:rPr>
          <w:sz w:val="24"/>
          <w:lang w:val="cs-CZ"/>
        </w:rPr>
        <w:t xml:space="preserve">. C, C/2024/2099, 26.3.2024, ELI: </w:t>
      </w:r>
      <w:r w:rsidR="00241EEB">
        <w:fldChar w:fldCharType="begin"/>
      </w:r>
      <w:r w:rsidR="00241EEB" w:rsidRPr="00241EEB">
        <w:rPr>
          <w:lang w:val="fi-FI"/>
        </w:rPr>
        <w:instrText>HYPERLINK "https://eur-lex.europa.eu/eli/C/2024/2099/oj?eliuri=eli%3AC%3A2024%3A2099%3Aoj&amp;locale=cs"</w:instrText>
      </w:r>
      <w:r w:rsidR="00241EEB">
        <w:fldChar w:fldCharType="separate"/>
      </w:r>
      <w:r w:rsidRPr="006D401F">
        <w:rPr>
          <w:rStyle w:val="Hyperlink"/>
          <w:sz w:val="24"/>
          <w:lang w:val="cs-CZ"/>
        </w:rPr>
        <w:t>https://eur-lex.europa.eu/eli/C/2024/2099/oj?eliuri=eli%3AC%3A2024%3A2099%3Aoj&amp;locale=cs</w:t>
      </w:r>
      <w:r w:rsidR="00241EEB">
        <w:rPr>
          <w:rStyle w:val="Hyperlink"/>
          <w:sz w:val="24"/>
          <w:lang w:val="cs-CZ"/>
        </w:rPr>
        <w:fldChar w:fldCharType="end"/>
      </w:r>
      <w:r w:rsidRPr="006D401F">
        <w:rPr>
          <w:sz w:val="24"/>
          <w:lang w:val="cs-CZ"/>
        </w:rPr>
        <w:t xml:space="preserve">. </w:t>
      </w:r>
    </w:p>
  </w:footnote>
  <w:footnote w:id="23">
    <w:p w14:paraId="1F35D1F0" w14:textId="11019C98"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r w:rsidRPr="006D401F">
        <w:rPr>
          <w:sz w:val="24"/>
          <w:lang w:val="cs-CZ"/>
        </w:rPr>
        <w:t>Evropská komise: Generální ředitelství pro zemědělství a rozvoj venkova, ECORYS, EEIG AGROSYNERGIE a METIS, „</w:t>
      </w:r>
      <w:proofErr w:type="spellStart"/>
      <w:r w:rsidRPr="006D401F">
        <w:rPr>
          <w:sz w:val="24"/>
          <w:lang w:val="cs-CZ"/>
        </w:rPr>
        <w:t>Evaluation</w:t>
      </w:r>
      <w:proofErr w:type="spellEnd"/>
      <w:r w:rsidRPr="006D401F">
        <w:rPr>
          <w:sz w:val="24"/>
          <w:lang w:val="cs-CZ"/>
        </w:rPr>
        <w:t xml:space="preserve"> support study </w:t>
      </w:r>
      <w:proofErr w:type="spellStart"/>
      <w:r w:rsidRPr="006D401F">
        <w:rPr>
          <w:sz w:val="24"/>
          <w:lang w:val="cs-CZ"/>
        </w:rPr>
        <w:t>of</w:t>
      </w:r>
      <w:proofErr w:type="spellEnd"/>
      <w:r w:rsidRPr="006D401F">
        <w:rPr>
          <w:sz w:val="24"/>
          <w:lang w:val="cs-CZ"/>
        </w:rPr>
        <w:t xml:space="preserve"> </w:t>
      </w:r>
      <w:proofErr w:type="spellStart"/>
      <w:r w:rsidRPr="006D401F">
        <w:rPr>
          <w:sz w:val="24"/>
          <w:lang w:val="cs-CZ"/>
        </w:rPr>
        <w:t>the</w:t>
      </w:r>
      <w:proofErr w:type="spellEnd"/>
      <w:r w:rsidRPr="006D401F">
        <w:rPr>
          <w:sz w:val="24"/>
          <w:lang w:val="cs-CZ"/>
        </w:rPr>
        <w:t xml:space="preserve"> EU support </w:t>
      </w:r>
      <w:proofErr w:type="spellStart"/>
      <w:r w:rsidRPr="006D401F">
        <w:rPr>
          <w:sz w:val="24"/>
          <w:lang w:val="cs-CZ"/>
        </w:rPr>
        <w:t>schemes</w:t>
      </w:r>
      <w:proofErr w:type="spellEnd"/>
      <w:r w:rsidRPr="006D401F">
        <w:rPr>
          <w:sz w:val="24"/>
          <w:lang w:val="cs-CZ"/>
        </w:rPr>
        <w:t xml:space="preserve"> </w:t>
      </w:r>
      <w:proofErr w:type="spellStart"/>
      <w:r w:rsidRPr="006D401F">
        <w:rPr>
          <w:sz w:val="24"/>
          <w:lang w:val="cs-CZ"/>
        </w:rPr>
        <w:t>for</w:t>
      </w:r>
      <w:proofErr w:type="spellEnd"/>
      <w:r w:rsidRPr="006D401F">
        <w:rPr>
          <w:sz w:val="24"/>
          <w:lang w:val="cs-CZ"/>
        </w:rPr>
        <w:t xml:space="preserve"> </w:t>
      </w:r>
      <w:proofErr w:type="spellStart"/>
      <w:r w:rsidRPr="006D401F">
        <w:rPr>
          <w:sz w:val="24"/>
          <w:lang w:val="cs-CZ"/>
        </w:rPr>
        <w:t>agriculture</w:t>
      </w:r>
      <w:proofErr w:type="spellEnd"/>
      <w:r w:rsidRPr="006D401F">
        <w:rPr>
          <w:sz w:val="24"/>
          <w:lang w:val="cs-CZ"/>
        </w:rPr>
        <w:t xml:space="preserve"> in </w:t>
      </w:r>
      <w:proofErr w:type="spellStart"/>
      <w:r w:rsidRPr="006D401F">
        <w:rPr>
          <w:sz w:val="24"/>
          <w:lang w:val="cs-CZ"/>
        </w:rPr>
        <w:t>the</w:t>
      </w:r>
      <w:proofErr w:type="spellEnd"/>
      <w:r w:rsidRPr="006D401F">
        <w:rPr>
          <w:sz w:val="24"/>
          <w:lang w:val="cs-CZ"/>
        </w:rPr>
        <w:t xml:space="preserve"> </w:t>
      </w:r>
      <w:proofErr w:type="spellStart"/>
      <w:r w:rsidRPr="006D401F">
        <w:rPr>
          <w:sz w:val="24"/>
          <w:lang w:val="cs-CZ"/>
        </w:rPr>
        <w:t>outermost</w:t>
      </w:r>
      <w:proofErr w:type="spellEnd"/>
      <w:r w:rsidRPr="006D401F">
        <w:rPr>
          <w:sz w:val="24"/>
          <w:lang w:val="cs-CZ"/>
        </w:rPr>
        <w:t xml:space="preserve"> </w:t>
      </w:r>
      <w:proofErr w:type="spellStart"/>
      <w:r w:rsidRPr="006D401F">
        <w:rPr>
          <w:sz w:val="24"/>
          <w:lang w:val="cs-CZ"/>
        </w:rPr>
        <w:t>regions</w:t>
      </w:r>
      <w:proofErr w:type="spellEnd"/>
      <w:r w:rsidRPr="006D401F">
        <w:rPr>
          <w:sz w:val="24"/>
          <w:lang w:val="cs-CZ"/>
        </w:rPr>
        <w:t xml:space="preserve"> (POSEI) and </w:t>
      </w:r>
      <w:proofErr w:type="spellStart"/>
      <w:r w:rsidRPr="006D401F">
        <w:rPr>
          <w:sz w:val="24"/>
          <w:lang w:val="cs-CZ"/>
        </w:rPr>
        <w:t>small</w:t>
      </w:r>
      <w:proofErr w:type="spellEnd"/>
      <w:r w:rsidRPr="006D401F">
        <w:rPr>
          <w:sz w:val="24"/>
          <w:lang w:val="cs-CZ"/>
        </w:rPr>
        <w:t xml:space="preserve"> </w:t>
      </w:r>
      <w:proofErr w:type="spellStart"/>
      <w:r w:rsidRPr="006D401F">
        <w:rPr>
          <w:sz w:val="24"/>
          <w:lang w:val="cs-CZ"/>
        </w:rPr>
        <w:t>Aegean</w:t>
      </w:r>
      <w:proofErr w:type="spellEnd"/>
      <w:r w:rsidRPr="006D401F">
        <w:rPr>
          <w:sz w:val="24"/>
          <w:lang w:val="cs-CZ"/>
        </w:rPr>
        <w:t xml:space="preserve"> </w:t>
      </w:r>
      <w:proofErr w:type="spellStart"/>
      <w:r w:rsidRPr="006D401F">
        <w:rPr>
          <w:sz w:val="24"/>
          <w:lang w:val="cs-CZ"/>
        </w:rPr>
        <w:t>Islands</w:t>
      </w:r>
      <w:proofErr w:type="spellEnd"/>
      <w:r w:rsidRPr="006D401F">
        <w:rPr>
          <w:sz w:val="24"/>
          <w:lang w:val="cs-CZ"/>
        </w:rPr>
        <w:t xml:space="preserve"> (SAI) – </w:t>
      </w:r>
      <w:proofErr w:type="spellStart"/>
      <w:r w:rsidRPr="006D401F">
        <w:rPr>
          <w:sz w:val="24"/>
          <w:lang w:val="cs-CZ"/>
        </w:rPr>
        <w:t>Final</w:t>
      </w:r>
      <w:proofErr w:type="spellEnd"/>
      <w:r w:rsidRPr="006D401F">
        <w:rPr>
          <w:sz w:val="24"/>
          <w:lang w:val="cs-CZ"/>
        </w:rPr>
        <w:t xml:space="preserve"> report“ („Studie na podporu hodnocení režimů podpory EU pro zemědělství v nejvzdálenějších regionech (POSEI) a menších ostrovech v Egejském moři (SAI) – závěrečná zpráva“), Úřad pro publikace Evropské unie, 2024, </w:t>
      </w:r>
      <w:r w:rsidR="00241EEB">
        <w:fldChar w:fldCharType="begin"/>
      </w:r>
      <w:r w:rsidR="00241EEB" w:rsidRPr="00241EEB">
        <w:rPr>
          <w:lang w:val="cs-CZ"/>
        </w:rPr>
        <w:instrText>HYPERLINK "https://data.europa.eu/doi/10.2762/926041"</w:instrText>
      </w:r>
      <w:r w:rsidR="00241EEB">
        <w:fldChar w:fldCharType="separate"/>
      </w:r>
      <w:r w:rsidRPr="006D401F">
        <w:rPr>
          <w:rStyle w:val="Hyperlink"/>
          <w:sz w:val="24"/>
          <w:lang w:val="cs-CZ"/>
        </w:rPr>
        <w:t>https://data.europa.eu/doi/10.2762/926041</w:t>
      </w:r>
      <w:r w:rsidR="00241EEB">
        <w:rPr>
          <w:rStyle w:val="Hyperlink"/>
          <w:sz w:val="24"/>
          <w:lang w:val="cs-CZ"/>
        </w:rPr>
        <w:fldChar w:fldCharType="end"/>
      </w:r>
      <w:r w:rsidRPr="006D401F">
        <w:rPr>
          <w:sz w:val="24"/>
          <w:lang w:val="cs-CZ"/>
        </w:rPr>
        <w:t xml:space="preserve">. </w:t>
      </w:r>
    </w:p>
  </w:footnote>
  <w:footnote w:id="24">
    <w:p w14:paraId="6EC3A5AC" w14:textId="2CF1C5AB"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r w:rsidRPr="006D401F">
        <w:rPr>
          <w:sz w:val="24"/>
          <w:lang w:val="cs-CZ"/>
        </w:rPr>
        <w:t xml:space="preserve">Evropská centrální banka, „Makroekonomické projekce pracovníků </w:t>
      </w:r>
      <w:proofErr w:type="spellStart"/>
      <w:r w:rsidRPr="006D401F">
        <w:rPr>
          <w:sz w:val="24"/>
          <w:lang w:val="cs-CZ"/>
        </w:rPr>
        <w:t>Eurosystému</w:t>
      </w:r>
      <w:proofErr w:type="spellEnd"/>
      <w:r w:rsidRPr="006D401F">
        <w:rPr>
          <w:sz w:val="24"/>
          <w:lang w:val="cs-CZ"/>
        </w:rPr>
        <w:t xml:space="preserve"> z června 2025“, </w:t>
      </w:r>
      <w:r w:rsidR="00241EEB">
        <w:fldChar w:fldCharType="begin"/>
      </w:r>
      <w:r w:rsidR="00241EEB" w:rsidRPr="00241EEB">
        <w:rPr>
          <w:lang w:val="cs-CZ"/>
        </w:rPr>
        <w:instrText>HYPERLINK "https://www.ecb.europa.eu/press/projections/html/ecb.projections202506_eurosystemstaff~16a68fbaf4.cs.html"</w:instrText>
      </w:r>
      <w:r w:rsidR="00241EEB">
        <w:fldChar w:fldCharType="separate"/>
      </w:r>
      <w:r w:rsidRPr="006D401F">
        <w:rPr>
          <w:rStyle w:val="Hyperlink"/>
          <w:sz w:val="24"/>
          <w:lang w:val="cs-CZ"/>
        </w:rPr>
        <w:t>https://www.ecb.europa.eu/press/projections/html/ecb.projections202506_eurosystemstaff~16a68fbaf4.en.html</w:t>
      </w:r>
      <w:r w:rsidR="00241EEB">
        <w:rPr>
          <w:rStyle w:val="Hyperlink"/>
          <w:sz w:val="24"/>
          <w:lang w:val="cs-CZ"/>
        </w:rPr>
        <w:fldChar w:fldCharType="end"/>
      </w:r>
      <w:r w:rsidRPr="006D401F">
        <w:rPr>
          <w:sz w:val="24"/>
          <w:lang w:val="cs-CZ"/>
        </w:rPr>
        <w:t xml:space="preserve">. </w:t>
      </w:r>
    </w:p>
  </w:footnote>
  <w:footnote w:id="25">
    <w:p w14:paraId="62B7AE3E" w14:textId="70A5B9B4"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proofErr w:type="spellStart"/>
      <w:r w:rsidRPr="006D401F">
        <w:rPr>
          <w:sz w:val="24"/>
          <w:lang w:val="cs-CZ"/>
        </w:rPr>
        <w:t>Ciechanover</w:t>
      </w:r>
      <w:proofErr w:type="spellEnd"/>
      <w:r w:rsidRPr="006D401F">
        <w:rPr>
          <w:sz w:val="24"/>
          <w:lang w:val="cs-CZ"/>
        </w:rPr>
        <w:t xml:space="preserve">, A., </w:t>
      </w:r>
      <w:proofErr w:type="spellStart"/>
      <w:r w:rsidRPr="006D401F">
        <w:rPr>
          <w:sz w:val="24"/>
          <w:lang w:val="cs-CZ"/>
        </w:rPr>
        <w:t>Yonath</w:t>
      </w:r>
      <w:proofErr w:type="spellEnd"/>
      <w:r w:rsidRPr="006D401F">
        <w:rPr>
          <w:sz w:val="24"/>
          <w:lang w:val="cs-CZ"/>
        </w:rPr>
        <w:t xml:space="preserve">, A. E., </w:t>
      </w:r>
      <w:proofErr w:type="spellStart"/>
      <w:r w:rsidRPr="006D401F">
        <w:rPr>
          <w:sz w:val="24"/>
          <w:lang w:val="cs-CZ"/>
        </w:rPr>
        <w:t>Riess</w:t>
      </w:r>
      <w:proofErr w:type="spellEnd"/>
      <w:r w:rsidRPr="006D401F">
        <w:rPr>
          <w:sz w:val="24"/>
          <w:lang w:val="cs-CZ"/>
        </w:rPr>
        <w:t xml:space="preserve">, A. G., </w:t>
      </w:r>
      <w:proofErr w:type="spellStart"/>
      <w:r w:rsidRPr="006D401F">
        <w:rPr>
          <w:sz w:val="24"/>
          <w:lang w:val="cs-CZ"/>
        </w:rPr>
        <w:t>Adesina</w:t>
      </w:r>
      <w:proofErr w:type="spellEnd"/>
      <w:r w:rsidRPr="006D401F">
        <w:rPr>
          <w:sz w:val="24"/>
          <w:lang w:val="cs-CZ"/>
        </w:rPr>
        <w:t xml:space="preserve">, A. A., </w:t>
      </w:r>
      <w:proofErr w:type="spellStart"/>
      <w:r w:rsidRPr="006D401F">
        <w:rPr>
          <w:sz w:val="24"/>
          <w:lang w:val="cs-CZ"/>
        </w:rPr>
        <w:t>Heeger</w:t>
      </w:r>
      <w:proofErr w:type="spellEnd"/>
      <w:r w:rsidRPr="006D401F">
        <w:rPr>
          <w:sz w:val="24"/>
          <w:lang w:val="cs-CZ"/>
        </w:rPr>
        <w:t xml:space="preserve">, A., </w:t>
      </w:r>
      <w:proofErr w:type="spellStart"/>
      <w:r w:rsidRPr="006D401F">
        <w:rPr>
          <w:sz w:val="24"/>
          <w:lang w:val="cs-CZ"/>
        </w:rPr>
        <w:t>Fert</w:t>
      </w:r>
      <w:proofErr w:type="spellEnd"/>
      <w:r w:rsidRPr="006D401F">
        <w:rPr>
          <w:sz w:val="24"/>
          <w:lang w:val="cs-CZ"/>
        </w:rPr>
        <w:t xml:space="preserve">, A., </w:t>
      </w:r>
      <w:proofErr w:type="spellStart"/>
      <w:r w:rsidRPr="006D401F">
        <w:rPr>
          <w:sz w:val="24"/>
          <w:lang w:val="cs-CZ"/>
        </w:rPr>
        <w:t>Leggett</w:t>
      </w:r>
      <w:proofErr w:type="spellEnd"/>
      <w:r w:rsidRPr="006D401F">
        <w:rPr>
          <w:sz w:val="24"/>
          <w:lang w:val="cs-CZ"/>
        </w:rPr>
        <w:t xml:space="preserve">, A. J., </w:t>
      </w:r>
      <w:proofErr w:type="spellStart"/>
      <w:r w:rsidRPr="006D401F">
        <w:rPr>
          <w:sz w:val="24"/>
          <w:lang w:val="cs-CZ"/>
        </w:rPr>
        <w:t>Zeilinger</w:t>
      </w:r>
      <w:proofErr w:type="spellEnd"/>
      <w:r w:rsidRPr="006D401F">
        <w:rPr>
          <w:sz w:val="24"/>
          <w:lang w:val="cs-CZ"/>
        </w:rPr>
        <w:t xml:space="preserve">, A., </w:t>
      </w:r>
      <w:proofErr w:type="spellStart"/>
      <w:r w:rsidRPr="006D401F">
        <w:rPr>
          <w:sz w:val="24"/>
          <w:lang w:val="cs-CZ"/>
        </w:rPr>
        <w:t>Patapoutian</w:t>
      </w:r>
      <w:proofErr w:type="spellEnd"/>
      <w:r w:rsidRPr="006D401F">
        <w:rPr>
          <w:sz w:val="24"/>
          <w:lang w:val="cs-CZ"/>
        </w:rPr>
        <w:t xml:space="preserve">, A., </w:t>
      </w:r>
      <w:proofErr w:type="spellStart"/>
      <w:r w:rsidRPr="006D401F">
        <w:rPr>
          <w:sz w:val="24"/>
          <w:lang w:val="cs-CZ"/>
        </w:rPr>
        <w:t>Warshel</w:t>
      </w:r>
      <w:proofErr w:type="spellEnd"/>
      <w:r w:rsidRPr="006D401F">
        <w:rPr>
          <w:sz w:val="24"/>
          <w:lang w:val="cs-CZ"/>
        </w:rPr>
        <w:t xml:space="preserve">, A., McDonald, A. B., </w:t>
      </w:r>
      <w:proofErr w:type="spellStart"/>
      <w:r w:rsidRPr="006D401F">
        <w:rPr>
          <w:sz w:val="24"/>
          <w:lang w:val="cs-CZ"/>
        </w:rPr>
        <w:t>Hershko</w:t>
      </w:r>
      <w:proofErr w:type="spellEnd"/>
      <w:r w:rsidRPr="006D401F">
        <w:rPr>
          <w:sz w:val="24"/>
          <w:lang w:val="cs-CZ"/>
        </w:rPr>
        <w:t xml:space="preserve">, A., </w:t>
      </w:r>
      <w:proofErr w:type="spellStart"/>
      <w:r w:rsidRPr="006D401F">
        <w:rPr>
          <w:sz w:val="24"/>
          <w:lang w:val="cs-CZ"/>
        </w:rPr>
        <w:t>Barish</w:t>
      </w:r>
      <w:proofErr w:type="spellEnd"/>
      <w:r w:rsidRPr="006D401F">
        <w:rPr>
          <w:sz w:val="24"/>
          <w:lang w:val="cs-CZ"/>
        </w:rPr>
        <w:t xml:space="preserve">, B. C., </w:t>
      </w:r>
      <w:proofErr w:type="spellStart"/>
      <w:r w:rsidRPr="006D401F">
        <w:rPr>
          <w:sz w:val="24"/>
          <w:lang w:val="cs-CZ"/>
        </w:rPr>
        <w:t>Marshall</w:t>
      </w:r>
      <w:proofErr w:type="spellEnd"/>
      <w:r w:rsidRPr="006D401F">
        <w:rPr>
          <w:sz w:val="24"/>
          <w:lang w:val="cs-CZ"/>
        </w:rPr>
        <w:t xml:space="preserve">, B. J., </w:t>
      </w:r>
      <w:proofErr w:type="spellStart"/>
      <w:r w:rsidRPr="006D401F">
        <w:rPr>
          <w:sz w:val="24"/>
          <w:lang w:val="cs-CZ"/>
        </w:rPr>
        <w:t>Kobilka</w:t>
      </w:r>
      <w:proofErr w:type="spellEnd"/>
      <w:r w:rsidRPr="006D401F">
        <w:rPr>
          <w:sz w:val="24"/>
          <w:lang w:val="cs-CZ"/>
        </w:rPr>
        <w:t xml:space="preserve">, B. K., &amp; </w:t>
      </w:r>
      <w:proofErr w:type="spellStart"/>
      <w:r w:rsidRPr="006D401F">
        <w:rPr>
          <w:sz w:val="24"/>
          <w:lang w:val="cs-CZ"/>
        </w:rPr>
        <w:t>others</w:t>
      </w:r>
      <w:proofErr w:type="spellEnd"/>
      <w:r w:rsidRPr="006D401F">
        <w:rPr>
          <w:sz w:val="24"/>
          <w:lang w:val="cs-CZ"/>
        </w:rPr>
        <w:t>. (2025). „</w:t>
      </w:r>
      <w:proofErr w:type="spellStart"/>
      <w:r w:rsidRPr="006D401F">
        <w:rPr>
          <w:sz w:val="24"/>
          <w:lang w:val="cs-CZ"/>
        </w:rPr>
        <w:t>Laureate</w:t>
      </w:r>
      <w:proofErr w:type="spellEnd"/>
      <w:r w:rsidRPr="006D401F">
        <w:rPr>
          <w:sz w:val="24"/>
          <w:lang w:val="cs-CZ"/>
        </w:rPr>
        <w:t xml:space="preserve"> </w:t>
      </w:r>
      <w:proofErr w:type="spellStart"/>
      <w:r w:rsidRPr="006D401F">
        <w:rPr>
          <w:sz w:val="24"/>
          <w:lang w:val="cs-CZ"/>
        </w:rPr>
        <w:t>letter</w:t>
      </w:r>
      <w:proofErr w:type="spellEnd"/>
      <w:r w:rsidRPr="006D401F">
        <w:rPr>
          <w:sz w:val="24"/>
          <w:lang w:val="cs-CZ"/>
        </w:rPr>
        <w:t xml:space="preserve"> 2025: </w:t>
      </w:r>
      <w:proofErr w:type="spellStart"/>
      <w:r w:rsidRPr="006D401F">
        <w:rPr>
          <w:sz w:val="24"/>
          <w:lang w:val="cs-CZ"/>
        </w:rPr>
        <w:t>Hunger’s</w:t>
      </w:r>
      <w:proofErr w:type="spellEnd"/>
      <w:r w:rsidRPr="006D401F">
        <w:rPr>
          <w:sz w:val="24"/>
          <w:lang w:val="cs-CZ"/>
        </w:rPr>
        <w:t xml:space="preserve"> </w:t>
      </w:r>
      <w:proofErr w:type="spellStart"/>
      <w:r w:rsidRPr="006D401F">
        <w:rPr>
          <w:sz w:val="24"/>
          <w:lang w:val="cs-CZ"/>
        </w:rPr>
        <w:t>tipping</w:t>
      </w:r>
      <w:proofErr w:type="spellEnd"/>
      <w:r w:rsidRPr="006D401F">
        <w:rPr>
          <w:sz w:val="24"/>
          <w:lang w:val="cs-CZ"/>
        </w:rPr>
        <w:t xml:space="preserve"> point – An urgent call to </w:t>
      </w:r>
      <w:proofErr w:type="spellStart"/>
      <w:r w:rsidRPr="006D401F">
        <w:rPr>
          <w:sz w:val="24"/>
          <w:lang w:val="cs-CZ"/>
        </w:rPr>
        <w:t>transform</w:t>
      </w:r>
      <w:proofErr w:type="spellEnd"/>
      <w:r w:rsidRPr="006D401F">
        <w:rPr>
          <w:sz w:val="24"/>
          <w:lang w:val="cs-CZ"/>
        </w:rPr>
        <w:t xml:space="preserve"> food and </w:t>
      </w:r>
      <w:proofErr w:type="spellStart"/>
      <w:r w:rsidRPr="006D401F">
        <w:rPr>
          <w:sz w:val="24"/>
          <w:lang w:val="cs-CZ"/>
        </w:rPr>
        <w:t>nutrition</w:t>
      </w:r>
      <w:proofErr w:type="spellEnd"/>
      <w:r w:rsidRPr="006D401F">
        <w:rPr>
          <w:sz w:val="24"/>
          <w:lang w:val="cs-CZ"/>
        </w:rPr>
        <w:t xml:space="preserve"> </w:t>
      </w:r>
      <w:proofErr w:type="spellStart"/>
      <w:r w:rsidRPr="006D401F">
        <w:rPr>
          <w:sz w:val="24"/>
          <w:lang w:val="cs-CZ"/>
        </w:rPr>
        <w:t>security</w:t>
      </w:r>
      <w:proofErr w:type="spellEnd"/>
      <w:r w:rsidRPr="006D401F">
        <w:rPr>
          <w:sz w:val="24"/>
          <w:lang w:val="cs-CZ"/>
        </w:rPr>
        <w:t xml:space="preserve">“, 2025.  </w:t>
      </w:r>
    </w:p>
  </w:footnote>
  <w:footnote w:id="26">
    <w:p w14:paraId="3BA47CFB" w14:textId="35A3A4F8"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r w:rsidRPr="006D401F">
        <w:rPr>
          <w:sz w:val="24"/>
          <w:lang w:val="cs-CZ"/>
        </w:rPr>
        <w:t xml:space="preserve">Evropská komise: Generální ředitelství pro zemědělství a rozvoj venkova, „EU </w:t>
      </w:r>
      <w:proofErr w:type="spellStart"/>
      <w:r w:rsidRPr="006D401F">
        <w:rPr>
          <w:sz w:val="24"/>
          <w:lang w:val="cs-CZ"/>
        </w:rPr>
        <w:t>agricultural</w:t>
      </w:r>
      <w:proofErr w:type="spellEnd"/>
      <w:r w:rsidRPr="006D401F">
        <w:rPr>
          <w:sz w:val="24"/>
          <w:lang w:val="cs-CZ"/>
        </w:rPr>
        <w:t xml:space="preserve"> </w:t>
      </w:r>
      <w:proofErr w:type="spellStart"/>
      <w:r w:rsidRPr="006D401F">
        <w:rPr>
          <w:sz w:val="24"/>
          <w:lang w:val="cs-CZ"/>
        </w:rPr>
        <w:t>outlook</w:t>
      </w:r>
      <w:proofErr w:type="spellEnd"/>
      <w:r w:rsidRPr="006D401F">
        <w:rPr>
          <w:sz w:val="24"/>
          <w:lang w:val="cs-CZ"/>
        </w:rPr>
        <w:t xml:space="preserve"> 2024–2035“, Úřad pro publikace Evropské unie, Lucemburk, 2024, doi:10.2762/2329210.</w:t>
      </w:r>
    </w:p>
  </w:footnote>
  <w:footnote w:id="27">
    <w:p w14:paraId="305B77B6" w14:textId="2FCB3A45"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proofErr w:type="spellStart"/>
      <w:r w:rsidRPr="006D401F">
        <w:rPr>
          <w:sz w:val="24"/>
          <w:lang w:val="cs-CZ"/>
        </w:rPr>
        <w:t>Eurostat</w:t>
      </w:r>
      <w:proofErr w:type="spellEnd"/>
      <w:r w:rsidRPr="006D401F">
        <w:rPr>
          <w:sz w:val="24"/>
          <w:lang w:val="cs-CZ"/>
        </w:rPr>
        <w:t>, „</w:t>
      </w:r>
      <w:proofErr w:type="spellStart"/>
      <w:r w:rsidRPr="006D401F">
        <w:rPr>
          <w:sz w:val="24"/>
          <w:lang w:val="cs-CZ"/>
        </w:rPr>
        <w:t>Agriculture</w:t>
      </w:r>
      <w:proofErr w:type="spellEnd"/>
      <w:r w:rsidRPr="006D401F">
        <w:rPr>
          <w:sz w:val="24"/>
          <w:lang w:val="cs-CZ"/>
        </w:rPr>
        <w:t xml:space="preserve"> </w:t>
      </w:r>
      <w:proofErr w:type="spellStart"/>
      <w:proofErr w:type="gramStart"/>
      <w:r w:rsidRPr="006D401F">
        <w:rPr>
          <w:sz w:val="24"/>
          <w:lang w:val="cs-CZ"/>
        </w:rPr>
        <w:t>statistics</w:t>
      </w:r>
      <w:proofErr w:type="spellEnd"/>
      <w:r w:rsidRPr="006D401F">
        <w:rPr>
          <w:sz w:val="24"/>
          <w:lang w:val="cs-CZ"/>
        </w:rPr>
        <w:t xml:space="preserve"> - </w:t>
      </w:r>
      <w:proofErr w:type="spellStart"/>
      <w:r w:rsidRPr="006D401F">
        <w:rPr>
          <w:sz w:val="24"/>
          <w:lang w:val="cs-CZ"/>
        </w:rPr>
        <w:t>family</w:t>
      </w:r>
      <w:proofErr w:type="spellEnd"/>
      <w:proofErr w:type="gramEnd"/>
      <w:r w:rsidRPr="006D401F">
        <w:rPr>
          <w:sz w:val="24"/>
          <w:lang w:val="cs-CZ"/>
        </w:rPr>
        <w:t xml:space="preserve"> </w:t>
      </w:r>
      <w:proofErr w:type="spellStart"/>
      <w:r w:rsidRPr="006D401F">
        <w:rPr>
          <w:sz w:val="24"/>
          <w:lang w:val="cs-CZ"/>
        </w:rPr>
        <w:t>farming</w:t>
      </w:r>
      <w:proofErr w:type="spellEnd"/>
      <w:r w:rsidRPr="006D401F">
        <w:rPr>
          <w:sz w:val="24"/>
          <w:lang w:val="cs-CZ"/>
        </w:rPr>
        <w:t xml:space="preserve"> in </w:t>
      </w:r>
      <w:proofErr w:type="spellStart"/>
      <w:r w:rsidRPr="006D401F">
        <w:rPr>
          <w:sz w:val="24"/>
          <w:lang w:val="cs-CZ"/>
        </w:rPr>
        <w:t>the</w:t>
      </w:r>
      <w:proofErr w:type="spellEnd"/>
      <w:r w:rsidRPr="006D401F">
        <w:rPr>
          <w:sz w:val="24"/>
          <w:lang w:val="cs-CZ"/>
        </w:rPr>
        <w:t xml:space="preserve"> EU“, </w:t>
      </w:r>
      <w:hyperlink r:id="rId1" w:history="1">
        <w:r w:rsidRPr="00FB1054">
          <w:rPr>
            <w:rStyle w:val="Hyperlink"/>
            <w:sz w:val="24"/>
            <w:lang w:val="cs-CZ"/>
          </w:rPr>
          <w:t>https://ec.europa.eu/eurostat/statistics-explained/index.php?title=Agriculture_statistics_-_family_farming_in_the_EU</w:t>
        </w:r>
      </w:hyperlink>
      <w:r w:rsidRPr="006D401F">
        <w:rPr>
          <w:sz w:val="24"/>
          <w:lang w:val="cs-CZ"/>
        </w:rPr>
        <w:t>.</w:t>
      </w:r>
    </w:p>
  </w:footnote>
  <w:footnote w:id="28">
    <w:p w14:paraId="400C4261" w14:textId="7C276A79"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r w:rsidRPr="006D401F">
        <w:rPr>
          <w:sz w:val="24"/>
          <w:lang w:val="cs-CZ"/>
        </w:rPr>
        <w:t>Směrnice Evropského parlamentu a Rady (EU) 2019/633 ze dne 17. dubna 2019 o nekalých obchodních praktikách mezi podniky v zemědělském a potravinovém řetězci, (</w:t>
      </w:r>
      <w:proofErr w:type="spellStart"/>
      <w:r w:rsidRPr="006D401F">
        <w:rPr>
          <w:sz w:val="24"/>
          <w:lang w:val="cs-CZ"/>
        </w:rPr>
        <w:t>Úř</w:t>
      </w:r>
      <w:proofErr w:type="spellEnd"/>
      <w:r w:rsidRPr="006D401F">
        <w:rPr>
          <w:sz w:val="24"/>
          <w:lang w:val="cs-CZ"/>
        </w:rPr>
        <w:t xml:space="preserve">. </w:t>
      </w:r>
      <w:proofErr w:type="spellStart"/>
      <w:r w:rsidRPr="006D401F">
        <w:rPr>
          <w:sz w:val="24"/>
          <w:lang w:val="cs-CZ"/>
        </w:rPr>
        <w:t>věst</w:t>
      </w:r>
      <w:proofErr w:type="spellEnd"/>
      <w:r w:rsidRPr="006D401F">
        <w:rPr>
          <w:sz w:val="24"/>
          <w:lang w:val="cs-CZ"/>
        </w:rPr>
        <w:t xml:space="preserve">. L 111, 25.4.2019, s. 59, ELI: </w:t>
      </w:r>
      <w:r w:rsidR="00241EEB">
        <w:fldChar w:fldCharType="begin"/>
      </w:r>
      <w:r w:rsidR="00241EEB" w:rsidRPr="00241EEB">
        <w:rPr>
          <w:lang w:val="fi-FI"/>
        </w:rPr>
        <w:instrText>HYPERLINK "https://eur-lex.europa.eu/eli/dir/2019/633/oj?eliuri=eli%3Adir%3A2019%3A633%3Aoj&amp;locale=cs"</w:instrText>
      </w:r>
      <w:r w:rsidR="00241EEB">
        <w:fldChar w:fldCharType="separate"/>
      </w:r>
      <w:r w:rsidRPr="006D401F">
        <w:rPr>
          <w:rStyle w:val="Hyperlink"/>
          <w:sz w:val="24"/>
          <w:lang w:val="cs-CZ"/>
        </w:rPr>
        <w:t>https://eur-lex.europa.eu/eli/dir/2019/633/oj?eliuri=eli%3Adir%3A2019%3A633%3Aoj&amp;locale=cs</w:t>
      </w:r>
      <w:r w:rsidR="00241EEB">
        <w:rPr>
          <w:rStyle w:val="Hyperlink"/>
          <w:sz w:val="24"/>
          <w:lang w:val="cs-CZ"/>
        </w:rPr>
        <w:fldChar w:fldCharType="end"/>
      </w:r>
      <w:r w:rsidRPr="006D401F">
        <w:rPr>
          <w:sz w:val="24"/>
          <w:lang w:val="cs-CZ"/>
        </w:rPr>
        <w:t xml:space="preserve">). </w:t>
      </w:r>
    </w:p>
  </w:footnote>
  <w:footnote w:id="29">
    <w:p w14:paraId="315B6519" w14:textId="4B6E0EDA"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r w:rsidRPr="006D401F">
        <w:rPr>
          <w:sz w:val="24"/>
          <w:lang w:val="cs-CZ"/>
        </w:rPr>
        <w:t xml:space="preserve">Směrnice Evropského parlamentu a Rady (EU) 2023/2413 ze dne 18. října 2023, kterou se mění směrnice (EU) 2018/2001, nařízení (EU) 2018/1999 a směrnice 98/70/ES, pokud jde o podporu energie z obnovitelných zdrojů, a zrušuje směrnice Rady (EU) 2015/652 </w:t>
      </w:r>
      <w:r w:rsidR="00E61C9E">
        <w:rPr>
          <w:sz w:val="24"/>
          <w:lang w:val="cs-CZ"/>
        </w:rPr>
        <w:t>(</w:t>
      </w:r>
      <w:proofErr w:type="spellStart"/>
      <w:r w:rsidRPr="006D401F">
        <w:rPr>
          <w:sz w:val="24"/>
          <w:lang w:val="cs-CZ"/>
        </w:rPr>
        <w:t>Úř</w:t>
      </w:r>
      <w:proofErr w:type="spellEnd"/>
      <w:r w:rsidRPr="006D401F">
        <w:rPr>
          <w:sz w:val="24"/>
          <w:lang w:val="cs-CZ"/>
        </w:rPr>
        <w:t xml:space="preserve">. </w:t>
      </w:r>
      <w:proofErr w:type="spellStart"/>
      <w:r w:rsidRPr="006D401F">
        <w:rPr>
          <w:sz w:val="24"/>
          <w:lang w:val="cs-CZ"/>
        </w:rPr>
        <w:t>věst</w:t>
      </w:r>
      <w:proofErr w:type="spellEnd"/>
      <w:r w:rsidRPr="006D401F">
        <w:rPr>
          <w:sz w:val="24"/>
          <w:lang w:val="cs-CZ"/>
        </w:rPr>
        <w:t xml:space="preserve">. L, 2023/2413, 31.10.2023, ELI: </w:t>
      </w:r>
      <w:r w:rsidR="00241EEB">
        <w:fldChar w:fldCharType="begin"/>
      </w:r>
      <w:r w:rsidR="00241EEB" w:rsidRPr="00241EEB">
        <w:rPr>
          <w:lang w:val="fi-FI"/>
        </w:rPr>
        <w:instrText>HYPERLINK "https://eur-lex.europa.eu/eli/dir/2023/2413/oj?eliuri=eli%3Adir%3A2023%3A2413%3Aoj&amp;locale=cs"</w:instrText>
      </w:r>
      <w:r w:rsidR="00241EEB">
        <w:fldChar w:fldCharType="separate"/>
      </w:r>
      <w:r w:rsidRPr="006D401F">
        <w:rPr>
          <w:rStyle w:val="Hyperlink"/>
          <w:sz w:val="24"/>
          <w:lang w:val="cs-CZ"/>
        </w:rPr>
        <w:t>https://eur-lex.europa.eu/eli/dir/2023/2413/oj?eliuri=eli%3Adir%3A2023%3A2413%3Aoj&amp;locale=cs</w:t>
      </w:r>
      <w:r w:rsidR="00241EEB">
        <w:rPr>
          <w:rStyle w:val="Hyperlink"/>
          <w:sz w:val="24"/>
          <w:lang w:val="cs-CZ"/>
        </w:rPr>
        <w:fldChar w:fldCharType="end"/>
      </w:r>
      <w:r w:rsidR="00E61C9E">
        <w:rPr>
          <w:rStyle w:val="Hyperlink"/>
          <w:sz w:val="24"/>
          <w:lang w:val="cs-CZ"/>
        </w:rPr>
        <w:t>)</w:t>
      </w:r>
      <w:r w:rsidRPr="006D401F">
        <w:rPr>
          <w:sz w:val="24"/>
          <w:lang w:val="cs-CZ"/>
        </w:rPr>
        <w:t xml:space="preserve">. </w:t>
      </w:r>
    </w:p>
  </w:footnote>
  <w:footnote w:id="30">
    <w:p w14:paraId="1A422C1A" w14:textId="6AB28430"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r w:rsidRPr="006D401F">
        <w:rPr>
          <w:sz w:val="24"/>
          <w:lang w:val="cs-CZ"/>
        </w:rPr>
        <w:t xml:space="preserve">Směrnice Rady 91/676/EHS ze dne 12. prosince 1991 o ochraně vod před znečištěním dusičnany ze zemědělských zdrojů </w:t>
      </w:r>
      <w:r w:rsidR="00FB1054">
        <w:rPr>
          <w:sz w:val="24"/>
          <w:lang w:val="cs-CZ"/>
        </w:rPr>
        <w:t>(</w:t>
      </w:r>
      <w:proofErr w:type="spellStart"/>
      <w:r w:rsidRPr="006D401F">
        <w:rPr>
          <w:sz w:val="24"/>
          <w:lang w:val="cs-CZ"/>
        </w:rPr>
        <w:t>Úř</w:t>
      </w:r>
      <w:proofErr w:type="spellEnd"/>
      <w:r w:rsidRPr="006D401F">
        <w:rPr>
          <w:sz w:val="24"/>
          <w:lang w:val="cs-CZ"/>
        </w:rPr>
        <w:t xml:space="preserve">. </w:t>
      </w:r>
      <w:proofErr w:type="spellStart"/>
      <w:r w:rsidRPr="006D401F">
        <w:rPr>
          <w:sz w:val="24"/>
          <w:lang w:val="cs-CZ"/>
        </w:rPr>
        <w:t>věst</w:t>
      </w:r>
      <w:proofErr w:type="spellEnd"/>
      <w:r w:rsidRPr="006D401F">
        <w:rPr>
          <w:sz w:val="24"/>
          <w:lang w:val="cs-CZ"/>
        </w:rPr>
        <w:t xml:space="preserve">. L 375, 31.12.1991, s. 1, ELI: </w:t>
      </w:r>
      <w:r w:rsidR="00241EEB">
        <w:fldChar w:fldCharType="begin"/>
      </w:r>
      <w:r w:rsidR="00241EEB" w:rsidRPr="00241EEB">
        <w:rPr>
          <w:lang w:val="fi-FI"/>
        </w:rPr>
        <w:instrText>HYPERLINK "https://eur-lex.europa.eu/eli/dir/1991/676/oj?eliuri=eli%3Adir%3A1991%3A676%3Aoj&amp;locale=cs"</w:instrText>
      </w:r>
      <w:r w:rsidR="00241EEB">
        <w:fldChar w:fldCharType="separate"/>
      </w:r>
      <w:r w:rsidRPr="006D401F">
        <w:rPr>
          <w:rStyle w:val="Hyperlink"/>
          <w:sz w:val="24"/>
          <w:lang w:val="cs-CZ"/>
        </w:rPr>
        <w:t>https://eur-lex.europa.eu/eli/dir/1991/676/oj?eliuri=eli%3Adir%3A1991%3A676%3Aoj&amp;locale=cs</w:t>
      </w:r>
      <w:r w:rsidR="00241EEB">
        <w:rPr>
          <w:rStyle w:val="Hyperlink"/>
          <w:sz w:val="24"/>
          <w:lang w:val="cs-CZ"/>
        </w:rPr>
        <w:fldChar w:fldCharType="end"/>
      </w:r>
      <w:r w:rsidR="00E61C9E">
        <w:rPr>
          <w:rStyle w:val="Hyperlink"/>
          <w:sz w:val="24"/>
          <w:lang w:val="cs-CZ"/>
        </w:rPr>
        <w:t>)</w:t>
      </w:r>
      <w:r w:rsidRPr="006D401F">
        <w:rPr>
          <w:sz w:val="24"/>
          <w:lang w:val="cs-CZ"/>
        </w:rPr>
        <w:t xml:space="preserve">. </w:t>
      </w:r>
    </w:p>
  </w:footnote>
  <w:footnote w:id="31">
    <w:p w14:paraId="360F32B0" w14:textId="7FF68888" w:rsidR="00A21F59" w:rsidRPr="00FB1054" w:rsidRDefault="00A21F59" w:rsidP="00FB1054">
      <w:pPr>
        <w:pStyle w:val="FootnoteText"/>
        <w:ind w:left="567" w:hanging="567"/>
        <w:rPr>
          <w:sz w:val="24"/>
          <w:vertAlign w:val="superscript"/>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r w:rsidRPr="006D401F">
        <w:rPr>
          <w:sz w:val="24"/>
          <w:lang w:val="cs-CZ"/>
        </w:rPr>
        <w:t>Evropská agentura pro životní prostředí, „</w:t>
      </w:r>
      <w:proofErr w:type="spellStart"/>
      <w:r w:rsidRPr="006D401F">
        <w:rPr>
          <w:sz w:val="24"/>
          <w:lang w:val="cs-CZ"/>
        </w:rPr>
        <w:t>Greenhouse</w:t>
      </w:r>
      <w:proofErr w:type="spellEnd"/>
      <w:r w:rsidRPr="006D401F">
        <w:rPr>
          <w:sz w:val="24"/>
          <w:lang w:val="cs-CZ"/>
        </w:rPr>
        <w:t xml:space="preserve"> </w:t>
      </w:r>
      <w:proofErr w:type="spellStart"/>
      <w:r w:rsidRPr="006D401F">
        <w:rPr>
          <w:sz w:val="24"/>
          <w:lang w:val="cs-CZ"/>
        </w:rPr>
        <w:t>gas</w:t>
      </w:r>
      <w:proofErr w:type="spellEnd"/>
      <w:r w:rsidRPr="006D401F">
        <w:rPr>
          <w:sz w:val="24"/>
          <w:lang w:val="cs-CZ"/>
        </w:rPr>
        <w:t xml:space="preserve"> </w:t>
      </w:r>
      <w:proofErr w:type="spellStart"/>
      <w:r w:rsidRPr="006D401F">
        <w:rPr>
          <w:sz w:val="24"/>
          <w:lang w:val="cs-CZ"/>
        </w:rPr>
        <w:t>emissions</w:t>
      </w:r>
      <w:proofErr w:type="spellEnd"/>
      <w:r w:rsidRPr="006D401F">
        <w:rPr>
          <w:sz w:val="24"/>
          <w:lang w:val="cs-CZ"/>
        </w:rPr>
        <w:t xml:space="preserve"> </w:t>
      </w:r>
      <w:proofErr w:type="spellStart"/>
      <w:r w:rsidRPr="006D401F">
        <w:rPr>
          <w:sz w:val="24"/>
          <w:lang w:val="cs-CZ"/>
        </w:rPr>
        <w:t>from</w:t>
      </w:r>
      <w:proofErr w:type="spellEnd"/>
      <w:r w:rsidRPr="006D401F">
        <w:rPr>
          <w:sz w:val="24"/>
          <w:lang w:val="cs-CZ"/>
        </w:rPr>
        <w:t xml:space="preserve"> </w:t>
      </w:r>
      <w:proofErr w:type="spellStart"/>
      <w:r w:rsidRPr="006D401F">
        <w:rPr>
          <w:sz w:val="24"/>
          <w:lang w:val="cs-CZ"/>
        </w:rPr>
        <w:t>agriculture</w:t>
      </w:r>
      <w:proofErr w:type="spellEnd"/>
      <w:r w:rsidRPr="006D401F">
        <w:rPr>
          <w:sz w:val="24"/>
          <w:lang w:val="cs-CZ"/>
        </w:rPr>
        <w:t xml:space="preserve"> in </w:t>
      </w:r>
      <w:proofErr w:type="spellStart"/>
      <w:r w:rsidRPr="006D401F">
        <w:rPr>
          <w:sz w:val="24"/>
          <w:lang w:val="cs-CZ"/>
        </w:rPr>
        <w:t>Europe</w:t>
      </w:r>
      <w:proofErr w:type="spellEnd"/>
      <w:r w:rsidRPr="006D401F">
        <w:rPr>
          <w:sz w:val="24"/>
          <w:lang w:val="cs-CZ"/>
        </w:rPr>
        <w:t xml:space="preserve">“ (Emise skleníkových plynů ze zemědělství v Evropě), </w:t>
      </w:r>
      <w:r w:rsidR="00241EEB">
        <w:fldChar w:fldCharType="begin"/>
      </w:r>
      <w:r w:rsidR="00241EEB" w:rsidRPr="00241EEB">
        <w:rPr>
          <w:lang w:val="cs-CZ"/>
        </w:rPr>
        <w:instrText>HYPERLINK "https://www.eea.europa.eu/en/analysis/indicators/greenhouse-gas-emissions-from-agriculture"</w:instrText>
      </w:r>
      <w:r w:rsidR="00241EEB">
        <w:fldChar w:fldCharType="separate"/>
      </w:r>
      <w:r w:rsidRPr="006D401F">
        <w:rPr>
          <w:rStyle w:val="Hyperlink"/>
          <w:sz w:val="24"/>
          <w:lang w:val="cs-CZ"/>
        </w:rPr>
        <w:t>https://www.eea.europa.eu/en/analysis/indicators/greenhouse-gas-emissions-from-agriculture</w:t>
      </w:r>
      <w:r w:rsidR="00241EEB">
        <w:rPr>
          <w:rStyle w:val="Hyperlink"/>
          <w:sz w:val="24"/>
          <w:lang w:val="cs-CZ"/>
        </w:rPr>
        <w:fldChar w:fldCharType="end"/>
      </w:r>
      <w:r w:rsidRPr="006D401F">
        <w:rPr>
          <w:sz w:val="24"/>
          <w:lang w:val="cs-CZ"/>
        </w:rPr>
        <w:t>.</w:t>
      </w:r>
    </w:p>
  </w:footnote>
  <w:footnote w:id="32">
    <w:p w14:paraId="00185C96" w14:textId="63CA17E5"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r w:rsidRPr="006D401F">
        <w:rPr>
          <w:sz w:val="24"/>
          <w:lang w:val="cs-CZ"/>
        </w:rPr>
        <w:t xml:space="preserve">Směrnice Evropského parlamentu a Rady 2005/29/ES ze dne 11. května 2005 o nekalých obchodních praktikách vůči spotřebitelům na vnitřním trhu a o změně směrnice Rady 84/450/EHS o klamavé reklamě, směrnic Evropského parlamentu a Rady 97/7/ES, 98/27/ES a 2002/65/ES a nařízení Evropského parlamentu a Rady (ES) č. 2006/2004 (směrnice o nekalých obchodních praktikách) </w:t>
      </w:r>
      <w:r w:rsidR="00E61C9E">
        <w:rPr>
          <w:sz w:val="24"/>
          <w:lang w:val="cs-CZ"/>
        </w:rPr>
        <w:t>(</w:t>
      </w:r>
      <w:r w:rsidRPr="006D401F">
        <w:rPr>
          <w:sz w:val="24"/>
          <w:lang w:val="cs-CZ"/>
        </w:rPr>
        <w:t xml:space="preserve">ELI: </w:t>
      </w:r>
      <w:r w:rsidR="00241EEB">
        <w:fldChar w:fldCharType="begin"/>
      </w:r>
      <w:r w:rsidR="00241EEB" w:rsidRPr="00241EEB">
        <w:rPr>
          <w:lang w:val="cs-CZ"/>
        </w:rPr>
        <w:instrText>HYPERLINK "https://eur-lex.europa.eu/eli/dir/2005/29/2022-05-28?eliuri=eli%3Adir%3A2005%3A29%3A2022-05-28&amp;locale=cs"</w:instrText>
      </w:r>
      <w:r w:rsidR="00241EEB">
        <w:fldChar w:fldCharType="separate"/>
      </w:r>
      <w:r w:rsidRPr="006D401F">
        <w:rPr>
          <w:rStyle w:val="Hyperlink"/>
          <w:sz w:val="24"/>
          <w:lang w:val="cs-CZ"/>
        </w:rPr>
        <w:t>https://eur-lex.europa.eu/eli/dir/2005/29/2022-05-28?eliuri=eli%3Adir%3A2005%3A29%3A2022-05-28&amp;locale=cs</w:t>
      </w:r>
      <w:r w:rsidR="00241EEB">
        <w:rPr>
          <w:rStyle w:val="Hyperlink"/>
          <w:sz w:val="24"/>
          <w:lang w:val="cs-CZ"/>
        </w:rPr>
        <w:fldChar w:fldCharType="end"/>
      </w:r>
      <w:r w:rsidR="00E61C9E">
        <w:rPr>
          <w:rStyle w:val="Hyperlink"/>
          <w:sz w:val="24"/>
          <w:lang w:val="cs-CZ"/>
        </w:rPr>
        <w:t>)</w:t>
      </w:r>
      <w:r w:rsidRPr="006D401F">
        <w:rPr>
          <w:sz w:val="24"/>
          <w:lang w:val="cs-CZ"/>
        </w:rPr>
        <w:t xml:space="preserve">. </w:t>
      </w:r>
    </w:p>
  </w:footnote>
  <w:footnote w:id="33">
    <w:p w14:paraId="64B6199E" w14:textId="43C0F1B8"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shd w:val="clear" w:color="auto" w:fill="FFFFFF"/>
          <w:lang w:val="cs-CZ"/>
        </w:rPr>
        <w:t xml:space="preserve"> </w:t>
      </w:r>
      <w:r w:rsidR="006D401F" w:rsidRPr="006D401F">
        <w:rPr>
          <w:sz w:val="24"/>
          <w:shd w:val="clear" w:color="auto" w:fill="FFFFFF"/>
          <w:lang w:val="cs-CZ"/>
        </w:rPr>
        <w:tab/>
      </w:r>
      <w:r w:rsidRPr="006D401F">
        <w:rPr>
          <w:sz w:val="24"/>
          <w:shd w:val="clear" w:color="auto" w:fill="FFFFFF"/>
          <w:lang w:val="cs-CZ"/>
        </w:rPr>
        <w:t>Nařízení Evropského parlamentu a Rady (EU) č. 1308/2013 ze dne 17. prosince 2013, kterým se stanoví společná organizace trhů se zemědělskými produkty a zrušují nařízení Rady (EHS) č. 922/72, (EHS) č. 234/79, (ES) č. 1037/2001 a (ES) č. 1234/2007</w:t>
      </w:r>
      <w:r w:rsidR="00FB1054">
        <w:rPr>
          <w:sz w:val="24"/>
          <w:shd w:val="clear" w:color="auto" w:fill="FFFFFF"/>
          <w:lang w:val="cs-CZ"/>
        </w:rPr>
        <w:t xml:space="preserve"> (</w:t>
      </w:r>
      <w:proofErr w:type="spellStart"/>
      <w:r w:rsidRPr="00FB1054">
        <w:rPr>
          <w:rStyle w:val="Emphasis"/>
          <w:i w:val="0"/>
          <w:iCs w:val="0"/>
          <w:sz w:val="24"/>
          <w:shd w:val="clear" w:color="auto" w:fill="FFFFFF"/>
          <w:lang w:val="cs-CZ"/>
        </w:rPr>
        <w:t>Úř</w:t>
      </w:r>
      <w:proofErr w:type="spellEnd"/>
      <w:r w:rsidRPr="00FB1054">
        <w:rPr>
          <w:rStyle w:val="Emphasis"/>
          <w:i w:val="0"/>
          <w:iCs w:val="0"/>
          <w:sz w:val="24"/>
          <w:shd w:val="clear" w:color="auto" w:fill="FFFFFF"/>
          <w:lang w:val="cs-CZ"/>
        </w:rPr>
        <w:t xml:space="preserve">. </w:t>
      </w:r>
      <w:proofErr w:type="spellStart"/>
      <w:r w:rsidRPr="00FB1054">
        <w:rPr>
          <w:rStyle w:val="Emphasis"/>
          <w:i w:val="0"/>
          <w:iCs w:val="0"/>
          <w:sz w:val="24"/>
          <w:shd w:val="clear" w:color="auto" w:fill="FFFFFF"/>
          <w:lang w:val="cs-CZ"/>
        </w:rPr>
        <w:t>věst</w:t>
      </w:r>
      <w:proofErr w:type="spellEnd"/>
      <w:r w:rsidRPr="00FB1054">
        <w:rPr>
          <w:rStyle w:val="Emphasis"/>
          <w:i w:val="0"/>
          <w:iCs w:val="0"/>
          <w:sz w:val="24"/>
          <w:shd w:val="clear" w:color="auto" w:fill="FFFFFF"/>
          <w:lang w:val="cs-CZ"/>
        </w:rPr>
        <w:t xml:space="preserve">. L 347, 20.12.2013, s. 671, </w:t>
      </w:r>
      <w:r w:rsidRPr="006D401F">
        <w:rPr>
          <w:sz w:val="24"/>
          <w:shd w:val="clear" w:color="auto" w:fill="FFFFFF"/>
          <w:lang w:val="cs-CZ"/>
        </w:rPr>
        <w:t>ELI: </w:t>
      </w:r>
      <w:r w:rsidR="00241EEB">
        <w:fldChar w:fldCharType="begin"/>
      </w:r>
      <w:r w:rsidR="00241EEB" w:rsidRPr="00241EEB">
        <w:rPr>
          <w:lang w:val="cs-CZ"/>
        </w:rPr>
        <w:instrText>HYPERLINK "https://eur-lex.europa.eu/eli/reg/2013/1308/oj?eliuri=eli%3Areg%3A2013%3A1308%3Aoj&amp;locale=cs" \o "Umožňuje přístup k tomuto dokumentu prostřednictvím jeho identifikátoru URI používaného v rámci ELI."</w:instrText>
      </w:r>
      <w:r w:rsidR="00241EEB">
        <w:fldChar w:fldCharType="separate"/>
      </w:r>
      <w:r w:rsidRPr="006D401F">
        <w:rPr>
          <w:sz w:val="24"/>
          <w:u w:val="single"/>
          <w:shd w:val="clear" w:color="auto" w:fill="FFFFFF"/>
          <w:lang w:val="cs-CZ"/>
        </w:rPr>
        <w:t>https://eur-lex.europa.eu/eli/reg/2013/1308/oj?eliuri=eli%3Areg%3A2013%3A1308%3Aoj&amp;locale=cs</w:t>
      </w:r>
      <w:r w:rsidR="00241EEB">
        <w:rPr>
          <w:sz w:val="24"/>
          <w:u w:val="single"/>
          <w:shd w:val="clear" w:color="auto" w:fill="FFFFFF"/>
          <w:lang w:val="cs-CZ"/>
        </w:rPr>
        <w:fldChar w:fldCharType="end"/>
      </w:r>
      <w:r w:rsidR="00FB1054">
        <w:rPr>
          <w:sz w:val="24"/>
          <w:u w:val="single"/>
          <w:shd w:val="clear" w:color="auto" w:fill="FFFFFF"/>
          <w:lang w:val="cs-CZ"/>
        </w:rPr>
        <w:t>)</w:t>
      </w:r>
      <w:r w:rsidRPr="006D401F">
        <w:rPr>
          <w:sz w:val="24"/>
          <w:lang w:val="cs-CZ"/>
        </w:rPr>
        <w:t>.</w:t>
      </w:r>
    </w:p>
  </w:footnote>
  <w:footnote w:id="34">
    <w:p w14:paraId="3901A0A9" w14:textId="66E951A9" w:rsidR="00A21F59" w:rsidRPr="006D401F" w:rsidRDefault="00A21F59" w:rsidP="006D401F">
      <w:pPr>
        <w:pStyle w:val="FootnoteText"/>
        <w:ind w:left="567" w:hanging="567"/>
        <w:rPr>
          <w:sz w:val="24"/>
          <w:lang w:val="cs-CZ"/>
        </w:rPr>
      </w:pPr>
      <w:r w:rsidRPr="006D401F">
        <w:rPr>
          <w:rStyle w:val="FootnoteReference"/>
          <w:sz w:val="24"/>
          <w:lang w:val="cs-CZ"/>
        </w:rPr>
        <w:footnoteRef/>
      </w:r>
      <w:r w:rsidR="006D401F" w:rsidRPr="006D401F">
        <w:rPr>
          <w:sz w:val="24"/>
          <w:lang w:val="cs-CZ"/>
        </w:rPr>
        <w:t xml:space="preserve"> </w:t>
      </w:r>
      <w:r w:rsidR="006D401F" w:rsidRPr="006D401F">
        <w:rPr>
          <w:sz w:val="24"/>
          <w:lang w:val="cs-CZ"/>
        </w:rPr>
        <w:tab/>
      </w:r>
      <w:r w:rsidRPr="006D401F">
        <w:rPr>
          <w:sz w:val="24"/>
          <w:lang w:val="cs-CZ"/>
        </w:rPr>
        <w:t xml:space="preserve">Studie nazvaná „Animal </w:t>
      </w:r>
      <w:proofErr w:type="spellStart"/>
      <w:r w:rsidRPr="006D401F">
        <w:rPr>
          <w:sz w:val="24"/>
          <w:lang w:val="cs-CZ"/>
        </w:rPr>
        <w:t>welfare</w:t>
      </w:r>
      <w:proofErr w:type="spellEnd"/>
      <w:r w:rsidRPr="006D401F">
        <w:rPr>
          <w:sz w:val="24"/>
          <w:lang w:val="cs-CZ"/>
        </w:rPr>
        <w:t xml:space="preserve"> </w:t>
      </w:r>
      <w:proofErr w:type="spellStart"/>
      <w:r w:rsidRPr="006D401F">
        <w:rPr>
          <w:sz w:val="24"/>
          <w:lang w:val="cs-CZ"/>
        </w:rPr>
        <w:t>during</w:t>
      </w:r>
      <w:proofErr w:type="spellEnd"/>
      <w:r w:rsidRPr="006D401F">
        <w:rPr>
          <w:sz w:val="24"/>
          <w:lang w:val="cs-CZ"/>
        </w:rPr>
        <w:t xml:space="preserve"> transport: Update on </w:t>
      </w:r>
      <w:proofErr w:type="spellStart"/>
      <w:r w:rsidRPr="006D401F">
        <w:rPr>
          <w:sz w:val="24"/>
          <w:lang w:val="cs-CZ"/>
        </w:rPr>
        <w:t>the</w:t>
      </w:r>
      <w:proofErr w:type="spellEnd"/>
      <w:r w:rsidRPr="006D401F">
        <w:rPr>
          <w:sz w:val="24"/>
          <w:lang w:val="cs-CZ"/>
        </w:rPr>
        <w:t xml:space="preserve"> </w:t>
      </w:r>
      <w:proofErr w:type="spellStart"/>
      <w:r w:rsidRPr="006D401F">
        <w:rPr>
          <w:sz w:val="24"/>
          <w:lang w:val="cs-CZ"/>
        </w:rPr>
        <w:t>implementation</w:t>
      </w:r>
      <w:proofErr w:type="spellEnd"/>
      <w:r w:rsidRPr="006D401F">
        <w:rPr>
          <w:sz w:val="24"/>
          <w:lang w:val="cs-CZ"/>
        </w:rPr>
        <w:t xml:space="preserve"> </w:t>
      </w:r>
      <w:proofErr w:type="spellStart"/>
      <w:r w:rsidRPr="006D401F">
        <w:rPr>
          <w:sz w:val="24"/>
          <w:lang w:val="cs-CZ"/>
        </w:rPr>
        <w:t>of</w:t>
      </w:r>
      <w:proofErr w:type="spellEnd"/>
      <w:r w:rsidRPr="006D401F">
        <w:rPr>
          <w:sz w:val="24"/>
          <w:lang w:val="cs-CZ"/>
        </w:rPr>
        <w:t xml:space="preserve"> </w:t>
      </w:r>
      <w:proofErr w:type="spellStart"/>
      <w:r w:rsidRPr="006D401F">
        <w:rPr>
          <w:sz w:val="24"/>
          <w:lang w:val="cs-CZ"/>
        </w:rPr>
        <w:t>Council</w:t>
      </w:r>
      <w:proofErr w:type="spellEnd"/>
      <w:r w:rsidRPr="006D401F">
        <w:rPr>
          <w:sz w:val="24"/>
          <w:lang w:val="cs-CZ"/>
        </w:rPr>
        <w:t xml:space="preserve"> </w:t>
      </w:r>
      <w:proofErr w:type="spellStart"/>
      <w:r w:rsidRPr="006D401F">
        <w:rPr>
          <w:sz w:val="24"/>
          <w:lang w:val="cs-CZ"/>
        </w:rPr>
        <w:t>Regulation</w:t>
      </w:r>
      <w:proofErr w:type="spellEnd"/>
      <w:r w:rsidRPr="006D401F">
        <w:rPr>
          <w:sz w:val="24"/>
          <w:lang w:val="cs-CZ"/>
        </w:rPr>
        <w:t xml:space="preserve"> (EC) No 1/2005 (Dobré životní podmínky zvířat během přepravy: Aktuální informace o provádění nařízení Rady (ES) č. 1/2005“, EPRS, oddělení pro následné posuzování, březen 2025, </w:t>
      </w:r>
      <w:r w:rsidR="00241EEB">
        <w:fldChar w:fldCharType="begin"/>
      </w:r>
      <w:r w:rsidR="00241EEB" w:rsidRPr="00241EEB">
        <w:rPr>
          <w:lang w:val="cs-CZ"/>
        </w:rPr>
        <w:instrText>HYPERLINK "https://www.europarl.europa.eu/RegData/etudes/STUD/2025/765766/EPRS_STU(2025)765766_EN.pdf"</w:instrText>
      </w:r>
      <w:r w:rsidR="00241EEB">
        <w:fldChar w:fldCharType="separate"/>
      </w:r>
      <w:r w:rsidRPr="006D401F">
        <w:rPr>
          <w:rStyle w:val="Hyperlink"/>
          <w:sz w:val="24"/>
          <w:lang w:val="cs-CZ"/>
        </w:rPr>
        <w:t>https://www.europarl.europa.eu/RegData/etudes/STUD/2025/765766/EPRS_STU(2025)765766_EN.pdf</w:t>
      </w:r>
      <w:r w:rsidR="00241EEB">
        <w:rPr>
          <w:rStyle w:val="Hyperlink"/>
          <w:sz w:val="24"/>
          <w:lang w:val="cs-CZ"/>
        </w:rPr>
        <w:fldChar w:fldCharType="end"/>
      </w:r>
      <w:r w:rsidRPr="006D401F">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7BD0B" w14:textId="77777777" w:rsidR="00064002" w:rsidRPr="006D401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F6D89" w14:textId="77777777" w:rsidR="00064002" w:rsidRPr="006D401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5B4A0" w14:textId="77777777" w:rsidR="00064002" w:rsidRPr="006D40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F654581"/>
    <w:multiLevelType w:val="hybridMultilevel"/>
    <w:tmpl w:val="F16C6036"/>
    <w:lvl w:ilvl="0" w:tplc="7974F5B4">
      <w:start w:val="1"/>
      <w:numFmt w:val="bullet"/>
      <w:pStyle w:val="Normal12aBullet1"/>
      <w:lvlText w:val=""/>
      <w:lvlJc w:val="left"/>
      <w:pPr>
        <w:ind w:left="720" w:hanging="360"/>
      </w:pPr>
      <w:rPr>
        <w:rFonts w:ascii="Symbol" w:hAnsi="Symbol" w:hint="default"/>
      </w:rPr>
    </w:lvl>
    <w:lvl w:ilvl="1" w:tplc="946EAC3E" w:tentative="1">
      <w:start w:val="1"/>
      <w:numFmt w:val="bullet"/>
      <w:lvlText w:val="o"/>
      <w:lvlJc w:val="left"/>
      <w:pPr>
        <w:ind w:left="1440" w:hanging="360"/>
      </w:pPr>
      <w:rPr>
        <w:rFonts w:ascii="Courier New" w:hAnsi="Courier New" w:cs="Courier New" w:hint="default"/>
      </w:rPr>
    </w:lvl>
    <w:lvl w:ilvl="2" w:tplc="599E84B4" w:tentative="1">
      <w:start w:val="1"/>
      <w:numFmt w:val="bullet"/>
      <w:lvlText w:val=""/>
      <w:lvlJc w:val="left"/>
      <w:pPr>
        <w:ind w:left="2160" w:hanging="360"/>
      </w:pPr>
      <w:rPr>
        <w:rFonts w:ascii="Wingdings" w:hAnsi="Wingdings" w:hint="default"/>
      </w:rPr>
    </w:lvl>
    <w:lvl w:ilvl="3" w:tplc="837CB628" w:tentative="1">
      <w:start w:val="1"/>
      <w:numFmt w:val="bullet"/>
      <w:lvlText w:val=""/>
      <w:lvlJc w:val="left"/>
      <w:pPr>
        <w:ind w:left="2880" w:hanging="360"/>
      </w:pPr>
      <w:rPr>
        <w:rFonts w:ascii="Symbol" w:hAnsi="Symbol" w:hint="default"/>
      </w:rPr>
    </w:lvl>
    <w:lvl w:ilvl="4" w:tplc="A2B0B7B6" w:tentative="1">
      <w:start w:val="1"/>
      <w:numFmt w:val="bullet"/>
      <w:lvlText w:val="o"/>
      <w:lvlJc w:val="left"/>
      <w:pPr>
        <w:ind w:left="3600" w:hanging="360"/>
      </w:pPr>
      <w:rPr>
        <w:rFonts w:ascii="Courier New" w:hAnsi="Courier New" w:cs="Courier New" w:hint="default"/>
      </w:rPr>
    </w:lvl>
    <w:lvl w:ilvl="5" w:tplc="4BB84F5C" w:tentative="1">
      <w:start w:val="1"/>
      <w:numFmt w:val="bullet"/>
      <w:lvlText w:val=""/>
      <w:lvlJc w:val="left"/>
      <w:pPr>
        <w:ind w:left="4320" w:hanging="360"/>
      </w:pPr>
      <w:rPr>
        <w:rFonts w:ascii="Wingdings" w:hAnsi="Wingdings" w:hint="default"/>
      </w:rPr>
    </w:lvl>
    <w:lvl w:ilvl="6" w:tplc="ED4876AE" w:tentative="1">
      <w:start w:val="1"/>
      <w:numFmt w:val="bullet"/>
      <w:lvlText w:val=""/>
      <w:lvlJc w:val="left"/>
      <w:pPr>
        <w:ind w:left="5040" w:hanging="360"/>
      </w:pPr>
      <w:rPr>
        <w:rFonts w:ascii="Symbol" w:hAnsi="Symbol" w:hint="default"/>
      </w:rPr>
    </w:lvl>
    <w:lvl w:ilvl="7" w:tplc="817CFF08" w:tentative="1">
      <w:start w:val="1"/>
      <w:numFmt w:val="bullet"/>
      <w:lvlText w:val="o"/>
      <w:lvlJc w:val="left"/>
      <w:pPr>
        <w:ind w:left="5760" w:hanging="360"/>
      </w:pPr>
      <w:rPr>
        <w:rFonts w:ascii="Courier New" w:hAnsi="Courier New" w:cs="Courier New" w:hint="default"/>
      </w:rPr>
    </w:lvl>
    <w:lvl w:ilvl="8" w:tplc="8FFC3772" w:tentative="1">
      <w:start w:val="1"/>
      <w:numFmt w:val="bullet"/>
      <w:lvlText w:val=""/>
      <w:lvlJc w:val="left"/>
      <w:pPr>
        <w:ind w:left="6480" w:hanging="360"/>
      </w:pPr>
      <w:rPr>
        <w:rFonts w:ascii="Wingdings" w:hAnsi="Wingdings" w:hint="default"/>
      </w:rPr>
    </w:lvl>
  </w:abstractNum>
  <w:abstractNum w:abstractNumId="13" w15:restartNumberingAfterBreak="0">
    <w:nsid w:val="583538D7"/>
    <w:multiLevelType w:val="hybridMultilevel"/>
    <w:tmpl w:val="B4A836B6"/>
    <w:lvl w:ilvl="0" w:tplc="F5A66508">
      <w:start w:val="1"/>
      <w:numFmt w:val="bullet"/>
      <w:lvlText w:val=""/>
      <w:lvlJc w:val="left"/>
      <w:pPr>
        <w:ind w:left="720" w:hanging="360"/>
      </w:pPr>
      <w:rPr>
        <w:rFonts w:ascii="Symbol" w:hAnsi="Symbol" w:hint="default"/>
      </w:rPr>
    </w:lvl>
    <w:lvl w:ilvl="1" w:tplc="7256DA8A" w:tentative="1">
      <w:start w:val="1"/>
      <w:numFmt w:val="bullet"/>
      <w:lvlText w:val="o"/>
      <w:lvlJc w:val="left"/>
      <w:pPr>
        <w:ind w:left="1440" w:hanging="360"/>
      </w:pPr>
      <w:rPr>
        <w:rFonts w:ascii="Courier New" w:hAnsi="Courier New" w:cs="Courier New" w:hint="default"/>
      </w:rPr>
    </w:lvl>
    <w:lvl w:ilvl="2" w:tplc="66A6786A" w:tentative="1">
      <w:start w:val="1"/>
      <w:numFmt w:val="bullet"/>
      <w:lvlText w:val=""/>
      <w:lvlJc w:val="left"/>
      <w:pPr>
        <w:ind w:left="2160" w:hanging="360"/>
      </w:pPr>
      <w:rPr>
        <w:rFonts w:ascii="Wingdings" w:hAnsi="Wingdings" w:hint="default"/>
      </w:rPr>
    </w:lvl>
    <w:lvl w:ilvl="3" w:tplc="149C0008" w:tentative="1">
      <w:start w:val="1"/>
      <w:numFmt w:val="bullet"/>
      <w:lvlText w:val=""/>
      <w:lvlJc w:val="left"/>
      <w:pPr>
        <w:ind w:left="2880" w:hanging="360"/>
      </w:pPr>
      <w:rPr>
        <w:rFonts w:ascii="Symbol" w:hAnsi="Symbol" w:hint="default"/>
      </w:rPr>
    </w:lvl>
    <w:lvl w:ilvl="4" w:tplc="886E7114" w:tentative="1">
      <w:start w:val="1"/>
      <w:numFmt w:val="bullet"/>
      <w:lvlText w:val="o"/>
      <w:lvlJc w:val="left"/>
      <w:pPr>
        <w:ind w:left="3600" w:hanging="360"/>
      </w:pPr>
      <w:rPr>
        <w:rFonts w:ascii="Courier New" w:hAnsi="Courier New" w:cs="Courier New" w:hint="default"/>
      </w:rPr>
    </w:lvl>
    <w:lvl w:ilvl="5" w:tplc="81D2F33C" w:tentative="1">
      <w:start w:val="1"/>
      <w:numFmt w:val="bullet"/>
      <w:lvlText w:val=""/>
      <w:lvlJc w:val="left"/>
      <w:pPr>
        <w:ind w:left="4320" w:hanging="360"/>
      </w:pPr>
      <w:rPr>
        <w:rFonts w:ascii="Wingdings" w:hAnsi="Wingdings" w:hint="default"/>
      </w:rPr>
    </w:lvl>
    <w:lvl w:ilvl="6" w:tplc="ED6AA34C" w:tentative="1">
      <w:start w:val="1"/>
      <w:numFmt w:val="bullet"/>
      <w:lvlText w:val=""/>
      <w:lvlJc w:val="left"/>
      <w:pPr>
        <w:ind w:left="5040" w:hanging="360"/>
      </w:pPr>
      <w:rPr>
        <w:rFonts w:ascii="Symbol" w:hAnsi="Symbol" w:hint="default"/>
      </w:rPr>
    </w:lvl>
    <w:lvl w:ilvl="7" w:tplc="1702F884" w:tentative="1">
      <w:start w:val="1"/>
      <w:numFmt w:val="bullet"/>
      <w:lvlText w:val="o"/>
      <w:lvlJc w:val="left"/>
      <w:pPr>
        <w:ind w:left="5760" w:hanging="360"/>
      </w:pPr>
      <w:rPr>
        <w:rFonts w:ascii="Courier New" w:hAnsi="Courier New" w:cs="Courier New" w:hint="default"/>
      </w:rPr>
    </w:lvl>
    <w:lvl w:ilvl="8" w:tplc="6346F74C" w:tentative="1">
      <w:start w:val="1"/>
      <w:numFmt w:val="bullet"/>
      <w:lvlText w:val=""/>
      <w:lvlJc w:val="left"/>
      <w:pPr>
        <w:ind w:left="6480" w:hanging="360"/>
      </w:pPr>
      <w:rPr>
        <w:rFonts w:ascii="Wingdings" w:hAnsi="Wingdings" w:hint="default"/>
      </w:rPr>
    </w:lvl>
  </w:abstractNum>
  <w:abstractNum w:abstractNumId="14" w15:restartNumberingAfterBreak="0">
    <w:nsid w:val="630758DB"/>
    <w:multiLevelType w:val="hybridMultilevel"/>
    <w:tmpl w:val="A268E926"/>
    <w:lvl w:ilvl="0" w:tplc="FB0CA662">
      <w:start w:val="1"/>
      <w:numFmt w:val="upperLetter"/>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D6C09CF"/>
    <w:multiLevelType w:val="hybridMultilevel"/>
    <w:tmpl w:val="0DAA9F68"/>
    <w:lvl w:ilvl="0" w:tplc="8E4A1240">
      <w:start w:val="1"/>
      <w:numFmt w:val="bullet"/>
      <w:pStyle w:val="Normal12aBullet2"/>
      <w:lvlText w:val="o"/>
      <w:lvlJc w:val="left"/>
      <w:pPr>
        <w:ind w:left="1080" w:hanging="360"/>
      </w:pPr>
      <w:rPr>
        <w:rFonts w:ascii="Courier New" w:hAnsi="Courier New" w:cs="Courier New" w:hint="default"/>
      </w:rPr>
    </w:lvl>
    <w:lvl w:ilvl="1" w:tplc="916EAE6E" w:tentative="1">
      <w:start w:val="1"/>
      <w:numFmt w:val="bullet"/>
      <w:lvlText w:val="o"/>
      <w:lvlJc w:val="left"/>
      <w:pPr>
        <w:ind w:left="1800" w:hanging="360"/>
      </w:pPr>
      <w:rPr>
        <w:rFonts w:ascii="Courier New" w:hAnsi="Courier New" w:cs="Courier New" w:hint="default"/>
      </w:rPr>
    </w:lvl>
    <w:lvl w:ilvl="2" w:tplc="53B6CDC6" w:tentative="1">
      <w:start w:val="1"/>
      <w:numFmt w:val="bullet"/>
      <w:lvlText w:val=""/>
      <w:lvlJc w:val="left"/>
      <w:pPr>
        <w:ind w:left="2520" w:hanging="360"/>
      </w:pPr>
      <w:rPr>
        <w:rFonts w:ascii="Wingdings" w:hAnsi="Wingdings" w:hint="default"/>
      </w:rPr>
    </w:lvl>
    <w:lvl w:ilvl="3" w:tplc="D14003C4" w:tentative="1">
      <w:start w:val="1"/>
      <w:numFmt w:val="bullet"/>
      <w:lvlText w:val=""/>
      <w:lvlJc w:val="left"/>
      <w:pPr>
        <w:ind w:left="3240" w:hanging="360"/>
      </w:pPr>
      <w:rPr>
        <w:rFonts w:ascii="Symbol" w:hAnsi="Symbol" w:hint="default"/>
      </w:rPr>
    </w:lvl>
    <w:lvl w:ilvl="4" w:tplc="C540B48C" w:tentative="1">
      <w:start w:val="1"/>
      <w:numFmt w:val="bullet"/>
      <w:lvlText w:val="o"/>
      <w:lvlJc w:val="left"/>
      <w:pPr>
        <w:ind w:left="3960" w:hanging="360"/>
      </w:pPr>
      <w:rPr>
        <w:rFonts w:ascii="Courier New" w:hAnsi="Courier New" w:cs="Courier New" w:hint="default"/>
      </w:rPr>
    </w:lvl>
    <w:lvl w:ilvl="5" w:tplc="03E0F596" w:tentative="1">
      <w:start w:val="1"/>
      <w:numFmt w:val="bullet"/>
      <w:lvlText w:val=""/>
      <w:lvlJc w:val="left"/>
      <w:pPr>
        <w:ind w:left="4680" w:hanging="360"/>
      </w:pPr>
      <w:rPr>
        <w:rFonts w:ascii="Wingdings" w:hAnsi="Wingdings" w:hint="default"/>
      </w:rPr>
    </w:lvl>
    <w:lvl w:ilvl="6" w:tplc="1C08C2FA" w:tentative="1">
      <w:start w:val="1"/>
      <w:numFmt w:val="bullet"/>
      <w:lvlText w:val=""/>
      <w:lvlJc w:val="left"/>
      <w:pPr>
        <w:ind w:left="5400" w:hanging="360"/>
      </w:pPr>
      <w:rPr>
        <w:rFonts w:ascii="Symbol" w:hAnsi="Symbol" w:hint="default"/>
      </w:rPr>
    </w:lvl>
    <w:lvl w:ilvl="7" w:tplc="A9FA6AC6" w:tentative="1">
      <w:start w:val="1"/>
      <w:numFmt w:val="bullet"/>
      <w:lvlText w:val="o"/>
      <w:lvlJc w:val="left"/>
      <w:pPr>
        <w:ind w:left="6120" w:hanging="360"/>
      </w:pPr>
      <w:rPr>
        <w:rFonts w:ascii="Courier New" w:hAnsi="Courier New" w:cs="Courier New" w:hint="default"/>
      </w:rPr>
    </w:lvl>
    <w:lvl w:ilvl="8" w:tplc="AA6C89E2" w:tentative="1">
      <w:start w:val="1"/>
      <w:numFmt w:val="bullet"/>
      <w:lvlText w:val=""/>
      <w:lvlJc w:val="left"/>
      <w:pPr>
        <w:ind w:left="6840" w:hanging="360"/>
      </w:pPr>
      <w:rPr>
        <w:rFonts w:ascii="Wingdings" w:hAnsi="Wingdings" w:hint="default"/>
      </w:rPr>
    </w:lvl>
  </w:abstractNum>
  <w:num w:numId="1" w16cid:durableId="1926528639">
    <w:abstractNumId w:val="9"/>
  </w:num>
  <w:num w:numId="2" w16cid:durableId="1242525320">
    <w:abstractNumId w:val="9"/>
  </w:num>
  <w:num w:numId="3" w16cid:durableId="1391928679">
    <w:abstractNumId w:val="7"/>
  </w:num>
  <w:num w:numId="4" w16cid:durableId="1791513143">
    <w:abstractNumId w:val="7"/>
  </w:num>
  <w:num w:numId="5" w16cid:durableId="286934765">
    <w:abstractNumId w:val="6"/>
  </w:num>
  <w:num w:numId="6" w16cid:durableId="160392600">
    <w:abstractNumId w:val="6"/>
  </w:num>
  <w:num w:numId="7" w16cid:durableId="1359819572">
    <w:abstractNumId w:val="5"/>
  </w:num>
  <w:num w:numId="8" w16cid:durableId="676083616">
    <w:abstractNumId w:val="5"/>
  </w:num>
  <w:num w:numId="9" w16cid:durableId="1726103150">
    <w:abstractNumId w:val="4"/>
  </w:num>
  <w:num w:numId="10" w16cid:durableId="1927032311">
    <w:abstractNumId w:val="4"/>
  </w:num>
  <w:num w:numId="11" w16cid:durableId="2092195910">
    <w:abstractNumId w:val="8"/>
  </w:num>
  <w:num w:numId="12" w16cid:durableId="455219210">
    <w:abstractNumId w:val="8"/>
  </w:num>
  <w:num w:numId="13" w16cid:durableId="1389299241">
    <w:abstractNumId w:val="3"/>
  </w:num>
  <w:num w:numId="14" w16cid:durableId="909923593">
    <w:abstractNumId w:val="3"/>
  </w:num>
  <w:num w:numId="15" w16cid:durableId="249702036">
    <w:abstractNumId w:val="2"/>
  </w:num>
  <w:num w:numId="16" w16cid:durableId="1567297219">
    <w:abstractNumId w:val="2"/>
  </w:num>
  <w:num w:numId="17" w16cid:durableId="1701738952">
    <w:abstractNumId w:val="1"/>
  </w:num>
  <w:num w:numId="18" w16cid:durableId="404574333">
    <w:abstractNumId w:val="1"/>
  </w:num>
  <w:num w:numId="19" w16cid:durableId="1768647610">
    <w:abstractNumId w:val="0"/>
  </w:num>
  <w:num w:numId="20" w16cid:durableId="912474213">
    <w:abstractNumId w:val="0"/>
  </w:num>
  <w:num w:numId="21" w16cid:durableId="716315795">
    <w:abstractNumId w:val="9"/>
  </w:num>
  <w:num w:numId="22" w16cid:durableId="550767389">
    <w:abstractNumId w:val="7"/>
  </w:num>
  <w:num w:numId="23" w16cid:durableId="764568586">
    <w:abstractNumId w:val="6"/>
  </w:num>
  <w:num w:numId="24" w16cid:durableId="1602490216">
    <w:abstractNumId w:val="5"/>
  </w:num>
  <w:num w:numId="25" w16cid:durableId="1172918621">
    <w:abstractNumId w:val="4"/>
  </w:num>
  <w:num w:numId="26" w16cid:durableId="717700216">
    <w:abstractNumId w:val="8"/>
  </w:num>
  <w:num w:numId="27" w16cid:durableId="922183818">
    <w:abstractNumId w:val="3"/>
  </w:num>
  <w:num w:numId="28" w16cid:durableId="1644232806">
    <w:abstractNumId w:val="2"/>
  </w:num>
  <w:num w:numId="29" w16cid:durableId="1104038401">
    <w:abstractNumId w:val="1"/>
  </w:num>
  <w:num w:numId="30" w16cid:durableId="1863199788">
    <w:abstractNumId w:val="0"/>
  </w:num>
  <w:num w:numId="31" w16cid:durableId="947855853">
    <w:abstractNumId w:val="9"/>
  </w:num>
  <w:num w:numId="32" w16cid:durableId="50272300">
    <w:abstractNumId w:val="7"/>
  </w:num>
  <w:num w:numId="33" w16cid:durableId="119345954">
    <w:abstractNumId w:val="6"/>
  </w:num>
  <w:num w:numId="34" w16cid:durableId="13313667">
    <w:abstractNumId w:val="5"/>
  </w:num>
  <w:num w:numId="35" w16cid:durableId="117652935">
    <w:abstractNumId w:val="4"/>
  </w:num>
  <w:num w:numId="36" w16cid:durableId="2092198780">
    <w:abstractNumId w:val="8"/>
  </w:num>
  <w:num w:numId="37" w16cid:durableId="691763149">
    <w:abstractNumId w:val="3"/>
  </w:num>
  <w:num w:numId="38" w16cid:durableId="240793687">
    <w:abstractNumId w:val="2"/>
  </w:num>
  <w:num w:numId="39" w16cid:durableId="255483595">
    <w:abstractNumId w:val="1"/>
  </w:num>
  <w:num w:numId="40" w16cid:durableId="342051528">
    <w:abstractNumId w:val="0"/>
  </w:num>
  <w:num w:numId="41" w16cid:durableId="1517302005">
    <w:abstractNumId w:val="10"/>
  </w:num>
  <w:num w:numId="42" w16cid:durableId="798382571">
    <w:abstractNumId w:val="10"/>
  </w:num>
  <w:num w:numId="43" w16cid:durableId="127357763">
    <w:abstractNumId w:val="10"/>
  </w:num>
  <w:num w:numId="44" w16cid:durableId="1247113744">
    <w:abstractNumId w:val="11"/>
  </w:num>
  <w:num w:numId="45" w16cid:durableId="1033919915">
    <w:abstractNumId w:val="12"/>
  </w:num>
  <w:num w:numId="46" w16cid:durableId="861476645">
    <w:abstractNumId w:val="15"/>
  </w:num>
  <w:num w:numId="47" w16cid:durableId="1744981794">
    <w:abstractNumId w:val="14"/>
  </w:num>
  <w:num w:numId="48" w16cid:durableId="89839896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3/2025"/>
    <w:docVar w:name="dvlangue" w:val="CS"/>
    <w:docVar w:name="dvnumam" w:val="180"/>
    <w:docVar w:name="dvpe" w:val="770.187"/>
    <w:docVar w:name="dvrapporteur" w:val="Zpravodajka: "/>
    <w:docVar w:name="dvtitre" w:val="Usnesení Evropského parlamentu ze dne.... 2025 o budoucnosti zemědělství a společné zemědělské politice po roce 2027(2025/2052(INI))"/>
  </w:docVars>
  <w:rsids>
    <w:rsidRoot w:val="00D62CF4"/>
    <w:rsid w:val="00002272"/>
    <w:rsid w:val="00041C39"/>
    <w:rsid w:val="00064002"/>
    <w:rsid w:val="000677B9"/>
    <w:rsid w:val="000831BA"/>
    <w:rsid w:val="000A42CC"/>
    <w:rsid w:val="000E7DD9"/>
    <w:rsid w:val="0010095E"/>
    <w:rsid w:val="00125B37"/>
    <w:rsid w:val="00187494"/>
    <w:rsid w:val="001F32AE"/>
    <w:rsid w:val="0023691A"/>
    <w:rsid w:val="00241EE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401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1F59"/>
    <w:rsid w:val="00A43E52"/>
    <w:rsid w:val="00A4678D"/>
    <w:rsid w:val="00A778C7"/>
    <w:rsid w:val="00AB441E"/>
    <w:rsid w:val="00AB6293"/>
    <w:rsid w:val="00AE0928"/>
    <w:rsid w:val="00AF3B82"/>
    <w:rsid w:val="00B12E95"/>
    <w:rsid w:val="00B22876"/>
    <w:rsid w:val="00B558F0"/>
    <w:rsid w:val="00B953DE"/>
    <w:rsid w:val="00BA2544"/>
    <w:rsid w:val="00BD48FE"/>
    <w:rsid w:val="00BD7BD8"/>
    <w:rsid w:val="00BE6ADC"/>
    <w:rsid w:val="00C05BFE"/>
    <w:rsid w:val="00C23CD4"/>
    <w:rsid w:val="00C61C0C"/>
    <w:rsid w:val="00C941CB"/>
    <w:rsid w:val="00CC2357"/>
    <w:rsid w:val="00CF071A"/>
    <w:rsid w:val="00D058B8"/>
    <w:rsid w:val="00D56C11"/>
    <w:rsid w:val="00D62CF4"/>
    <w:rsid w:val="00D834A0"/>
    <w:rsid w:val="00D872DF"/>
    <w:rsid w:val="00D91E21"/>
    <w:rsid w:val="00DA7FCD"/>
    <w:rsid w:val="00E365E1"/>
    <w:rsid w:val="00E61C9E"/>
    <w:rsid w:val="00E6736E"/>
    <w:rsid w:val="00E820A4"/>
    <w:rsid w:val="00EB006A"/>
    <w:rsid w:val="00EB4772"/>
    <w:rsid w:val="00ED169E"/>
    <w:rsid w:val="00ED4235"/>
    <w:rsid w:val="00F04346"/>
    <w:rsid w:val="00F075DC"/>
    <w:rsid w:val="00F07982"/>
    <w:rsid w:val="00F149E9"/>
    <w:rsid w:val="00F22645"/>
    <w:rsid w:val="00F5134D"/>
    <w:rsid w:val="00F74202"/>
    <w:rsid w:val="00F87713"/>
    <w:rsid w:val="00FB105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F48689"/>
  <w15:chartTrackingRefBased/>
  <w15:docId w15:val="{31BE45C9-41D2-471D-AA0D-0FF160536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21F59"/>
    <w:rPr>
      <w:b/>
      <w:kern w:val="28"/>
      <w:sz w:val="28"/>
      <w:lang w:val="fr-FR" w:eastAsia="fr-FR"/>
    </w:rPr>
  </w:style>
  <w:style w:type="character" w:customStyle="1" w:styleId="Heading2Char">
    <w:name w:val="Heading 2 Char"/>
    <w:basedOn w:val="DefaultParagraphFont"/>
    <w:link w:val="Heading2"/>
    <w:semiHidden/>
    <w:rsid w:val="00A21F59"/>
    <w:rPr>
      <w:sz w:val="24"/>
      <w:lang w:val="fr-FR" w:eastAsia="fr-FR"/>
    </w:rPr>
  </w:style>
  <w:style w:type="character" w:customStyle="1" w:styleId="Heading3Char">
    <w:name w:val="Heading 3 Char"/>
    <w:basedOn w:val="DefaultParagraphFont"/>
    <w:link w:val="Heading3"/>
    <w:semiHidden/>
    <w:rsid w:val="00A21F59"/>
    <w:rPr>
      <w:rFonts w:ascii="Arial" w:hAnsi="Arial"/>
      <w:sz w:val="24"/>
      <w:lang w:val="fr-FR" w:eastAsia="fr-FR"/>
    </w:rPr>
  </w:style>
  <w:style w:type="character" w:customStyle="1" w:styleId="Heading4Char">
    <w:name w:val="Heading 4 Char"/>
    <w:basedOn w:val="DefaultParagraphFont"/>
    <w:link w:val="Heading4"/>
    <w:semiHidden/>
    <w:rsid w:val="00A21F59"/>
    <w:rPr>
      <w:sz w:val="24"/>
      <w:lang w:val="en-US" w:eastAsia="fr-FR"/>
    </w:rPr>
  </w:style>
  <w:style w:type="character" w:customStyle="1" w:styleId="Heading5Char">
    <w:name w:val="Heading 5 Char"/>
    <w:basedOn w:val="DefaultParagraphFont"/>
    <w:link w:val="Heading5"/>
    <w:semiHidden/>
    <w:rsid w:val="00A21F59"/>
    <w:rPr>
      <w:sz w:val="24"/>
      <w:lang w:val="en-US" w:eastAsia="fr-FR"/>
    </w:rPr>
  </w:style>
  <w:style w:type="character" w:customStyle="1" w:styleId="Heading6Char">
    <w:name w:val="Heading 6 Char"/>
    <w:basedOn w:val="DefaultParagraphFont"/>
    <w:link w:val="Heading6"/>
    <w:semiHidden/>
    <w:rsid w:val="00A21F59"/>
    <w:rPr>
      <w:i/>
      <w:sz w:val="22"/>
      <w:lang w:val="cs-CZ"/>
    </w:rPr>
  </w:style>
  <w:style w:type="character" w:customStyle="1" w:styleId="Heading7Char">
    <w:name w:val="Heading 7 Char"/>
    <w:basedOn w:val="DefaultParagraphFont"/>
    <w:link w:val="Heading7"/>
    <w:semiHidden/>
    <w:rsid w:val="00A21F59"/>
    <w:rPr>
      <w:rFonts w:ascii="Arial" w:hAnsi="Arial"/>
      <w:sz w:val="24"/>
      <w:lang w:val="cs-CZ"/>
    </w:rPr>
  </w:style>
  <w:style w:type="character" w:customStyle="1" w:styleId="Heading8Char">
    <w:name w:val="Heading 8 Char"/>
    <w:basedOn w:val="DefaultParagraphFont"/>
    <w:link w:val="Heading8"/>
    <w:semiHidden/>
    <w:rsid w:val="00A21F59"/>
    <w:rPr>
      <w:rFonts w:ascii="Arial" w:hAnsi="Arial"/>
      <w:i/>
      <w:sz w:val="24"/>
      <w:lang w:val="cs-CZ"/>
    </w:rPr>
  </w:style>
  <w:style w:type="character" w:customStyle="1" w:styleId="Heading9Char">
    <w:name w:val="Heading 9 Char"/>
    <w:basedOn w:val="DefaultParagraphFont"/>
    <w:link w:val="Heading9"/>
    <w:semiHidden/>
    <w:rsid w:val="00A21F59"/>
    <w:rPr>
      <w:rFonts w:ascii="Arial" w:hAnsi="Arial"/>
      <w:b/>
      <w:i/>
      <w:sz w:val="18"/>
      <w:lang w:val="cs-CZ"/>
    </w:rPr>
  </w:style>
  <w:style w:type="paragraph" w:styleId="TOCHeading">
    <w:name w:val="TOC Heading"/>
    <w:basedOn w:val="Normal"/>
    <w:next w:val="Normal"/>
    <w:unhideWhenUsed/>
    <w:qFormat/>
    <w:rsid w:val="00A21F59"/>
    <w:pPr>
      <w:widowControl/>
      <w:spacing w:after="240"/>
    </w:pPr>
    <w:rPr>
      <w:lang w:val="en-GB"/>
    </w:rPr>
  </w:style>
  <w:style w:type="paragraph" w:customStyle="1" w:styleId="EPComma">
    <w:name w:val="EPComma"/>
    <w:basedOn w:val="Normal"/>
    <w:rsid w:val="00A21F59"/>
    <w:pPr>
      <w:spacing w:before="480" w:after="240"/>
    </w:pPr>
    <w:rPr>
      <w:snapToGrid w:val="0"/>
      <w:lang w:eastAsia="en-US"/>
    </w:rPr>
  </w:style>
  <w:style w:type="paragraph" w:customStyle="1" w:styleId="CoverNormal">
    <w:name w:val="CoverNormal"/>
    <w:basedOn w:val="Normal"/>
    <w:rsid w:val="00A21F59"/>
    <w:pPr>
      <w:ind w:left="1418"/>
    </w:pPr>
    <w:rPr>
      <w:snapToGrid w:val="0"/>
      <w:lang w:eastAsia="en-US"/>
    </w:rPr>
  </w:style>
  <w:style w:type="paragraph" w:customStyle="1" w:styleId="TOCRight">
    <w:name w:val="TOC Right"/>
    <w:basedOn w:val="Normal"/>
    <w:rsid w:val="00A21F59"/>
    <w:pPr>
      <w:spacing w:after="240"/>
      <w:jc w:val="right"/>
    </w:pPr>
    <w:rPr>
      <w:snapToGrid w:val="0"/>
      <w:lang w:eastAsia="en-US"/>
    </w:rPr>
  </w:style>
  <w:style w:type="paragraph" w:customStyle="1" w:styleId="CoverDateRefPart">
    <w:name w:val="CoverDateRefPart"/>
    <w:basedOn w:val="Normal"/>
    <w:rsid w:val="00A21F59"/>
    <w:pPr>
      <w:spacing w:after="1200"/>
    </w:pPr>
    <w:rPr>
      <w:snapToGrid w:val="0"/>
      <w:lang w:eastAsia="en-US"/>
    </w:rPr>
  </w:style>
  <w:style w:type="paragraph" w:customStyle="1" w:styleId="EPFooter2">
    <w:name w:val="EPFooter2"/>
    <w:basedOn w:val="Normal"/>
    <w:next w:val="Normal"/>
    <w:rsid w:val="00A21F59"/>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link w:val="NormalBoldChar"/>
    <w:rsid w:val="00A21F59"/>
    <w:rPr>
      <w:b/>
      <w:snapToGrid w:val="0"/>
      <w:lang w:eastAsia="en-US"/>
    </w:rPr>
  </w:style>
  <w:style w:type="paragraph" w:customStyle="1" w:styleId="CoverReference">
    <w:name w:val="CoverReference"/>
    <w:basedOn w:val="Normal"/>
    <w:rsid w:val="00A21F59"/>
    <w:pPr>
      <w:spacing w:before="1080"/>
      <w:jc w:val="right"/>
    </w:pPr>
    <w:rPr>
      <w:rFonts w:ascii="Arial" w:hAnsi="Arial" w:cs="Arial"/>
      <w:b/>
      <w:snapToGrid w:val="0"/>
      <w:lang w:eastAsia="en-US"/>
    </w:rPr>
  </w:style>
  <w:style w:type="paragraph" w:customStyle="1" w:styleId="CoverNormal24a">
    <w:name w:val="CoverNormal24a"/>
    <w:basedOn w:val="Normal"/>
    <w:rsid w:val="00A21F59"/>
    <w:pPr>
      <w:spacing w:after="480"/>
      <w:ind w:left="1417"/>
    </w:pPr>
    <w:rPr>
      <w:snapToGrid w:val="0"/>
      <w:lang w:eastAsia="en-US"/>
    </w:rPr>
  </w:style>
  <w:style w:type="paragraph" w:customStyle="1" w:styleId="TOCPage">
    <w:name w:val="TOC Page"/>
    <w:basedOn w:val="Normal"/>
    <w:next w:val="TOC1"/>
    <w:rsid w:val="00A21F59"/>
    <w:pPr>
      <w:keepNext/>
      <w:spacing w:after="240"/>
      <w:jc w:val="right"/>
    </w:pPr>
    <w:rPr>
      <w:rFonts w:ascii="Arial" w:hAnsi="Arial"/>
      <w:b/>
      <w:snapToGrid w:val="0"/>
      <w:lang w:eastAsia="en-US"/>
    </w:rPr>
  </w:style>
  <w:style w:type="paragraph" w:customStyle="1" w:styleId="CoverDocType24a">
    <w:name w:val="CoverDocType24a"/>
    <w:basedOn w:val="Normal"/>
    <w:rsid w:val="00A21F59"/>
    <w:pPr>
      <w:spacing w:after="480"/>
      <w:ind w:left="1418"/>
    </w:pPr>
    <w:rPr>
      <w:rFonts w:ascii="Arial" w:hAnsi="Arial"/>
      <w:b/>
      <w:snapToGrid w:val="0"/>
      <w:sz w:val="48"/>
      <w:lang w:eastAsia="en-US"/>
    </w:rPr>
  </w:style>
  <w:style w:type="paragraph" w:customStyle="1" w:styleId="NormalHanging12a">
    <w:name w:val="NormalHanging12a"/>
    <w:basedOn w:val="Normal"/>
    <w:link w:val="NormalHanging12aChar"/>
    <w:rsid w:val="00A21F59"/>
    <w:pPr>
      <w:widowControl/>
      <w:spacing w:after="240"/>
      <w:ind w:left="567" w:hanging="567"/>
    </w:pPr>
    <w:rPr>
      <w:snapToGrid w:val="0"/>
      <w:lang w:eastAsia="en-US"/>
    </w:rPr>
  </w:style>
  <w:style w:type="paragraph" w:styleId="TOC4">
    <w:name w:val="toc 4"/>
    <w:basedOn w:val="Normal"/>
    <w:next w:val="Normal"/>
    <w:autoRedefine/>
    <w:rsid w:val="00A21F59"/>
    <w:pPr>
      <w:ind w:left="720"/>
    </w:pPr>
    <w:rPr>
      <w:snapToGrid w:val="0"/>
      <w:lang w:eastAsia="en-US"/>
    </w:rPr>
  </w:style>
  <w:style w:type="paragraph" w:customStyle="1" w:styleId="PageHeading">
    <w:name w:val="PageHeading"/>
    <w:basedOn w:val="Normal"/>
    <w:rsid w:val="00A21F59"/>
    <w:pPr>
      <w:keepNext/>
      <w:spacing w:after="480"/>
      <w:jc w:val="center"/>
    </w:pPr>
    <w:rPr>
      <w:rFonts w:ascii="Arial" w:hAnsi="Arial" w:cs="Arial"/>
      <w:b/>
      <w:snapToGrid w:val="0"/>
      <w:lang w:eastAsia="en-US"/>
    </w:rPr>
  </w:style>
  <w:style w:type="paragraph" w:styleId="TOC5">
    <w:name w:val="toc 5"/>
    <w:basedOn w:val="Normal"/>
    <w:next w:val="Normal"/>
    <w:autoRedefine/>
    <w:rsid w:val="00A21F59"/>
    <w:pPr>
      <w:ind w:left="960"/>
    </w:pPr>
    <w:rPr>
      <w:snapToGrid w:val="0"/>
      <w:lang w:eastAsia="en-US"/>
    </w:rPr>
  </w:style>
  <w:style w:type="paragraph" w:styleId="TOC6">
    <w:name w:val="toc 6"/>
    <w:basedOn w:val="Normal"/>
    <w:next w:val="Normal"/>
    <w:autoRedefine/>
    <w:rsid w:val="00A21F59"/>
    <w:pPr>
      <w:ind w:left="1200"/>
    </w:pPr>
    <w:rPr>
      <w:snapToGrid w:val="0"/>
      <w:lang w:eastAsia="en-US"/>
    </w:rPr>
  </w:style>
  <w:style w:type="paragraph" w:styleId="TOC7">
    <w:name w:val="toc 7"/>
    <w:basedOn w:val="Normal"/>
    <w:next w:val="Normal"/>
    <w:autoRedefine/>
    <w:rsid w:val="00A21F59"/>
    <w:pPr>
      <w:ind w:left="1440"/>
    </w:pPr>
    <w:rPr>
      <w:snapToGrid w:val="0"/>
      <w:lang w:eastAsia="en-US"/>
    </w:rPr>
  </w:style>
  <w:style w:type="paragraph" w:styleId="TOC8">
    <w:name w:val="toc 8"/>
    <w:basedOn w:val="Normal"/>
    <w:next w:val="Normal"/>
    <w:autoRedefine/>
    <w:rsid w:val="00A21F59"/>
    <w:pPr>
      <w:ind w:left="1680"/>
    </w:pPr>
    <w:rPr>
      <w:snapToGrid w:val="0"/>
      <w:lang w:eastAsia="en-US"/>
    </w:rPr>
  </w:style>
  <w:style w:type="paragraph" w:styleId="TOC9">
    <w:name w:val="toc 9"/>
    <w:basedOn w:val="Normal"/>
    <w:next w:val="Normal"/>
    <w:autoRedefine/>
    <w:rsid w:val="00A21F59"/>
    <w:pPr>
      <w:ind w:left="1920"/>
    </w:pPr>
    <w:rPr>
      <w:snapToGrid w:val="0"/>
      <w:lang w:eastAsia="en-US"/>
    </w:rPr>
  </w:style>
  <w:style w:type="paragraph" w:customStyle="1" w:styleId="TOCSubHeading">
    <w:name w:val="TOC SubHeading"/>
    <w:basedOn w:val="Normal"/>
    <w:rsid w:val="00A21F59"/>
    <w:pPr>
      <w:spacing w:before="480" w:after="240"/>
    </w:pPr>
    <w:rPr>
      <w:b/>
      <w:snapToGrid w:val="0"/>
      <w:lang w:eastAsia="en-US"/>
    </w:rPr>
  </w:style>
  <w:style w:type="paragraph" w:customStyle="1" w:styleId="TOCTabLeader">
    <w:name w:val="TOC TabLeader"/>
    <w:basedOn w:val="Normal"/>
    <w:rsid w:val="00A21F59"/>
    <w:pPr>
      <w:tabs>
        <w:tab w:val="left" w:leader="dot" w:pos="5954"/>
      </w:tabs>
      <w:spacing w:after="240"/>
    </w:pPr>
    <w:rPr>
      <w:snapToGrid w:val="0"/>
      <w:lang w:eastAsia="en-US"/>
    </w:rPr>
  </w:style>
  <w:style w:type="paragraph" w:customStyle="1" w:styleId="CoverNormalHanging">
    <w:name w:val="CoverNormalHanging"/>
    <w:basedOn w:val="Normal"/>
    <w:rsid w:val="00A21F59"/>
    <w:pPr>
      <w:ind w:left="3686" w:hanging="2268"/>
    </w:pPr>
    <w:rPr>
      <w:snapToGrid w:val="0"/>
      <w:lang w:eastAsia="en-US"/>
    </w:rPr>
  </w:style>
  <w:style w:type="paragraph" w:customStyle="1" w:styleId="EPBody">
    <w:name w:val="EPBody"/>
    <w:basedOn w:val="Normal"/>
    <w:rsid w:val="00A21F59"/>
    <w:pPr>
      <w:jc w:val="center"/>
    </w:pPr>
    <w:rPr>
      <w:rFonts w:ascii="Arial" w:hAnsi="Arial" w:cs="Arial"/>
      <w:i/>
      <w:sz w:val="22"/>
      <w:szCs w:val="22"/>
    </w:rPr>
  </w:style>
  <w:style w:type="paragraph" w:customStyle="1" w:styleId="CoverRefPart">
    <w:name w:val="CoverRefPart"/>
    <w:basedOn w:val="Normal"/>
    <w:rsid w:val="00A21F59"/>
    <w:pPr>
      <w:jc w:val="right"/>
    </w:pPr>
    <w:rPr>
      <w:rFonts w:ascii="Arial" w:hAnsi="Arial"/>
      <w:snapToGrid w:val="0"/>
      <w:lang w:eastAsia="en-US"/>
    </w:rPr>
  </w:style>
  <w:style w:type="paragraph" w:customStyle="1" w:styleId="Subheading">
    <w:name w:val="Subheading"/>
    <w:basedOn w:val="Normal"/>
    <w:rsid w:val="00A21F59"/>
    <w:pPr>
      <w:spacing w:before="480" w:after="240"/>
    </w:pPr>
    <w:rPr>
      <w:b/>
      <w:bCs/>
      <w:i/>
      <w:iCs/>
      <w:snapToGrid w:val="0"/>
      <w:lang w:eastAsia="en-US"/>
    </w:rPr>
  </w:style>
  <w:style w:type="paragraph" w:customStyle="1" w:styleId="EPFooter">
    <w:name w:val="EPFooter"/>
    <w:basedOn w:val="Normal"/>
    <w:rsid w:val="00A21F59"/>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A21F59"/>
    <w:pPr>
      <w:tabs>
        <w:tab w:val="center" w:pos="4513"/>
        <w:tab w:val="right" w:pos="9026"/>
      </w:tabs>
    </w:pPr>
    <w:rPr>
      <w:snapToGrid w:val="0"/>
      <w:lang w:eastAsia="en-US"/>
    </w:rPr>
  </w:style>
  <w:style w:type="character" w:customStyle="1" w:styleId="HeaderChar">
    <w:name w:val="Header Char"/>
    <w:basedOn w:val="DefaultParagraphFont"/>
    <w:link w:val="Header"/>
    <w:rsid w:val="00A21F59"/>
    <w:rPr>
      <w:snapToGrid w:val="0"/>
      <w:sz w:val="24"/>
      <w:lang w:val="cs-CZ" w:eastAsia="en-US"/>
    </w:rPr>
  </w:style>
  <w:style w:type="paragraph" w:customStyle="1" w:styleId="AmColumnHeading">
    <w:name w:val="AmColumnHeading"/>
    <w:basedOn w:val="Normal"/>
    <w:rsid w:val="00A21F59"/>
    <w:pPr>
      <w:spacing w:after="240"/>
      <w:jc w:val="center"/>
    </w:pPr>
    <w:rPr>
      <w:i/>
    </w:rPr>
  </w:style>
  <w:style w:type="paragraph" w:customStyle="1" w:styleId="AmCrossRef">
    <w:name w:val="AmCrossRef"/>
    <w:basedOn w:val="Normal"/>
    <w:rsid w:val="00A21F59"/>
    <w:pPr>
      <w:spacing w:before="240" w:after="240"/>
      <w:jc w:val="center"/>
    </w:pPr>
    <w:rPr>
      <w:i/>
    </w:rPr>
  </w:style>
  <w:style w:type="paragraph" w:customStyle="1" w:styleId="AmJustText">
    <w:name w:val="AmJustText"/>
    <w:basedOn w:val="Normal"/>
    <w:rsid w:val="00A21F59"/>
    <w:pPr>
      <w:spacing w:after="240"/>
    </w:pPr>
    <w:rPr>
      <w:i/>
    </w:rPr>
  </w:style>
  <w:style w:type="paragraph" w:customStyle="1" w:styleId="AmJustTitle">
    <w:name w:val="AmJustTitle"/>
    <w:basedOn w:val="Normal"/>
    <w:next w:val="AmJustText"/>
    <w:rsid w:val="00A21F59"/>
    <w:pPr>
      <w:keepNext/>
      <w:spacing w:before="240" w:after="240"/>
      <w:jc w:val="center"/>
    </w:pPr>
    <w:rPr>
      <w:i/>
    </w:rPr>
  </w:style>
  <w:style w:type="paragraph" w:customStyle="1" w:styleId="AmNumberTabs">
    <w:name w:val="AmNumberTabs"/>
    <w:basedOn w:val="Normal"/>
    <w:link w:val="AmNumberTabsChar"/>
    <w:rsid w:val="00A21F5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OrLang">
    <w:name w:val="AmOrLang"/>
    <w:basedOn w:val="Normal"/>
    <w:rsid w:val="00A21F59"/>
    <w:pPr>
      <w:spacing w:before="240" w:after="240"/>
      <w:jc w:val="right"/>
    </w:pPr>
  </w:style>
  <w:style w:type="paragraph" w:customStyle="1" w:styleId="AnnexWPDate">
    <w:name w:val="AnnexWPDate"/>
    <w:basedOn w:val="Normal"/>
    <w:rsid w:val="00A21F59"/>
    <w:pPr>
      <w:spacing w:before="240" w:after="480"/>
      <w:jc w:val="right"/>
    </w:pPr>
  </w:style>
  <w:style w:type="paragraph" w:customStyle="1" w:styleId="AnnexWPDocType">
    <w:name w:val="AnnexWPDocType"/>
    <w:basedOn w:val="Normal"/>
    <w:rsid w:val="00A21F59"/>
    <w:pPr>
      <w:spacing w:after="240"/>
      <w:jc w:val="center"/>
    </w:pPr>
    <w:rPr>
      <w:b/>
    </w:rPr>
  </w:style>
  <w:style w:type="paragraph" w:customStyle="1" w:styleId="AnnexWPLogo">
    <w:name w:val="AnnexWPLogo"/>
    <w:basedOn w:val="Normal"/>
    <w:rsid w:val="00A21F59"/>
    <w:pPr>
      <w:spacing w:before="120" w:after="120"/>
    </w:pPr>
  </w:style>
  <w:style w:type="paragraph" w:customStyle="1" w:styleId="AnnexWPSmall">
    <w:name w:val="AnnexWPSmall"/>
    <w:basedOn w:val="Normal"/>
    <w:rsid w:val="00A21F59"/>
    <w:rPr>
      <w:smallCaps/>
      <w:sz w:val="20"/>
    </w:rPr>
  </w:style>
  <w:style w:type="paragraph" w:customStyle="1" w:styleId="AnnexWPTabs">
    <w:name w:val="AnnexWPTabs"/>
    <w:basedOn w:val="Normal"/>
    <w:rsid w:val="00A21F59"/>
    <w:pPr>
      <w:tabs>
        <w:tab w:val="right" w:pos="3686"/>
        <w:tab w:val="left" w:pos="3827"/>
      </w:tabs>
    </w:pPr>
    <w:rPr>
      <w:b/>
    </w:rPr>
  </w:style>
  <w:style w:type="paragraph" w:customStyle="1" w:styleId="AnnexWPTitle">
    <w:name w:val="AnnexWPTitle"/>
    <w:basedOn w:val="Normal"/>
    <w:rsid w:val="00A21F59"/>
    <w:pPr>
      <w:spacing w:before="480"/>
    </w:pPr>
    <w:rPr>
      <w:b/>
    </w:rPr>
  </w:style>
  <w:style w:type="paragraph" w:customStyle="1" w:styleId="AmHeadingConsam">
    <w:name w:val="AmHeadingConsam"/>
    <w:basedOn w:val="Normal"/>
    <w:next w:val="Normal"/>
    <w:rsid w:val="00A21F59"/>
    <w:pPr>
      <w:spacing w:before="720" w:after="240"/>
      <w:jc w:val="center"/>
    </w:pPr>
  </w:style>
  <w:style w:type="paragraph" w:customStyle="1" w:styleId="CoverNormal12a">
    <w:name w:val="CoverNormal12a"/>
    <w:basedOn w:val="Normal"/>
    <w:rsid w:val="00A21F59"/>
    <w:pPr>
      <w:spacing w:after="240"/>
      <w:ind w:left="1418"/>
    </w:pPr>
  </w:style>
  <w:style w:type="paragraph" w:customStyle="1" w:styleId="Confidential">
    <w:name w:val="Confidential"/>
    <w:basedOn w:val="Normal"/>
    <w:rsid w:val="00A21F59"/>
    <w:pPr>
      <w:spacing w:before="120" w:after="120"/>
      <w:jc w:val="center"/>
    </w:pPr>
    <w:rPr>
      <w:rFonts w:ascii="Arial" w:hAnsi="Arial"/>
      <w:caps/>
    </w:rPr>
  </w:style>
  <w:style w:type="paragraph" w:customStyle="1" w:styleId="CoverReferenceIMM">
    <w:name w:val="CoverReferenceIMM"/>
    <w:basedOn w:val="Normal"/>
    <w:rsid w:val="00A21F59"/>
    <w:pPr>
      <w:spacing w:before="360"/>
      <w:jc w:val="right"/>
    </w:pPr>
    <w:rPr>
      <w:rFonts w:ascii="Arial" w:hAnsi="Arial"/>
      <w:b/>
    </w:rPr>
  </w:style>
  <w:style w:type="paragraph" w:customStyle="1" w:styleId="CoverDate">
    <w:name w:val="CoverDate"/>
    <w:basedOn w:val="Normal"/>
    <w:rsid w:val="00A21F59"/>
    <w:pPr>
      <w:spacing w:before="240" w:after="1200"/>
    </w:pPr>
  </w:style>
  <w:style w:type="paragraph" w:customStyle="1" w:styleId="CoverDocType">
    <w:name w:val="CoverDocType"/>
    <w:basedOn w:val="Normal"/>
    <w:rsid w:val="00A21F59"/>
    <w:pPr>
      <w:ind w:left="1418"/>
    </w:pPr>
    <w:rPr>
      <w:rFonts w:ascii="Arial" w:hAnsi="Arial"/>
      <w:b/>
      <w:sz w:val="48"/>
    </w:rPr>
  </w:style>
  <w:style w:type="paragraph" w:customStyle="1" w:styleId="NormalBold12a">
    <w:name w:val="NormalBold12a"/>
    <w:basedOn w:val="Normal"/>
    <w:rsid w:val="00A21F59"/>
    <w:pPr>
      <w:spacing w:after="240"/>
    </w:pPr>
    <w:rPr>
      <w:b/>
    </w:rPr>
  </w:style>
  <w:style w:type="paragraph" w:customStyle="1" w:styleId="NormalCenter12a">
    <w:name w:val="NormalCenter12a"/>
    <w:basedOn w:val="Normal"/>
    <w:rsid w:val="00A21F59"/>
    <w:pPr>
      <w:spacing w:after="240"/>
      <w:jc w:val="center"/>
    </w:pPr>
  </w:style>
  <w:style w:type="paragraph" w:customStyle="1" w:styleId="Normal6a">
    <w:name w:val="Normal6a"/>
    <w:basedOn w:val="Normal"/>
    <w:rsid w:val="00A21F59"/>
    <w:pPr>
      <w:spacing w:after="120"/>
    </w:pPr>
  </w:style>
  <w:style w:type="paragraph" w:customStyle="1" w:styleId="NormalBold12b">
    <w:name w:val="NormalBold12b"/>
    <w:basedOn w:val="Normal"/>
    <w:link w:val="NormalBold12bChar"/>
    <w:rsid w:val="00A21F59"/>
    <w:pPr>
      <w:spacing w:before="240"/>
    </w:pPr>
    <w:rPr>
      <w:b/>
    </w:rPr>
  </w:style>
  <w:style w:type="paragraph" w:customStyle="1" w:styleId="Arial14CentreBold">
    <w:name w:val="Arial14CentreBold"/>
    <w:basedOn w:val="Normal"/>
    <w:qFormat/>
    <w:rsid w:val="00A21F59"/>
    <w:pPr>
      <w:jc w:val="center"/>
    </w:pPr>
    <w:rPr>
      <w:rFonts w:ascii="Arial" w:hAnsi="Arial" w:cs="Arial"/>
      <w:b/>
      <w:sz w:val="28"/>
      <w:szCs w:val="28"/>
    </w:rPr>
  </w:style>
  <w:style w:type="character" w:customStyle="1" w:styleId="Bold">
    <w:name w:val="Bold"/>
    <w:uiPriority w:val="1"/>
    <w:rsid w:val="00A21F59"/>
    <w:rPr>
      <w:b/>
    </w:rPr>
  </w:style>
  <w:style w:type="character" w:customStyle="1" w:styleId="BoldItalic">
    <w:name w:val="BoldItalic"/>
    <w:uiPriority w:val="1"/>
    <w:rsid w:val="00A21F59"/>
    <w:rPr>
      <w:b/>
      <w:i/>
      <w:u w:val="none"/>
    </w:rPr>
  </w:style>
  <w:style w:type="character" w:customStyle="1" w:styleId="BoldItalicUnderline">
    <w:name w:val="BoldItalicUnderline"/>
    <w:uiPriority w:val="1"/>
    <w:rsid w:val="00A21F59"/>
    <w:rPr>
      <w:b/>
      <w:i/>
      <w:u w:val="single"/>
    </w:rPr>
  </w:style>
  <w:style w:type="character" w:customStyle="1" w:styleId="BoldUnderline">
    <w:name w:val="BoldUnderline"/>
    <w:uiPriority w:val="1"/>
    <w:rsid w:val="00A21F59"/>
    <w:rPr>
      <w:b/>
      <w:u w:val="single"/>
    </w:rPr>
  </w:style>
  <w:style w:type="paragraph" w:customStyle="1" w:styleId="CoverNormalLeft">
    <w:name w:val="CoverNormalLeft"/>
    <w:basedOn w:val="CoverNormal"/>
    <w:qFormat/>
    <w:rsid w:val="00A21F59"/>
    <w:pPr>
      <w:ind w:left="0"/>
    </w:pPr>
    <w:rPr>
      <w:snapToGrid/>
      <w:lang w:eastAsia="en-GB"/>
    </w:rPr>
  </w:style>
  <w:style w:type="paragraph" w:customStyle="1" w:styleId="EPFooter2Landscape">
    <w:name w:val="EPFooter2Landscape"/>
    <w:qFormat/>
    <w:rsid w:val="00A21F59"/>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A21F59"/>
    <w:rPr>
      <w:rFonts w:ascii="Arial" w:hAnsi="Arial"/>
      <w:b/>
      <w:i/>
      <w:color w:val="C0C0C0"/>
      <w:sz w:val="22"/>
    </w:rPr>
  </w:style>
  <w:style w:type="paragraph" w:customStyle="1" w:styleId="EPFooterLandscape">
    <w:name w:val="EPFooterLandscape"/>
    <w:qFormat/>
    <w:rsid w:val="00A21F59"/>
    <w:pPr>
      <w:tabs>
        <w:tab w:val="center" w:pos="6804"/>
        <w:tab w:val="right" w:pos="15026"/>
      </w:tabs>
    </w:pPr>
    <w:rPr>
      <w:sz w:val="22"/>
    </w:rPr>
  </w:style>
  <w:style w:type="character" w:customStyle="1" w:styleId="Italic">
    <w:name w:val="Italic"/>
    <w:uiPriority w:val="1"/>
    <w:rsid w:val="00A21F59"/>
    <w:rPr>
      <w:i/>
    </w:rPr>
  </w:style>
  <w:style w:type="character" w:customStyle="1" w:styleId="ItalicUnderline">
    <w:name w:val="ItalicUnderline"/>
    <w:uiPriority w:val="1"/>
    <w:rsid w:val="00A21F59"/>
    <w:rPr>
      <w:i/>
      <w:u w:val="single"/>
    </w:rPr>
  </w:style>
  <w:style w:type="paragraph" w:customStyle="1" w:styleId="LegendSign">
    <w:name w:val="LegendSign"/>
    <w:basedOn w:val="Normal"/>
    <w:qFormat/>
    <w:rsid w:val="00A21F59"/>
    <w:pPr>
      <w:tabs>
        <w:tab w:val="right" w:pos="454"/>
        <w:tab w:val="left" w:pos="737"/>
      </w:tabs>
      <w:ind w:left="737" w:hanging="737"/>
    </w:pPr>
    <w:rPr>
      <w:sz w:val="18"/>
    </w:rPr>
  </w:style>
  <w:style w:type="paragraph" w:customStyle="1" w:styleId="LegendStandard">
    <w:name w:val="LegendStandard"/>
    <w:basedOn w:val="LegendSign"/>
    <w:qFormat/>
    <w:rsid w:val="00A21F59"/>
    <w:pPr>
      <w:ind w:left="0" w:firstLine="0"/>
    </w:pPr>
  </w:style>
  <w:style w:type="paragraph" w:customStyle="1" w:styleId="LegendTitle">
    <w:name w:val="LegendTitle"/>
    <w:basedOn w:val="Normal"/>
    <w:qFormat/>
    <w:rsid w:val="00A21F59"/>
    <w:pPr>
      <w:spacing w:before="240" w:after="240"/>
    </w:pPr>
    <w:rPr>
      <w:b/>
      <w:i/>
    </w:rPr>
  </w:style>
  <w:style w:type="character" w:customStyle="1" w:styleId="HideTermComment">
    <w:name w:val="HideTermComment"/>
    <w:uiPriority w:val="1"/>
    <w:qFormat/>
    <w:rsid w:val="00A21F59"/>
    <w:rPr>
      <w:rFonts w:ascii="Arial" w:hAnsi="Arial"/>
      <w:vanish/>
      <w:color w:val="0066CC"/>
      <w:sz w:val="18"/>
    </w:rPr>
  </w:style>
  <w:style w:type="character" w:customStyle="1" w:styleId="HideTerminTermComment">
    <w:name w:val="HideTerminTermComment"/>
    <w:basedOn w:val="HideTermComment"/>
    <w:uiPriority w:val="1"/>
    <w:qFormat/>
    <w:rsid w:val="00A21F59"/>
    <w:rPr>
      <w:rFonts w:ascii="Arial" w:hAnsi="Arial"/>
      <w:vanish/>
      <w:color w:val="538135" w:themeColor="accent6" w:themeShade="BF"/>
      <w:sz w:val="18"/>
    </w:rPr>
  </w:style>
  <w:style w:type="paragraph" w:customStyle="1" w:styleId="Normal12a">
    <w:name w:val="Normal12a"/>
    <w:basedOn w:val="Normal"/>
    <w:rsid w:val="00A21F59"/>
    <w:pPr>
      <w:spacing w:after="240"/>
    </w:pPr>
  </w:style>
  <w:style w:type="paragraph" w:customStyle="1" w:styleId="Normal12b">
    <w:name w:val="Normal12b"/>
    <w:basedOn w:val="Normal"/>
    <w:qFormat/>
    <w:rsid w:val="00A21F59"/>
    <w:pPr>
      <w:spacing w:before="240"/>
    </w:pPr>
  </w:style>
  <w:style w:type="paragraph" w:customStyle="1" w:styleId="NormalBoldUnderline24b">
    <w:name w:val="NormalBoldUnderline24b"/>
    <w:basedOn w:val="Normal"/>
    <w:qFormat/>
    <w:rsid w:val="00A21F59"/>
    <w:pPr>
      <w:spacing w:before="480"/>
    </w:pPr>
    <w:rPr>
      <w:b/>
      <w:u w:val="single"/>
    </w:rPr>
  </w:style>
  <w:style w:type="paragraph" w:customStyle="1" w:styleId="NormalBoldUnderline24b12a">
    <w:name w:val="NormalBoldUnderline24b12a"/>
    <w:basedOn w:val="NormalBoldUnderline24b"/>
    <w:qFormat/>
    <w:rsid w:val="00A21F59"/>
    <w:pPr>
      <w:spacing w:after="240"/>
    </w:pPr>
  </w:style>
  <w:style w:type="paragraph" w:customStyle="1" w:styleId="Normal12aBullet1">
    <w:name w:val="Normal12aBullet1"/>
    <w:basedOn w:val="Normal"/>
    <w:qFormat/>
    <w:rsid w:val="00A21F59"/>
    <w:pPr>
      <w:widowControl/>
      <w:numPr>
        <w:numId w:val="45"/>
      </w:numPr>
    </w:pPr>
  </w:style>
  <w:style w:type="paragraph" w:customStyle="1" w:styleId="Normal12aBullet2">
    <w:name w:val="Normal12aBullet2"/>
    <w:basedOn w:val="Normal"/>
    <w:qFormat/>
    <w:rsid w:val="00A21F59"/>
    <w:pPr>
      <w:numPr>
        <w:numId w:val="46"/>
      </w:numPr>
    </w:pPr>
  </w:style>
  <w:style w:type="paragraph" w:customStyle="1" w:styleId="NormalHanging12a1">
    <w:name w:val="NormalHanging12a1"/>
    <w:basedOn w:val="Normal"/>
    <w:qFormat/>
    <w:rsid w:val="00A21F59"/>
    <w:pPr>
      <w:spacing w:after="240"/>
      <w:ind w:left="992" w:hanging="425"/>
    </w:pPr>
  </w:style>
  <w:style w:type="paragraph" w:customStyle="1" w:styleId="NormalHanging12a2">
    <w:name w:val="NormalHanging12a2"/>
    <w:basedOn w:val="NormalHanging12a1"/>
    <w:qFormat/>
    <w:rsid w:val="00A21F59"/>
    <w:pPr>
      <w:ind w:left="1417"/>
    </w:pPr>
  </w:style>
  <w:style w:type="paragraph" w:customStyle="1" w:styleId="NormalHanging12a3">
    <w:name w:val="NormalHanging12a3"/>
    <w:basedOn w:val="NormalHanging12a2"/>
    <w:qFormat/>
    <w:rsid w:val="00A21F59"/>
    <w:pPr>
      <w:ind w:left="1843"/>
    </w:pPr>
  </w:style>
  <w:style w:type="paragraph" w:customStyle="1" w:styleId="NormalHanging12a4">
    <w:name w:val="NormalHanging12a4"/>
    <w:basedOn w:val="NormalHanging12a3"/>
    <w:qFormat/>
    <w:rsid w:val="00A21F59"/>
    <w:pPr>
      <w:ind w:left="2268"/>
    </w:pPr>
  </w:style>
  <w:style w:type="paragraph" w:customStyle="1" w:styleId="NormalHanging12a5">
    <w:name w:val="NormalHanging12a5"/>
    <w:basedOn w:val="NormalHanging12a4"/>
    <w:qFormat/>
    <w:rsid w:val="00A21F59"/>
    <w:pPr>
      <w:ind w:left="2693"/>
    </w:pPr>
  </w:style>
  <w:style w:type="paragraph" w:customStyle="1" w:styleId="NormalHanging12a6">
    <w:name w:val="NormalHanging12a6"/>
    <w:basedOn w:val="NormalHanging12a5"/>
    <w:qFormat/>
    <w:rsid w:val="00A21F59"/>
    <w:pPr>
      <w:ind w:left="3118"/>
    </w:pPr>
  </w:style>
  <w:style w:type="paragraph" w:customStyle="1" w:styleId="NormalHanging12a7">
    <w:name w:val="NormalHanging12a7"/>
    <w:basedOn w:val="NormalHanging12a6"/>
    <w:qFormat/>
    <w:rsid w:val="00A21F59"/>
    <w:pPr>
      <w:ind w:left="3544"/>
    </w:pPr>
  </w:style>
  <w:style w:type="paragraph" w:customStyle="1" w:styleId="NormalHangingCenter">
    <w:name w:val="NormalHangingCenter"/>
    <w:basedOn w:val="Normal"/>
    <w:qFormat/>
    <w:rsid w:val="00A21F59"/>
    <w:pPr>
      <w:spacing w:after="240"/>
      <w:ind w:left="567" w:hanging="567"/>
      <w:jc w:val="center"/>
    </w:pPr>
  </w:style>
  <w:style w:type="paragraph" w:customStyle="1" w:styleId="NormalHangingJustified">
    <w:name w:val="NormalHangingJustified"/>
    <w:basedOn w:val="Normal"/>
    <w:qFormat/>
    <w:rsid w:val="00A21F59"/>
    <w:pPr>
      <w:spacing w:after="240"/>
      <w:ind w:left="714" w:hanging="357"/>
      <w:jc w:val="both"/>
    </w:pPr>
  </w:style>
  <w:style w:type="paragraph" w:customStyle="1" w:styleId="NormalUnderline24b12a">
    <w:name w:val="NormalUnderline24b12a"/>
    <w:basedOn w:val="EPComma"/>
    <w:qFormat/>
    <w:rsid w:val="00A21F59"/>
    <w:rPr>
      <w:snapToGrid/>
      <w:u w:val="single"/>
      <w:lang w:eastAsia="en-GB"/>
    </w:rPr>
  </w:style>
  <w:style w:type="paragraph" w:customStyle="1" w:styleId="Normal2">
    <w:name w:val="Normal2"/>
    <w:next w:val="Normal"/>
    <w:qFormat/>
    <w:rsid w:val="00A21F59"/>
    <w:pPr>
      <w:spacing w:line="120" w:lineRule="auto"/>
    </w:pPr>
    <w:rPr>
      <w:color w:val="000000"/>
      <w:sz w:val="4"/>
      <w:szCs w:val="24"/>
    </w:rPr>
  </w:style>
  <w:style w:type="character" w:customStyle="1" w:styleId="NormalBI">
    <w:name w:val="NormalBI"/>
    <w:basedOn w:val="DefaultParagraphFont"/>
    <w:uiPriority w:val="1"/>
    <w:qFormat/>
    <w:rsid w:val="00A21F59"/>
    <w:rPr>
      <w:rFonts w:ascii="Times New Roman" w:hAnsi="Times New Roman"/>
      <w:b/>
      <w:i/>
      <w:sz w:val="24"/>
    </w:rPr>
  </w:style>
  <w:style w:type="paragraph" w:customStyle="1" w:styleId="NormalBoldItalic6a">
    <w:name w:val="NormalBoldItalic6a"/>
    <w:basedOn w:val="Normal6a"/>
    <w:qFormat/>
    <w:rsid w:val="00A21F59"/>
    <w:rPr>
      <w:b/>
      <w:i/>
    </w:rPr>
  </w:style>
  <w:style w:type="paragraph" w:customStyle="1" w:styleId="NormalBoldItalicCenter6a">
    <w:name w:val="NormalBoldItalicCenter6a"/>
    <w:basedOn w:val="Normal6a"/>
    <w:qFormat/>
    <w:rsid w:val="00A21F59"/>
    <w:pPr>
      <w:jc w:val="center"/>
    </w:pPr>
    <w:rPr>
      <w:b/>
      <w:i/>
    </w:rPr>
  </w:style>
  <w:style w:type="paragraph" w:customStyle="1" w:styleId="NormalItalic6a">
    <w:name w:val="NormalItalic6a"/>
    <w:basedOn w:val="Normal6a"/>
    <w:qFormat/>
    <w:rsid w:val="00A21F59"/>
    <w:rPr>
      <w:i/>
    </w:rPr>
  </w:style>
  <w:style w:type="paragraph" w:customStyle="1" w:styleId="PageHeadingNotTOC">
    <w:name w:val="PageHeadingNotTOC"/>
    <w:basedOn w:val="PageHeading"/>
    <w:rsid w:val="00A21F59"/>
    <w:rPr>
      <w:rFonts w:cs="Times New Roman"/>
      <w:snapToGrid/>
      <w:lang w:eastAsia="en-GB"/>
    </w:rPr>
  </w:style>
  <w:style w:type="character" w:customStyle="1" w:styleId="Sub">
    <w:name w:val="Sub"/>
    <w:uiPriority w:val="1"/>
    <w:qFormat/>
    <w:rsid w:val="00A21F59"/>
    <w:rPr>
      <w:vertAlign w:val="subscript"/>
    </w:rPr>
  </w:style>
  <w:style w:type="character" w:customStyle="1" w:styleId="SubBold">
    <w:name w:val="SubBold"/>
    <w:uiPriority w:val="1"/>
    <w:qFormat/>
    <w:rsid w:val="00A21F59"/>
    <w:rPr>
      <w:b/>
      <w:vertAlign w:val="subscript"/>
    </w:rPr>
  </w:style>
  <w:style w:type="character" w:customStyle="1" w:styleId="SubBoldItalic">
    <w:name w:val="SubBoldItalic"/>
    <w:uiPriority w:val="1"/>
    <w:rsid w:val="00A21F59"/>
    <w:rPr>
      <w:b/>
      <w:i/>
      <w:vertAlign w:val="subscript"/>
    </w:rPr>
  </w:style>
  <w:style w:type="character" w:customStyle="1" w:styleId="SubItalic">
    <w:name w:val="SubItalic"/>
    <w:uiPriority w:val="1"/>
    <w:qFormat/>
    <w:rsid w:val="00A21F59"/>
    <w:rPr>
      <w:b/>
      <w:i/>
      <w:vertAlign w:val="subscript"/>
    </w:rPr>
  </w:style>
  <w:style w:type="character" w:customStyle="1" w:styleId="Sup">
    <w:name w:val="Sup"/>
    <w:uiPriority w:val="1"/>
    <w:rsid w:val="00A21F59"/>
    <w:rPr>
      <w:vertAlign w:val="superscript"/>
    </w:rPr>
  </w:style>
  <w:style w:type="character" w:customStyle="1" w:styleId="SupBoldItalic">
    <w:name w:val="SupBoldItalic"/>
    <w:uiPriority w:val="1"/>
    <w:qFormat/>
    <w:rsid w:val="00A21F59"/>
    <w:rPr>
      <w:b/>
      <w:i/>
      <w:vertAlign w:val="superscript"/>
    </w:rPr>
  </w:style>
  <w:style w:type="character" w:customStyle="1" w:styleId="Underline">
    <w:name w:val="Underline"/>
    <w:uiPriority w:val="1"/>
    <w:rsid w:val="00A21F59"/>
    <w:rPr>
      <w:u w:val="single"/>
    </w:rPr>
  </w:style>
  <w:style w:type="paragraph" w:customStyle="1" w:styleId="NormalBoldCenter">
    <w:name w:val="NormalBoldCenter"/>
    <w:basedOn w:val="Normal"/>
    <w:rsid w:val="00A21F59"/>
    <w:pPr>
      <w:jc w:val="center"/>
    </w:pPr>
    <w:rPr>
      <w:b/>
    </w:rPr>
  </w:style>
  <w:style w:type="paragraph" w:customStyle="1" w:styleId="ProcedureTable">
    <w:name w:val="ProcedureTable"/>
    <w:basedOn w:val="Normal"/>
    <w:rsid w:val="00A21F59"/>
    <w:rPr>
      <w:sz w:val="20"/>
    </w:rPr>
  </w:style>
  <w:style w:type="paragraph" w:customStyle="1" w:styleId="ProcedureTableBold">
    <w:name w:val="ProcedureTableBold"/>
    <w:basedOn w:val="Normal"/>
    <w:rsid w:val="00A21F59"/>
    <w:rPr>
      <w:b/>
      <w:sz w:val="20"/>
    </w:rPr>
  </w:style>
  <w:style w:type="paragraph" w:customStyle="1" w:styleId="NormalCenter">
    <w:name w:val="NormalCenter"/>
    <w:basedOn w:val="Normal"/>
    <w:rsid w:val="00A21F59"/>
    <w:pPr>
      <w:jc w:val="center"/>
    </w:pPr>
  </w:style>
  <w:style w:type="character" w:customStyle="1" w:styleId="SubBoldItalicUnderline">
    <w:name w:val="SubBoldItalicUnderline"/>
    <w:uiPriority w:val="1"/>
    <w:rsid w:val="00A21F59"/>
    <w:rPr>
      <w:b/>
      <w:i/>
      <w:u w:val="single"/>
      <w:vertAlign w:val="subscript"/>
    </w:rPr>
  </w:style>
  <w:style w:type="character" w:customStyle="1" w:styleId="SubBoldUnderline">
    <w:name w:val="SubBoldUnderline"/>
    <w:uiPriority w:val="1"/>
    <w:rsid w:val="00A21F59"/>
    <w:rPr>
      <w:b/>
      <w:u w:val="single"/>
      <w:vertAlign w:val="subscript"/>
    </w:rPr>
  </w:style>
  <w:style w:type="character" w:customStyle="1" w:styleId="SubItalicUnderline">
    <w:name w:val="SubItalicUnderline"/>
    <w:uiPriority w:val="1"/>
    <w:rsid w:val="00A21F59"/>
    <w:rPr>
      <w:i/>
      <w:u w:val="single"/>
      <w:vertAlign w:val="subscript"/>
    </w:rPr>
  </w:style>
  <w:style w:type="character" w:customStyle="1" w:styleId="SubUnderline">
    <w:name w:val="SubUnderline"/>
    <w:uiPriority w:val="1"/>
    <w:rsid w:val="00A21F59"/>
    <w:rPr>
      <w:u w:val="single"/>
      <w:vertAlign w:val="subscript"/>
    </w:rPr>
  </w:style>
  <w:style w:type="character" w:customStyle="1" w:styleId="SupBold">
    <w:name w:val="SupBold"/>
    <w:uiPriority w:val="1"/>
    <w:rsid w:val="00A21F59"/>
    <w:rPr>
      <w:b/>
      <w:vertAlign w:val="superscript"/>
    </w:rPr>
  </w:style>
  <w:style w:type="character" w:customStyle="1" w:styleId="SupBoldItalicUnderline">
    <w:name w:val="SupBoldItalicUnderline"/>
    <w:uiPriority w:val="1"/>
    <w:rsid w:val="00A21F59"/>
    <w:rPr>
      <w:b/>
      <w:i/>
      <w:u w:val="single"/>
      <w:vertAlign w:val="superscript"/>
    </w:rPr>
  </w:style>
  <w:style w:type="character" w:customStyle="1" w:styleId="SupBoldUnderline">
    <w:name w:val="SupBoldUnderline"/>
    <w:uiPriority w:val="1"/>
    <w:rsid w:val="00A21F59"/>
    <w:rPr>
      <w:b/>
      <w:u w:val="single"/>
      <w:vertAlign w:val="superscript"/>
    </w:rPr>
  </w:style>
  <w:style w:type="character" w:customStyle="1" w:styleId="SupItalic">
    <w:name w:val="SupItalic"/>
    <w:uiPriority w:val="1"/>
    <w:rsid w:val="00A21F59"/>
    <w:rPr>
      <w:i/>
      <w:vertAlign w:val="superscript"/>
    </w:rPr>
  </w:style>
  <w:style w:type="character" w:customStyle="1" w:styleId="SupItalicUnderline">
    <w:name w:val="SupItalicUnderline"/>
    <w:uiPriority w:val="1"/>
    <w:rsid w:val="00A21F59"/>
    <w:rPr>
      <w:i/>
      <w:u w:val="single"/>
      <w:vertAlign w:val="superscript"/>
    </w:rPr>
  </w:style>
  <w:style w:type="character" w:customStyle="1" w:styleId="SupUnderline">
    <w:name w:val="SupUnderline"/>
    <w:uiPriority w:val="1"/>
    <w:rsid w:val="00A21F59"/>
    <w:rPr>
      <w:u w:val="single"/>
      <w:vertAlign w:val="superscript"/>
    </w:rPr>
  </w:style>
  <w:style w:type="paragraph" w:customStyle="1" w:styleId="Normal24a">
    <w:name w:val="Normal24a"/>
    <w:basedOn w:val="Normal"/>
    <w:rsid w:val="00A21F59"/>
    <w:pPr>
      <w:spacing w:after="480"/>
    </w:pPr>
  </w:style>
  <w:style w:type="paragraph" w:customStyle="1" w:styleId="Normal12a24b">
    <w:name w:val="Normal12a24b"/>
    <w:basedOn w:val="Normal"/>
    <w:rsid w:val="00A21F59"/>
    <w:pPr>
      <w:spacing w:before="360" w:after="240"/>
    </w:pPr>
    <w:rPr>
      <w:snapToGrid w:val="0"/>
      <w:lang w:eastAsia="en-US"/>
    </w:rPr>
  </w:style>
  <w:style w:type="paragraph" w:customStyle="1" w:styleId="NormalTab">
    <w:name w:val="NormalTab"/>
    <w:basedOn w:val="Normal"/>
    <w:rsid w:val="00A21F59"/>
    <w:pPr>
      <w:tabs>
        <w:tab w:val="center" w:pos="284"/>
        <w:tab w:val="left" w:pos="425"/>
      </w:tabs>
    </w:pPr>
  </w:style>
  <w:style w:type="character" w:styleId="Hyperlink">
    <w:name w:val="Hyperlink"/>
    <w:basedOn w:val="DefaultParagraphFont"/>
    <w:uiPriority w:val="99"/>
    <w:rsid w:val="00A21F59"/>
    <w:rPr>
      <w:color w:val="0000FF"/>
      <w:u w:val="single"/>
    </w:rPr>
  </w:style>
  <w:style w:type="character" w:customStyle="1" w:styleId="NormalBoldChar">
    <w:name w:val="NormalBold Char"/>
    <w:basedOn w:val="DefaultParagraphFont"/>
    <w:link w:val="NormalBold"/>
    <w:locked/>
    <w:rsid w:val="00A21F59"/>
    <w:rPr>
      <w:b/>
      <w:snapToGrid w:val="0"/>
      <w:sz w:val="24"/>
      <w:lang w:val="cs-CZ" w:eastAsia="en-US"/>
    </w:rPr>
  </w:style>
  <w:style w:type="character" w:customStyle="1" w:styleId="NormalHanging12aChar">
    <w:name w:val="NormalHanging12a Char"/>
    <w:basedOn w:val="DefaultParagraphFont"/>
    <w:link w:val="NormalHanging12a"/>
    <w:rsid w:val="00A21F59"/>
    <w:rPr>
      <w:snapToGrid w:val="0"/>
      <w:sz w:val="24"/>
      <w:lang w:val="cs-CZ" w:eastAsia="en-US"/>
    </w:rPr>
  </w:style>
  <w:style w:type="character" w:customStyle="1" w:styleId="AmNumberTabsChar">
    <w:name w:val="AmNumberTabs Char"/>
    <w:basedOn w:val="DefaultParagraphFont"/>
    <w:link w:val="AmNumberTabs"/>
    <w:locked/>
    <w:rsid w:val="00A21F59"/>
    <w:rPr>
      <w:b/>
      <w:sz w:val="24"/>
      <w:lang w:val="cs-CZ"/>
    </w:rPr>
  </w:style>
  <w:style w:type="character" w:customStyle="1" w:styleId="NormalBold12bChar">
    <w:name w:val="NormalBold12b Char"/>
    <w:basedOn w:val="AmNumberTabsChar"/>
    <w:link w:val="NormalBold12b"/>
    <w:locked/>
    <w:rsid w:val="00A21F59"/>
    <w:rPr>
      <w:b/>
      <w:sz w:val="24"/>
      <w:lang w:val="cs-CZ"/>
    </w:rPr>
  </w:style>
  <w:style w:type="paragraph" w:styleId="BalloonText">
    <w:name w:val="Balloon Text"/>
    <w:basedOn w:val="Normal"/>
    <w:link w:val="BalloonTextChar"/>
    <w:unhideWhenUsed/>
    <w:rsid w:val="00A21F59"/>
    <w:rPr>
      <w:rFonts w:ascii="Segoe UI" w:hAnsi="Segoe UI" w:cs="Segoe UI"/>
      <w:snapToGrid w:val="0"/>
      <w:sz w:val="18"/>
      <w:szCs w:val="18"/>
      <w:lang w:val="en-GB" w:eastAsia="en-US"/>
    </w:rPr>
  </w:style>
  <w:style w:type="character" w:customStyle="1" w:styleId="BalloonTextChar">
    <w:name w:val="Balloon Text Char"/>
    <w:basedOn w:val="DefaultParagraphFont"/>
    <w:link w:val="BalloonText"/>
    <w:rsid w:val="00A21F59"/>
    <w:rPr>
      <w:rFonts w:ascii="Segoe UI" w:hAnsi="Segoe UI" w:cs="Segoe UI"/>
      <w:snapToGrid w:val="0"/>
      <w:sz w:val="18"/>
      <w:szCs w:val="18"/>
      <w:lang w:eastAsia="en-US"/>
    </w:rPr>
  </w:style>
  <w:style w:type="paragraph" w:styleId="NormalWeb">
    <w:name w:val="Normal (Web)"/>
    <w:basedOn w:val="Normal"/>
    <w:uiPriority w:val="99"/>
    <w:unhideWhenUsed/>
    <w:rsid w:val="00A21F59"/>
    <w:pPr>
      <w:widowControl/>
      <w:spacing w:before="100" w:beforeAutospacing="1" w:after="100" w:afterAutospacing="1"/>
    </w:pPr>
    <w:rPr>
      <w:szCs w:val="24"/>
      <w:lang w:val="en-GB"/>
    </w:rPr>
  </w:style>
  <w:style w:type="character" w:styleId="Strong">
    <w:name w:val="Strong"/>
    <w:basedOn w:val="DefaultParagraphFont"/>
    <w:uiPriority w:val="22"/>
    <w:qFormat/>
    <w:rsid w:val="00A21F59"/>
    <w:rPr>
      <w:b/>
      <w:bCs/>
    </w:rPr>
  </w:style>
  <w:style w:type="character" w:styleId="Emphasis">
    <w:name w:val="Emphasis"/>
    <w:basedOn w:val="DefaultParagraphFont"/>
    <w:uiPriority w:val="20"/>
    <w:qFormat/>
    <w:rsid w:val="00A21F59"/>
    <w:rPr>
      <w:i/>
      <w:iCs/>
    </w:rPr>
  </w:style>
  <w:style w:type="paragraph" w:customStyle="1" w:styleId="Footprint12b">
    <w:name w:val="Footprint12b"/>
    <w:basedOn w:val="Normal"/>
    <w:rsid w:val="00A21F59"/>
    <w:pPr>
      <w:spacing w:before="240"/>
    </w:pPr>
    <w:rPr>
      <w:szCs w:val="24"/>
      <w:lang w:val="en-GB"/>
    </w:rPr>
  </w:style>
  <w:style w:type="paragraph" w:customStyle="1" w:styleId="NormalSingle">
    <w:name w:val="NormalSingle"/>
    <w:basedOn w:val="Normal"/>
    <w:qFormat/>
    <w:rsid w:val="00A21F59"/>
    <w:rPr>
      <w:szCs w:val="24"/>
      <w:lang w:val="en-GB"/>
    </w:rPr>
  </w:style>
  <w:style w:type="paragraph" w:customStyle="1" w:styleId="Normal12a12b">
    <w:name w:val="Normal12a12b"/>
    <w:basedOn w:val="Normal"/>
    <w:rsid w:val="00A21F59"/>
    <w:pPr>
      <w:spacing w:before="240" w:after="240"/>
    </w:pPr>
    <w:rPr>
      <w:lang w:val="en-GB"/>
    </w:rPr>
  </w:style>
  <w:style w:type="paragraph" w:customStyle="1" w:styleId="NormalHanging12a8">
    <w:name w:val="NormalHanging12a8"/>
    <w:basedOn w:val="NormalHanging12a7"/>
    <w:qFormat/>
    <w:rsid w:val="00A21F59"/>
    <w:pPr>
      <w:ind w:left="3969"/>
    </w:pPr>
    <w:rPr>
      <w:lang w:val="en-GB"/>
    </w:rPr>
  </w:style>
  <w:style w:type="paragraph" w:customStyle="1" w:styleId="Normal12HangingCenter">
    <w:name w:val="Normal12HangingCenter"/>
    <w:basedOn w:val="Normal"/>
    <w:qFormat/>
    <w:rsid w:val="00A21F59"/>
    <w:pPr>
      <w:spacing w:after="240"/>
      <w:ind w:left="567" w:hanging="567"/>
      <w:jc w:val="center"/>
    </w:pPr>
    <w:rPr>
      <w:lang w:val="en-GB"/>
    </w:rPr>
  </w:style>
  <w:style w:type="paragraph" w:customStyle="1" w:styleId="Normal12HangingJustified">
    <w:name w:val="Normal12HangingJustified"/>
    <w:basedOn w:val="Normal"/>
    <w:qFormat/>
    <w:rsid w:val="00A21F59"/>
    <w:pPr>
      <w:spacing w:after="240"/>
      <w:ind w:left="714" w:hanging="357"/>
      <w:jc w:val="both"/>
    </w:pPr>
    <w:rPr>
      <w:lang w:val="en-GB"/>
    </w:rPr>
  </w:style>
  <w:style w:type="paragraph" w:customStyle="1" w:styleId="Olang">
    <w:name w:val="Olang"/>
    <w:basedOn w:val="Normal"/>
    <w:rsid w:val="00A21F59"/>
    <w:pPr>
      <w:spacing w:before="240" w:after="240"/>
      <w:jc w:val="right"/>
    </w:pPr>
    <w:rPr>
      <w:noProof/>
      <w:lang w:val="en-GB"/>
    </w:rPr>
  </w:style>
  <w:style w:type="paragraph" w:customStyle="1" w:styleId="msonormal0">
    <w:name w:val="msonormal"/>
    <w:basedOn w:val="Normal"/>
    <w:rsid w:val="00A21F59"/>
    <w:pPr>
      <w:widowControl/>
      <w:spacing w:before="100" w:beforeAutospacing="1" w:after="100" w:afterAutospacing="1"/>
    </w:pPr>
    <w:rPr>
      <w:szCs w:val="24"/>
      <w:lang w:val="en-GB"/>
    </w:rPr>
  </w:style>
  <w:style w:type="character" w:customStyle="1" w:styleId="CommentTextChar">
    <w:name w:val="Comment Text Char"/>
    <w:basedOn w:val="DefaultParagraphFont"/>
    <w:link w:val="CommentText"/>
    <w:rsid w:val="00A21F59"/>
  </w:style>
  <w:style w:type="paragraph" w:styleId="CommentText">
    <w:name w:val="annotation text"/>
    <w:basedOn w:val="Normal"/>
    <w:link w:val="CommentTextChar"/>
    <w:unhideWhenUsed/>
    <w:rsid w:val="00A21F59"/>
    <w:rPr>
      <w:sz w:val="20"/>
      <w:lang w:val="en-GB"/>
    </w:rPr>
  </w:style>
  <w:style w:type="character" w:customStyle="1" w:styleId="CommentTextChar1">
    <w:name w:val="Comment Text Char1"/>
    <w:basedOn w:val="DefaultParagraphFont"/>
    <w:rsid w:val="00A21F59"/>
    <w:rPr>
      <w:lang w:val="cs-CZ"/>
    </w:rPr>
  </w:style>
  <w:style w:type="character" w:customStyle="1" w:styleId="FooterChar1">
    <w:name w:val="Footer Char1"/>
    <w:basedOn w:val="DefaultParagraphFont"/>
    <w:semiHidden/>
    <w:rsid w:val="00A21F59"/>
    <w:rPr>
      <w:snapToGrid w:val="0"/>
      <w:sz w:val="24"/>
      <w:lang w:eastAsia="en-US"/>
    </w:rPr>
  </w:style>
  <w:style w:type="character" w:customStyle="1" w:styleId="CommentSubjectChar">
    <w:name w:val="Comment Subject Char"/>
    <w:basedOn w:val="CommentTextChar"/>
    <w:link w:val="CommentSubject"/>
    <w:rsid w:val="00A21F59"/>
    <w:rPr>
      <w:b/>
      <w:bCs/>
    </w:rPr>
  </w:style>
  <w:style w:type="paragraph" w:styleId="CommentSubject">
    <w:name w:val="annotation subject"/>
    <w:basedOn w:val="CommentText"/>
    <w:next w:val="CommentText"/>
    <w:link w:val="CommentSubjectChar"/>
    <w:unhideWhenUsed/>
    <w:rsid w:val="00A21F59"/>
    <w:rPr>
      <w:b/>
      <w:bCs/>
    </w:rPr>
  </w:style>
  <w:style w:type="character" w:customStyle="1" w:styleId="CommentSubjectChar1">
    <w:name w:val="Comment Subject Char1"/>
    <w:basedOn w:val="CommentTextChar1"/>
    <w:rsid w:val="00A21F59"/>
    <w:rPr>
      <w:b/>
      <w:bCs/>
      <w:lang w:val="cs-CZ"/>
    </w:rPr>
  </w:style>
  <w:style w:type="paragraph" w:customStyle="1" w:styleId="AmDocTypeTab">
    <w:name w:val="AmDocTypeTab"/>
    <w:basedOn w:val="Normal"/>
    <w:rsid w:val="00A21F59"/>
    <w:pPr>
      <w:tabs>
        <w:tab w:val="right" w:pos="9071"/>
      </w:tabs>
    </w:pPr>
    <w:rPr>
      <w:b/>
      <w:lang w:val="en-GB"/>
    </w:rPr>
  </w:style>
  <w:style w:type="paragraph" w:customStyle="1" w:styleId="AmDateTab">
    <w:name w:val="AmDateTab"/>
    <w:basedOn w:val="Normal"/>
    <w:rsid w:val="00A21F59"/>
    <w:pPr>
      <w:tabs>
        <w:tab w:val="right" w:pos="9071"/>
      </w:tabs>
    </w:pPr>
    <w:rPr>
      <w:lang w:val="en-GB"/>
    </w:rPr>
  </w:style>
  <w:style w:type="paragraph" w:customStyle="1" w:styleId="normal24a0">
    <w:name w:val="normal24a"/>
    <w:basedOn w:val="Normal"/>
    <w:rsid w:val="00A21F59"/>
    <w:pPr>
      <w:widowControl/>
      <w:spacing w:after="480"/>
    </w:pPr>
    <w:rPr>
      <w:rFonts w:eastAsiaTheme="minorHAnsi"/>
      <w:szCs w:val="24"/>
      <w:lang w:val="en-GB"/>
    </w:rPr>
  </w:style>
  <w:style w:type="paragraph" w:customStyle="1" w:styleId="RollCallSymbols14pt">
    <w:name w:val="RollCallSymbols14pt"/>
    <w:basedOn w:val="Normal"/>
    <w:rsid w:val="00A21F59"/>
    <w:pPr>
      <w:snapToGrid w:val="0"/>
      <w:spacing w:before="120" w:after="120"/>
      <w:jc w:val="center"/>
    </w:pPr>
    <w:rPr>
      <w:rFonts w:ascii="Arial" w:hAnsi="Arial"/>
      <w:b/>
      <w:bCs/>
      <w:sz w:val="28"/>
      <w:lang w:val="en-GB" w:eastAsia="en-US"/>
    </w:rPr>
  </w:style>
  <w:style w:type="paragraph" w:customStyle="1" w:styleId="RollCallTabs">
    <w:name w:val="RollCallTabs"/>
    <w:basedOn w:val="Normal"/>
    <w:qFormat/>
    <w:rsid w:val="00A21F59"/>
    <w:pPr>
      <w:tabs>
        <w:tab w:val="center" w:pos="284"/>
        <w:tab w:val="left" w:pos="426"/>
      </w:tabs>
      <w:snapToGrid w:val="0"/>
    </w:pPr>
    <w:rPr>
      <w:lang w:val="en-GB" w:eastAsia="en-US"/>
    </w:rPr>
  </w:style>
  <w:style w:type="paragraph" w:customStyle="1" w:styleId="RollCallVotes">
    <w:name w:val="RollCallVotes"/>
    <w:basedOn w:val="Normal"/>
    <w:rsid w:val="00A21F59"/>
    <w:pPr>
      <w:snapToGrid w:val="0"/>
      <w:spacing w:before="120" w:after="120"/>
      <w:jc w:val="center"/>
    </w:pPr>
    <w:rPr>
      <w:b/>
      <w:bCs/>
      <w:sz w:val="16"/>
      <w:lang w:val="en-GB" w:eastAsia="en-US"/>
    </w:rPr>
  </w:style>
  <w:style w:type="paragraph" w:customStyle="1" w:styleId="RollCallTable">
    <w:name w:val="RollCallTable"/>
    <w:basedOn w:val="Normal"/>
    <w:rsid w:val="00A21F59"/>
    <w:pPr>
      <w:snapToGrid w:val="0"/>
      <w:spacing w:before="120" w:after="120"/>
    </w:pPr>
    <w:rPr>
      <w:sz w:val="16"/>
      <w:lang w:val="en-GB" w:eastAsia="en-US"/>
    </w:rPr>
  </w:style>
  <w:style w:type="paragraph" w:customStyle="1" w:styleId="CoverBold">
    <w:name w:val="CoverBold"/>
    <w:basedOn w:val="Normal"/>
    <w:rsid w:val="00A21F59"/>
    <w:pPr>
      <w:ind w:left="1416"/>
    </w:pPr>
    <w:rPr>
      <w:b/>
      <w:szCs w:val="24"/>
      <w:lang w:val="en-GB" w:eastAsia="en-US"/>
    </w:rPr>
  </w:style>
  <w:style w:type="paragraph" w:customStyle="1" w:styleId="NormalBold12b12a">
    <w:name w:val="NormalBold12b12a"/>
    <w:basedOn w:val="Normal"/>
    <w:next w:val="NormalBold"/>
    <w:rsid w:val="00A21F59"/>
    <w:pPr>
      <w:spacing w:before="240" w:after="240"/>
    </w:pPr>
    <w:rPr>
      <w:b/>
      <w:szCs w:val="24"/>
      <w:lang w:val="en-GB" w:eastAsia="en-US"/>
    </w:rPr>
  </w:style>
  <w:style w:type="paragraph" w:customStyle="1" w:styleId="Normal0">
    <w:name w:val="Normal0"/>
    <w:basedOn w:val="Normal"/>
    <w:rsid w:val="00A21F59"/>
    <w:rPr>
      <w:sz w:val="2"/>
      <w:szCs w:val="24"/>
      <w:lang w:val="en-GB" w:eastAsia="en-US"/>
    </w:rPr>
  </w:style>
  <w:style w:type="paragraph" w:customStyle="1" w:styleId="PMissingStyle">
    <w:name w:val="P_MissingStyle"/>
    <w:basedOn w:val="Normal"/>
    <w:rsid w:val="00A21F59"/>
    <w:pPr>
      <w:shd w:val="clear" w:color="auto" w:fill="000000"/>
    </w:pPr>
    <w:rPr>
      <w:color w:val="FFFFFF"/>
      <w:szCs w:val="24"/>
      <w:lang w:val="en-GB" w:eastAsia="en-US"/>
    </w:rPr>
  </w:style>
  <w:style w:type="character" w:customStyle="1" w:styleId="Normal6Char">
    <w:name w:val="Normal6 Char"/>
    <w:basedOn w:val="DefaultParagraphFont"/>
    <w:link w:val="Normal6"/>
    <w:locked/>
    <w:rsid w:val="00A21F59"/>
    <w:rPr>
      <w:sz w:val="24"/>
      <w:lang w:val="fr-FR"/>
    </w:rPr>
  </w:style>
  <w:style w:type="paragraph" w:customStyle="1" w:styleId="Normal6">
    <w:name w:val="Normal6"/>
    <w:basedOn w:val="Normal"/>
    <w:link w:val="Normal6Char"/>
    <w:rsid w:val="00A21F59"/>
    <w:pPr>
      <w:spacing w:after="120"/>
    </w:pPr>
    <w:rPr>
      <w:lang w:val="fr-FR"/>
    </w:rPr>
  </w:style>
  <w:style w:type="paragraph" w:customStyle="1" w:styleId="AMNumberTabs0">
    <w:name w:val="AMNumberTabs"/>
    <w:basedOn w:val="Normal"/>
    <w:rsid w:val="00A21F5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paragraph" w:customStyle="1" w:styleId="ColumnHeading">
    <w:name w:val="ColumnHeading"/>
    <w:basedOn w:val="Normal"/>
    <w:rsid w:val="00A21F59"/>
    <w:pPr>
      <w:spacing w:after="240"/>
      <w:jc w:val="center"/>
    </w:pPr>
    <w:rPr>
      <w:i/>
      <w:lang w:val="fr-FR"/>
    </w:rPr>
  </w:style>
  <w:style w:type="character" w:customStyle="1" w:styleId="EPFooter2Middle">
    <w:name w:val="EPFooter2Middle"/>
    <w:rsid w:val="00A21F59"/>
    <w:rPr>
      <w:rFonts w:ascii="Arial" w:hAnsi="Arial" w:cs="Arial" w:hint="default"/>
      <w:b w:val="0"/>
      <w:bCs w:val="0"/>
      <w:i/>
      <w:iCs w:val="0"/>
      <w:color w:val="AEAAAA"/>
      <w:sz w:val="22"/>
      <w:shd w:val="pct50" w:color="auto" w:fill="auto"/>
    </w:rPr>
  </w:style>
  <w:style w:type="character" w:customStyle="1" w:styleId="CMissingStyle">
    <w:name w:val="C_MissingStyle"/>
    <w:rsid w:val="00A21F59"/>
    <w:rPr>
      <w:color w:val="FFFFFF"/>
      <w:sz w:val="22"/>
      <w:shd w:val="clear" w:color="auto" w:fill="000000"/>
    </w:rPr>
  </w:style>
  <w:style w:type="character" w:styleId="CommentReference">
    <w:name w:val="annotation reference"/>
    <w:basedOn w:val="DefaultParagraphFont"/>
    <w:unhideWhenUsed/>
    <w:rsid w:val="00A21F59"/>
    <w:rPr>
      <w:sz w:val="16"/>
      <w:szCs w:val="16"/>
    </w:rPr>
  </w:style>
  <w:style w:type="paragraph" w:styleId="Revision">
    <w:name w:val="Revision"/>
    <w:hidden/>
    <w:uiPriority w:val="99"/>
    <w:semiHidden/>
    <w:rsid w:val="00A21F59"/>
    <w:rPr>
      <w:snapToGrid w:val="0"/>
      <w:sz w:val="24"/>
      <w:lang w:eastAsia="en-US"/>
    </w:rPr>
  </w:style>
  <w:style w:type="character" w:customStyle="1" w:styleId="UnresolvedMention1">
    <w:name w:val="Unresolved Mention1"/>
    <w:basedOn w:val="DefaultParagraphFont"/>
    <w:uiPriority w:val="99"/>
    <w:semiHidden/>
    <w:unhideWhenUsed/>
    <w:rsid w:val="00A21F59"/>
    <w:rPr>
      <w:color w:val="605E5C"/>
      <w:shd w:val="clear" w:color="auto" w:fill="E1DFDD"/>
    </w:rPr>
  </w:style>
  <w:style w:type="character" w:styleId="FollowedHyperlink">
    <w:name w:val="FollowedHyperlink"/>
    <w:basedOn w:val="DefaultParagraphFont"/>
    <w:unhideWhenUsed/>
    <w:rsid w:val="00A21F59"/>
    <w:rPr>
      <w:color w:val="954F72" w:themeColor="followedHyperlink"/>
      <w:u w:val="single"/>
    </w:rPr>
  </w:style>
  <w:style w:type="character" w:customStyle="1" w:styleId="UnresolvedMention2">
    <w:name w:val="Unresolved Mention2"/>
    <w:basedOn w:val="DefaultParagraphFont"/>
    <w:uiPriority w:val="99"/>
    <w:semiHidden/>
    <w:unhideWhenUsed/>
    <w:rsid w:val="00A21F59"/>
    <w:rPr>
      <w:color w:val="605E5C"/>
      <w:shd w:val="clear" w:color="auto" w:fill="E1DFDD"/>
    </w:rPr>
  </w:style>
  <w:style w:type="paragraph" w:styleId="Footer">
    <w:name w:val="footer"/>
    <w:basedOn w:val="Normal"/>
    <w:link w:val="FooterChar"/>
    <w:unhideWhenUsed/>
    <w:rsid w:val="00A21F59"/>
    <w:pPr>
      <w:tabs>
        <w:tab w:val="center" w:pos="4513"/>
        <w:tab w:val="right" w:pos="9026"/>
      </w:tabs>
    </w:pPr>
    <w:rPr>
      <w:snapToGrid w:val="0"/>
      <w:lang w:eastAsia="en-US"/>
    </w:rPr>
  </w:style>
  <w:style w:type="character" w:customStyle="1" w:styleId="FooterChar">
    <w:name w:val="Footer Char"/>
    <w:basedOn w:val="DefaultParagraphFont"/>
    <w:link w:val="Footer"/>
    <w:rsid w:val="00A21F59"/>
    <w:rPr>
      <w:snapToGrid w:val="0"/>
      <w:sz w:val="24"/>
      <w:lang w:val="cs-CZ" w:eastAsia="en-US"/>
    </w:rPr>
  </w:style>
  <w:style w:type="character" w:styleId="UnresolvedMention">
    <w:name w:val="Unresolved Mention"/>
    <w:basedOn w:val="DefaultParagraphFont"/>
    <w:uiPriority w:val="99"/>
    <w:semiHidden/>
    <w:unhideWhenUsed/>
    <w:rsid w:val="00FB10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eurostat/statistics-explained/index.php?title=Agriculture_statistics_-_family_farming_in_the_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15953</Words>
  <Characters>97879</Characters>
  <Application>Microsoft Office Word</Application>
  <DocSecurity>0</DocSecurity>
  <Lines>815</Lines>
  <Paragraphs>227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2025-09-10T13:41:00Z</dcterms:created>
  <dcterms:modified xsi:type="dcterms:W3CDTF">2025-09-10T13:41:00Z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A10-0143/2025</vt:lpwstr>
  </property>
  <property fmtid="{D5CDD505-2E9C-101B-9397-08002B2CF9AE}" pid="4" name="&lt;Type&gt;">
    <vt:lpwstr>RR</vt:lpwstr>
  </property>
</Properties>
</file>