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0F7F" w14:paraId="1D5C9D63" w14:textId="77777777" w:rsidTr="0010095E">
        <w:trPr>
          <w:trHeight w:hRule="exact" w:val="1418"/>
        </w:trPr>
        <w:tc>
          <w:tcPr>
            <w:tcW w:w="6804" w:type="dxa"/>
            <w:shd w:val="clear" w:color="auto" w:fill="auto"/>
            <w:vAlign w:val="center"/>
          </w:tcPr>
          <w:p w14:paraId="7D2AD8C0" w14:textId="77777777" w:rsidR="00751A4A" w:rsidRPr="00B00F7F" w:rsidRDefault="00491430" w:rsidP="0010095E">
            <w:pPr>
              <w:pStyle w:val="EPName"/>
            </w:pPr>
            <w:r w:rsidRPr="00B00F7F">
              <w:t>Evropský parlament</w:t>
            </w:r>
          </w:p>
          <w:p w14:paraId="6FCA4777" w14:textId="77777777" w:rsidR="00751A4A" w:rsidRPr="00B00F7F" w:rsidRDefault="005F1B17" w:rsidP="005F1B17">
            <w:pPr>
              <w:pStyle w:val="EPTerm"/>
              <w:rPr>
                <w:rStyle w:val="HideTWBExt"/>
                <w:noProof w:val="0"/>
                <w:vanish w:val="0"/>
                <w:color w:val="auto"/>
              </w:rPr>
            </w:pPr>
            <w:r w:rsidRPr="00B00F7F">
              <w:t>2024</w:t>
            </w:r>
            <w:r w:rsidR="00817416" w:rsidRPr="00B00F7F">
              <w:t>-202</w:t>
            </w:r>
            <w:r w:rsidRPr="00B00F7F">
              <w:t>9</w:t>
            </w:r>
          </w:p>
        </w:tc>
        <w:tc>
          <w:tcPr>
            <w:tcW w:w="2268" w:type="dxa"/>
            <w:shd w:val="clear" w:color="auto" w:fill="auto"/>
          </w:tcPr>
          <w:p w14:paraId="3E249B0A" w14:textId="77777777" w:rsidR="00751A4A" w:rsidRPr="00B00F7F" w:rsidRDefault="00187494" w:rsidP="0010095E">
            <w:pPr>
              <w:pStyle w:val="EPLogo"/>
            </w:pPr>
            <w:r w:rsidRPr="00B00F7F">
              <w:rPr>
                <w:noProof/>
                <w:lang w:eastAsia="ja-JP"/>
              </w:rPr>
              <w:drawing>
                <wp:inline distT="0" distB="0" distL="0" distR="0" wp14:anchorId="18D79711" wp14:editId="21CB2C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0E8EC6" w14:textId="77777777" w:rsidR="00D058B8" w:rsidRPr="00B00F7F" w:rsidRDefault="00D058B8" w:rsidP="004C5D52">
      <w:pPr>
        <w:pStyle w:val="LineTop"/>
      </w:pPr>
    </w:p>
    <w:p w14:paraId="1A87F110" w14:textId="77777777" w:rsidR="00680577" w:rsidRPr="00B00F7F" w:rsidRDefault="00491430" w:rsidP="00680577">
      <w:pPr>
        <w:pStyle w:val="EPBodyTA1"/>
      </w:pPr>
      <w:r w:rsidRPr="00B00F7F">
        <w:t>PŘIJATÉ TEXTY</w:t>
      </w:r>
    </w:p>
    <w:p w14:paraId="6C37AFF4" w14:textId="77777777" w:rsidR="00D058B8" w:rsidRPr="00B00F7F" w:rsidRDefault="00D058B8" w:rsidP="00D058B8">
      <w:pPr>
        <w:pStyle w:val="LineBottom"/>
      </w:pPr>
    </w:p>
    <w:p w14:paraId="2F6605DF" w14:textId="4A1CD965" w:rsidR="00491430" w:rsidRPr="00B00F7F" w:rsidRDefault="00491430" w:rsidP="00491430">
      <w:pPr>
        <w:pStyle w:val="ATHeading1"/>
      </w:pPr>
      <w:bookmarkStart w:id="0" w:name="TANumber"/>
      <w:r w:rsidRPr="00B00F7F">
        <w:t>P10_</w:t>
      </w:r>
      <w:proofErr w:type="gramStart"/>
      <w:r w:rsidRPr="00B00F7F">
        <w:t>TA(</w:t>
      </w:r>
      <w:proofErr w:type="gramEnd"/>
      <w:r w:rsidRPr="00B00F7F">
        <w:t>2025)0</w:t>
      </w:r>
      <w:r w:rsidR="007B4102">
        <w:t>191</w:t>
      </w:r>
      <w:bookmarkEnd w:id="0"/>
    </w:p>
    <w:p w14:paraId="77FC1AF1" w14:textId="77777777" w:rsidR="00491430" w:rsidRPr="00B00F7F" w:rsidRDefault="00491430" w:rsidP="00491430">
      <w:pPr>
        <w:pStyle w:val="ATHeading2"/>
      </w:pPr>
      <w:bookmarkStart w:id="1" w:name="title"/>
      <w:r w:rsidRPr="00B00F7F">
        <w:t>Posílení odolnosti Moldavska vůči ruským hybridním hrozbám a nepřátelskému vměšování</w:t>
      </w:r>
      <w:bookmarkEnd w:id="1"/>
    </w:p>
    <w:p w14:paraId="1DA29513" w14:textId="77777777" w:rsidR="00491430" w:rsidRPr="00B00F7F" w:rsidRDefault="00491430" w:rsidP="00491430">
      <w:pPr>
        <w:rPr>
          <w:i/>
          <w:vanish/>
        </w:rPr>
      </w:pPr>
      <w:r w:rsidRPr="00B00F7F">
        <w:rPr>
          <w:i/>
        </w:rPr>
        <w:fldChar w:fldCharType="begin"/>
      </w:r>
      <w:r w:rsidRPr="00B00F7F">
        <w:rPr>
          <w:i/>
        </w:rPr>
        <w:instrText xml:space="preserve"> TC"(</w:instrText>
      </w:r>
      <w:bookmarkStart w:id="2" w:name="DocNumber"/>
      <w:r w:rsidRPr="00B00F7F">
        <w:rPr>
          <w:i/>
        </w:rPr>
        <w:instrText>B10-0355, 0357, 0356, 0359 a 0361/2025</w:instrText>
      </w:r>
      <w:bookmarkEnd w:id="2"/>
      <w:r w:rsidRPr="00B00F7F">
        <w:rPr>
          <w:i/>
        </w:rPr>
        <w:instrText xml:space="preserve">)"\l3 \n&gt; \* MERGEFORMAT </w:instrText>
      </w:r>
      <w:r w:rsidRPr="00B00F7F">
        <w:rPr>
          <w:i/>
        </w:rPr>
        <w:fldChar w:fldCharType="end"/>
      </w:r>
    </w:p>
    <w:p w14:paraId="013DC7C2" w14:textId="77777777" w:rsidR="00491430" w:rsidRPr="00B00F7F" w:rsidRDefault="00491430" w:rsidP="00491430">
      <w:pPr>
        <w:rPr>
          <w:vanish/>
        </w:rPr>
      </w:pPr>
      <w:bookmarkStart w:id="3" w:name="PE"/>
      <w:r w:rsidRPr="00B00F7F">
        <w:rPr>
          <w:vanish/>
        </w:rPr>
        <w:t>PE776.179</w:t>
      </w:r>
      <w:bookmarkEnd w:id="3"/>
    </w:p>
    <w:p w14:paraId="3A250663" w14:textId="6E9C50F0" w:rsidR="00491430" w:rsidRPr="00B00F7F" w:rsidRDefault="00491430" w:rsidP="00491430">
      <w:pPr>
        <w:pStyle w:val="ATHeading3"/>
      </w:pPr>
      <w:bookmarkStart w:id="4" w:name="Sujet"/>
      <w:r w:rsidRPr="00B00F7F">
        <w:t>Usnesení Evropského parlamentu ze dne</w:t>
      </w:r>
      <w:r w:rsidR="007152A2">
        <w:t xml:space="preserve"> </w:t>
      </w:r>
      <w:r w:rsidR="000E2FD3">
        <w:t>10</w:t>
      </w:r>
      <w:r w:rsidR="007152A2">
        <w:t>. září</w:t>
      </w:r>
      <w:r w:rsidRPr="00B00F7F">
        <w:t xml:space="preserve"> 2025 o posílení odolnosti Moldavska vůči ruským hybridním hrozbám a nepřátelskému vměšování</w:t>
      </w:r>
      <w:bookmarkEnd w:id="4"/>
      <w:r w:rsidRPr="00B00F7F">
        <w:t xml:space="preserve"> </w:t>
      </w:r>
      <w:bookmarkStart w:id="5" w:name="References"/>
      <w:r w:rsidRPr="00B00F7F">
        <w:t>(2025/2811(RSP))</w:t>
      </w:r>
      <w:bookmarkEnd w:id="5"/>
    </w:p>
    <w:p w14:paraId="581F9906" w14:textId="77777777" w:rsidR="00F060FD" w:rsidRPr="00B00F7F" w:rsidRDefault="00F060FD" w:rsidP="00F060FD">
      <w:pPr>
        <w:pStyle w:val="EPComma"/>
      </w:pPr>
      <w:bookmarkStart w:id="6" w:name="TextBodyBegin"/>
      <w:bookmarkEnd w:id="6"/>
      <w:r w:rsidRPr="00B00F7F">
        <w:rPr>
          <w:i/>
        </w:rPr>
        <w:t>Evropský parlament</w:t>
      </w:r>
      <w:r w:rsidRPr="00B00F7F">
        <w:t>,</w:t>
      </w:r>
    </w:p>
    <w:p w14:paraId="4F3E5D7C" w14:textId="77777777" w:rsidR="00F060FD" w:rsidRPr="00B00F7F" w:rsidRDefault="00F060FD" w:rsidP="00F060FD">
      <w:pPr>
        <w:pStyle w:val="NormalHanging12a"/>
      </w:pPr>
      <w:r w:rsidRPr="00B00F7F">
        <w:t>–</w:t>
      </w:r>
      <w:r w:rsidRPr="00B00F7F">
        <w:tab/>
        <w:t>s ohledem na svá předchozí usnesení o Moldavsku, zejména na usnesení ze dne 18. června 2025 o zprávách Komise o Moldavsku za roky 2023 a 2024</w:t>
      </w:r>
      <w:r w:rsidRPr="00B00F7F">
        <w:rPr>
          <w:vertAlign w:val="superscript"/>
        </w:rPr>
        <w:footnoteReference w:id="1"/>
      </w:r>
      <w:r w:rsidRPr="00B00F7F">
        <w:t xml:space="preserve"> a na usnesení ze dne 9. října 2024 o posílení odolnosti Moldavska vůči ruskému vměšování před nadcházejícími prezidentskými volbami a ústavním referendem o vstupu do EU</w:t>
      </w:r>
      <w:r w:rsidRPr="00B00F7F">
        <w:rPr>
          <w:vertAlign w:val="superscript"/>
        </w:rPr>
        <w:footnoteReference w:id="2"/>
      </w:r>
      <w:r w:rsidRPr="00B00F7F">
        <w:t>,</w:t>
      </w:r>
    </w:p>
    <w:p w14:paraId="269543E0" w14:textId="77777777" w:rsidR="00F060FD" w:rsidRPr="00B00F7F" w:rsidRDefault="00F060FD" w:rsidP="00F060FD">
      <w:pPr>
        <w:pStyle w:val="NormalHanging12a"/>
      </w:pPr>
      <w:r w:rsidRPr="00B00F7F">
        <w:t>–</w:t>
      </w:r>
      <w:r w:rsidRPr="00B00F7F">
        <w:tab/>
        <w:t>s ohledem na Dohodu o přidružení mezi Evropskou unií a Evropským společenstvím pro atomovou energii a jejich členskými státy na jedné straně a Moldavskou republikou na straně druhé</w:t>
      </w:r>
      <w:r w:rsidRPr="00B00F7F">
        <w:rPr>
          <w:vertAlign w:val="superscript"/>
        </w:rPr>
        <w:footnoteReference w:id="3"/>
      </w:r>
      <w:r w:rsidRPr="00B00F7F">
        <w:t>, která zahrnuje prohloubenou a komplexní zónu volného obchodu,</w:t>
      </w:r>
    </w:p>
    <w:p w14:paraId="4759BC72" w14:textId="77777777" w:rsidR="00F060FD" w:rsidRPr="00B00F7F" w:rsidRDefault="00F060FD" w:rsidP="00F060FD">
      <w:pPr>
        <w:pStyle w:val="NormalHanging12a"/>
      </w:pPr>
      <w:r w:rsidRPr="00B00F7F">
        <w:t>–</w:t>
      </w:r>
      <w:r w:rsidRPr="00B00F7F">
        <w:tab/>
        <w:t>s ohledem na závěry Evropské rady ze dne 27. června 2025 o Moldavsku,</w:t>
      </w:r>
    </w:p>
    <w:p w14:paraId="589F339C" w14:textId="77777777" w:rsidR="00F060FD" w:rsidRPr="00B00F7F" w:rsidRDefault="00F060FD" w:rsidP="00F060FD">
      <w:pPr>
        <w:pStyle w:val="NormalHanging12a"/>
      </w:pPr>
      <w:r w:rsidRPr="00B00F7F">
        <w:t>–</w:t>
      </w:r>
      <w:r w:rsidRPr="00B00F7F">
        <w:tab/>
        <w:t>s ohledem na cestu vrcholných představitelů tří členských států EU (Francie, Německa a Polska) do Moldavska dne 27. srpna 2025 a návštěvu rumunského prezidenta v Moldavsku dne 31. srpna 2025,</w:t>
      </w:r>
    </w:p>
    <w:p w14:paraId="6E8BCB79" w14:textId="77777777" w:rsidR="00F060FD" w:rsidRPr="00B00F7F" w:rsidRDefault="00F060FD" w:rsidP="00F060FD">
      <w:pPr>
        <w:pStyle w:val="NormalHanging12a"/>
      </w:pPr>
      <w:r w:rsidRPr="00B00F7F">
        <w:t>–</w:t>
      </w:r>
      <w:r w:rsidRPr="00B00F7F">
        <w:tab/>
        <w:t>s ohledem na návštěvu prezidentky Moldavské republiky v Evropském parlamentu dne 9. září 2025,</w:t>
      </w:r>
    </w:p>
    <w:p w14:paraId="0409DF11" w14:textId="77777777" w:rsidR="00F060FD" w:rsidRPr="00B00F7F" w:rsidRDefault="00F060FD" w:rsidP="00F060FD">
      <w:pPr>
        <w:pStyle w:val="NormalHanging12a"/>
      </w:pPr>
      <w:r w:rsidRPr="00B00F7F">
        <w:t>–</w:t>
      </w:r>
      <w:r w:rsidRPr="00B00F7F">
        <w:tab/>
        <w:t>s ohledem na společné prohlášení vydané po prvním summitu Moldavské republiky a EU, který se konal dne 4. července 2025,</w:t>
      </w:r>
    </w:p>
    <w:p w14:paraId="09BF3744" w14:textId="77777777" w:rsidR="00F060FD" w:rsidRPr="00B00F7F" w:rsidRDefault="00F060FD" w:rsidP="00F060FD">
      <w:pPr>
        <w:pStyle w:val="NormalHanging12a"/>
      </w:pPr>
      <w:r w:rsidRPr="00B00F7F">
        <w:t>–</w:t>
      </w:r>
      <w:r w:rsidRPr="00B00F7F">
        <w:tab/>
        <w:t>s ohledem na cestu komisařky pro rozšíření do Moldavska dne 9. května 2025 (Den Evropy),</w:t>
      </w:r>
    </w:p>
    <w:p w14:paraId="07B7E600" w14:textId="77777777" w:rsidR="00F060FD" w:rsidRPr="00B00F7F" w:rsidRDefault="00F060FD" w:rsidP="00F060FD">
      <w:pPr>
        <w:pStyle w:val="NormalHanging12a"/>
      </w:pPr>
      <w:r w:rsidRPr="00B00F7F">
        <w:lastRenderedPageBreak/>
        <w:t>–</w:t>
      </w:r>
      <w:r w:rsidRPr="00B00F7F">
        <w:tab/>
        <w:t>s ohledem na čl. 136 odst. 2 a 4 jednacího řádu,</w:t>
      </w:r>
    </w:p>
    <w:p w14:paraId="34FF4D9D" w14:textId="77777777" w:rsidR="00F060FD" w:rsidRPr="00B00F7F" w:rsidRDefault="00F060FD" w:rsidP="00F060FD">
      <w:pPr>
        <w:pStyle w:val="NormalHanging12a"/>
      </w:pPr>
      <w:r w:rsidRPr="00B00F7F">
        <w:t>A.</w:t>
      </w:r>
      <w:r w:rsidRPr="00B00F7F">
        <w:tab/>
        <w:t>vzhledem k tomu, že dne 28. září 2025 se budou v Moldavské republice konat parlamentní volby, které rozhodnou nejen o tom, jak bude tato země pokračovat v upevňování demokracie a v přístupovém procesu k EU, ale i o její budoucnosti jako svobodné a svrchované demokracie ve strukturách EU; vzhledem k tomu, že tyto parlamentní volby mají proběhnout v situaci, kdy Rusko pokračuje ve vměšování do moldavských záležitostí a ve snahách o destabilizaci tamního politického prostředí a demokratických volebních procesů;</w:t>
      </w:r>
    </w:p>
    <w:p w14:paraId="4151620B" w14:textId="77777777" w:rsidR="00F060FD" w:rsidRPr="00B00F7F" w:rsidRDefault="00F060FD" w:rsidP="00F060FD">
      <w:pPr>
        <w:pStyle w:val="NormalHanging12a"/>
      </w:pPr>
      <w:r w:rsidRPr="00B00F7F">
        <w:t>B.</w:t>
      </w:r>
      <w:r w:rsidRPr="00B00F7F">
        <w:tab/>
        <w:t>vzhledem k tomu, že dne 20. října 2024 proběhlo v Moldavsku referendum, jehož výsledek potvrdil, že přistoupení k EU bude zakotveno v moldavské ústavě, a to navzdory intenzivní manipulaci a vměšování Ruska, které se snažilo zemi destabilizovat, mimo jiné nezákonným financováním politických subjektů, dezinformačními kampaněmi a kybernetickými útoky;</w:t>
      </w:r>
    </w:p>
    <w:p w14:paraId="6A2B09F3" w14:textId="77777777" w:rsidR="00F060FD" w:rsidRPr="00B00F7F" w:rsidRDefault="00F060FD" w:rsidP="00F060FD">
      <w:pPr>
        <w:pStyle w:val="NormalHanging12a"/>
        <w:rPr>
          <w:i/>
          <w:iCs/>
        </w:rPr>
      </w:pPr>
      <w:r w:rsidRPr="00B00F7F">
        <w:t>C.</w:t>
      </w:r>
      <w:r w:rsidRPr="00B00F7F">
        <w:tab/>
        <w:t xml:space="preserve">vzhledem k četným zprávám o tom, že Rusko a subjekty, které prosazují ruské zájmy, se </w:t>
      </w:r>
      <w:proofErr w:type="gramStart"/>
      <w:r w:rsidRPr="00B00F7F">
        <w:t>znovu</w:t>
      </w:r>
      <w:proofErr w:type="gramEnd"/>
      <w:r w:rsidRPr="00B00F7F">
        <w:t xml:space="preserve"> a ještě intenzivněji pokoušejí dezinformačními a destabilizačními kampaněmi a vměšováním narušit probíhající demokratické reformy v Moldavsku a jeho evropskou integraci, posílit nad ním svou politickou kontrolu a zdokonalit hybridní taktiky používané vůči Moldavsku, Ukrajině a dalším evropským zemím, např. nedávno proti Rumunsku;</w:t>
      </w:r>
    </w:p>
    <w:p w14:paraId="102993D6" w14:textId="77777777" w:rsidR="00F060FD" w:rsidRPr="00B00F7F" w:rsidRDefault="00F060FD" w:rsidP="00F060FD">
      <w:pPr>
        <w:pStyle w:val="NormalHanging12a"/>
      </w:pPr>
      <w:r w:rsidRPr="00B00F7F">
        <w:t>D.</w:t>
      </w:r>
      <w:r w:rsidRPr="00B00F7F">
        <w:tab/>
        <w:t xml:space="preserve">vzhledem k tomu, že po zasedání Nejvyšší bezpečnostní rady, které se konalo dne 30. července 2025, představila prezidentka Maia </w:t>
      </w:r>
      <w:proofErr w:type="spellStart"/>
      <w:r w:rsidRPr="00B00F7F">
        <w:t>Sanduová</w:t>
      </w:r>
      <w:proofErr w:type="spellEnd"/>
      <w:r w:rsidRPr="00B00F7F">
        <w:t xml:space="preserve"> závěry moldavských specializovaných institucí o metodách hybridní války, v nichž bylo identifikováno 10 hlavních nástrojů zahraničního vměšování do politických a volebních procesů v Moldavsku;</w:t>
      </w:r>
    </w:p>
    <w:p w14:paraId="26192314" w14:textId="77777777" w:rsidR="00F060FD" w:rsidRPr="00B00F7F" w:rsidRDefault="00F060FD" w:rsidP="00F060FD">
      <w:pPr>
        <w:pStyle w:val="NormalHanging12a"/>
      </w:pPr>
      <w:r w:rsidRPr="00B00F7F">
        <w:t>E.</w:t>
      </w:r>
      <w:r w:rsidRPr="00B00F7F">
        <w:tab/>
        <w:t xml:space="preserve">vzhledem k tomu, že dne 15. července 2025 EU uvalila sankce na </w:t>
      </w:r>
      <w:r w:rsidRPr="007152A2">
        <w:rPr>
          <w:rStyle w:val="Strong"/>
          <w:b w:val="0"/>
          <w:bCs w:val="0"/>
          <w:color w:val="000000"/>
        </w:rPr>
        <w:t>sedm osob a tři subjekty</w:t>
      </w:r>
      <w:r w:rsidRPr="00B00F7F">
        <w:t xml:space="preserve"> odpovědné za aktivity, jejichž cílem je destabilizovat, narušit nebo ohrozit svrchovanost a nezávislost Moldavska, jakož i demokracii, právní stát a stabilitu v této zemi; vzhledem k tomu, že sankce jsou namířeny proti blízkým spolupracovníkům </w:t>
      </w:r>
      <w:proofErr w:type="spellStart"/>
      <w:r w:rsidRPr="00B00F7F">
        <w:t>Ilana</w:t>
      </w:r>
      <w:proofErr w:type="spellEnd"/>
      <w:r w:rsidRPr="00B00F7F">
        <w:t xml:space="preserve"> </w:t>
      </w:r>
      <w:proofErr w:type="spellStart"/>
      <w:r w:rsidRPr="00B00F7F">
        <w:t>Șora</w:t>
      </w:r>
      <w:proofErr w:type="spellEnd"/>
      <w:r w:rsidRPr="00B00F7F">
        <w:t xml:space="preserve"> a zakázané politické straně ȘOR, tedy proti osobám, které se aktivně podílejí na systémech kupování hlasů a podplácení zkorumpovaných politiků;</w:t>
      </w:r>
    </w:p>
    <w:p w14:paraId="2D6381CB" w14:textId="77777777" w:rsidR="00F060FD" w:rsidRDefault="00F060FD" w:rsidP="00F060FD">
      <w:pPr>
        <w:pStyle w:val="NormalHanging12a"/>
      </w:pPr>
      <w:r w:rsidRPr="00B00F7F">
        <w:t>F.</w:t>
      </w:r>
      <w:r w:rsidRPr="00B00F7F">
        <w:tab/>
        <w:t>vzhledem k tomu, že při odhalování dezinformací, posilování odolnosti a obraně demokratických hodnot hrají klíčovou roli moldavská občanská společnost a nezávislé sdělovací prostředky; vzhledem k tomu, že Moldavská republika dokázala významně upevnit svou demokracii a daří se jí pokračovat v provádění reforem a rozvíjet své vztahy s EU; vzhledem k tomu, že zlepšení demokratického systému země se odrazilo ve zlepšení pozice Moldavska v řadě mezinárodních indexů; vzhledem k tomu, že Moldavsko dosáhlo znatelného pokroku v reformách soudnictví, včetně prověřování soudců a restrukturalizace justice, posílení její nezávislosti a zlepšení protikorupčních předpisů; vzhledem k tomu, že pro stabilitu Moldavska a jeho odolnost vůči nepřátelskému vměšování má zásadní význam důvěra veřejnosti v demokratické instituce;</w:t>
      </w:r>
    </w:p>
    <w:p w14:paraId="64E06410" w14:textId="03B94200" w:rsidR="00E47E0A" w:rsidRPr="00E47E0A" w:rsidRDefault="00622787" w:rsidP="00FE5D54">
      <w:pPr>
        <w:pStyle w:val="Normal6a"/>
        <w:ind w:left="567" w:hanging="567"/>
        <w:rPr>
          <w:bCs/>
          <w:iCs/>
        </w:rPr>
      </w:pPr>
      <w:r>
        <w:rPr>
          <w:bCs/>
          <w:iCs/>
        </w:rPr>
        <w:t>G</w:t>
      </w:r>
      <w:r w:rsidR="00E47E0A" w:rsidRPr="00FE5D54">
        <w:rPr>
          <w:bCs/>
          <w:iCs/>
        </w:rPr>
        <w:t>.</w:t>
      </w:r>
      <w:r w:rsidR="00E47E0A" w:rsidRPr="00FE5D54">
        <w:rPr>
          <w:bCs/>
          <w:iCs/>
        </w:rPr>
        <w:tab/>
        <w:t xml:space="preserve">vzhledem k tomu, že při nedávné investigativní novinářské činnosti zahájené v roce 2024, která spočívala v infiltraci sítě strany ȘOR utajeným reportérem, se zjistilo, že byly zřízeny stovky falešných účtů, které využívali aktivisti z politického bloku </w:t>
      </w:r>
      <w:r w:rsidR="00E47E0A" w:rsidRPr="00FE5D54">
        <w:rPr>
          <w:bCs/>
          <w:iCs/>
        </w:rPr>
        <w:lastRenderedPageBreak/>
        <w:t xml:space="preserve">„Vítězství“ pod vedením </w:t>
      </w:r>
      <w:proofErr w:type="spellStart"/>
      <w:r w:rsidR="00E47E0A" w:rsidRPr="00FE5D54">
        <w:rPr>
          <w:bCs/>
          <w:iCs/>
        </w:rPr>
        <w:t>Ilana</w:t>
      </w:r>
      <w:proofErr w:type="spellEnd"/>
      <w:r w:rsidR="00E47E0A" w:rsidRPr="00FE5D54">
        <w:rPr>
          <w:bCs/>
          <w:iCs/>
        </w:rPr>
        <w:t xml:space="preserve"> </w:t>
      </w:r>
      <w:proofErr w:type="spellStart"/>
      <w:r w:rsidR="00E47E0A" w:rsidRPr="00FE5D54">
        <w:rPr>
          <w:bCs/>
          <w:iCs/>
        </w:rPr>
        <w:t>Șora</w:t>
      </w:r>
      <w:proofErr w:type="spellEnd"/>
      <w:r w:rsidR="00E47E0A" w:rsidRPr="00FE5D54">
        <w:rPr>
          <w:bCs/>
          <w:iCs/>
        </w:rPr>
        <w:t xml:space="preserve"> z Moskvy, a to s cílem šířit na </w:t>
      </w:r>
      <w:proofErr w:type="spellStart"/>
      <w:r w:rsidR="00E47E0A" w:rsidRPr="00FE5D54">
        <w:rPr>
          <w:bCs/>
          <w:iCs/>
        </w:rPr>
        <w:t>TikToku</w:t>
      </w:r>
      <w:proofErr w:type="spellEnd"/>
      <w:r w:rsidR="00E47E0A" w:rsidRPr="00FE5D54">
        <w:rPr>
          <w:bCs/>
          <w:iCs/>
        </w:rPr>
        <w:t xml:space="preserve"> a Facebooku ruskou propagandu; vzhledem k tomu, že tento protievropský obsah, který je plně v souladu s narativem Kremlu, byl systematicky sledován a koordinován tajnými skupinami a kanály na Telegramu</w:t>
      </w:r>
      <w:r w:rsidR="00E47E0A">
        <w:rPr>
          <w:rStyle w:val="FootnoteReference"/>
          <w:bCs/>
          <w:iCs/>
        </w:rPr>
        <w:footnoteReference w:id="4"/>
      </w:r>
      <w:r w:rsidR="00E47E0A" w:rsidRPr="00FE5D54">
        <w:rPr>
          <w:bCs/>
          <w:iCs/>
        </w:rPr>
        <w:t>;</w:t>
      </w:r>
    </w:p>
    <w:p w14:paraId="5D77262E" w14:textId="24FFD5D4" w:rsidR="00F060FD" w:rsidRPr="00B00F7F" w:rsidRDefault="00622787" w:rsidP="00F060FD">
      <w:pPr>
        <w:pStyle w:val="NormalHanging12a"/>
      </w:pPr>
      <w:r>
        <w:t>H</w:t>
      </w:r>
      <w:r w:rsidR="00F060FD" w:rsidRPr="00B00F7F">
        <w:t>.</w:t>
      </w:r>
      <w:r w:rsidR="00F060FD" w:rsidRPr="00B00F7F">
        <w:tab/>
        <w:t>vzhledem k tomu, že je důležité veřejně projevit hlubokou solidaritu s moldavským lidem, na který těžce doléhá útočná válka Ruska proti Ukrajině i pokračující ruské hybridní útoky, jejichž cílem je politická destabilizace Moldavska, oslabení jeho hospodářské prosperity a narušení sociální soudržnosti;</w:t>
      </w:r>
    </w:p>
    <w:p w14:paraId="3F009FF5" w14:textId="05BAE901" w:rsidR="00F060FD" w:rsidRPr="00B00F7F" w:rsidRDefault="00622787" w:rsidP="00F060FD">
      <w:pPr>
        <w:pStyle w:val="NormalHanging12a"/>
      </w:pPr>
      <w:r>
        <w:t>I</w:t>
      </w:r>
      <w:r w:rsidR="00F060FD" w:rsidRPr="00B00F7F">
        <w:t>.</w:t>
      </w:r>
      <w:r w:rsidR="00F060FD" w:rsidRPr="00B00F7F">
        <w:tab/>
        <w:t>vzhledem k tomu, že podle moldavských odhadů již Rusko vynaložilo více než 200 milionů EUR, tj. více než 1 % moldavského HDP, na propagandistickou a informační činnost v Moldavské republice;</w:t>
      </w:r>
    </w:p>
    <w:p w14:paraId="16054D67" w14:textId="6E898DAC" w:rsidR="00F060FD" w:rsidRPr="00B00F7F" w:rsidRDefault="00622787" w:rsidP="00F060FD">
      <w:pPr>
        <w:pStyle w:val="NormalHanging12a"/>
      </w:pPr>
      <w:r>
        <w:t>J</w:t>
      </w:r>
      <w:r w:rsidR="00F060FD" w:rsidRPr="00B00F7F">
        <w:t>.</w:t>
      </w:r>
      <w:r w:rsidR="00F060FD" w:rsidRPr="00B00F7F">
        <w:tab/>
        <w:t>vzhledem k tomu, že účast delegace Evropského parlamentu na mezinárodní volební pozorovatelské misi Úřadu pro demokratické instituce a lidská práva Organizace pro bezpečnost a spolupráci v Evropě (OBSE/ODIHR), která bude 28. září 2025 sledovat moldavské parlamentní volby, ukazuje, že Parlament je odhodlán v Moldavsku podporovat integritu volebních procesů a posilovat tamní demokratické instituce;</w:t>
      </w:r>
    </w:p>
    <w:p w14:paraId="64772243" w14:textId="2E0CF62C" w:rsidR="00F060FD" w:rsidRPr="00B00F7F" w:rsidRDefault="00622787" w:rsidP="00F060FD">
      <w:pPr>
        <w:pStyle w:val="NormalHanging12a"/>
      </w:pPr>
      <w:r>
        <w:t>K</w:t>
      </w:r>
      <w:r w:rsidR="00F060FD" w:rsidRPr="00B00F7F">
        <w:t>.</w:t>
      </w:r>
      <w:r w:rsidR="00F060FD" w:rsidRPr="00B00F7F">
        <w:tab/>
        <w:t>vzhledem k tomu, že Evropská rada v závěrech z června 2025 znovu potvrdila plnou podporu členství Moldavska v EU a vyzvala Radu, aby v procesu přistoupení podnikla další kroky; vzhledem k tomu, že rozšíření EU je založeno na důsledném splnění podmínek a na zásadě, že každá kandidátská země je posuzována podle dosažených výsledků a pokroku v reformách;</w:t>
      </w:r>
    </w:p>
    <w:p w14:paraId="496A46DF" w14:textId="77777777" w:rsidR="00F060FD" w:rsidRPr="00B00F7F" w:rsidRDefault="00F060FD" w:rsidP="00F060FD">
      <w:pPr>
        <w:pStyle w:val="NormalHanging12a"/>
      </w:pPr>
      <w:r w:rsidRPr="00B00F7F">
        <w:t>1.</w:t>
      </w:r>
      <w:r w:rsidRPr="00B00F7F">
        <w:tab/>
        <w:t>vyjadřuje solidaritu lidu Moldavské republiky a znovu potvrzuje, že plně podporuje její nezávislost, svrchovanost a územní celistvost a její úsilí o zachování integrity demokratických procesů, svrchovanosti zahraničněpolitických rozhodnutí a sociálně-ekonomických vyhlídek jejího obyvatelstva; vyzývá proto Rusko, aby respektovalo nezávislost, svrchovanost a územní celistvost Moldavska a aby ukončilo pokusy o oslabování jejího ústavního pořádku a demokratických institucí;</w:t>
      </w:r>
    </w:p>
    <w:p w14:paraId="0D2DAD62" w14:textId="77777777" w:rsidR="00F060FD" w:rsidRPr="00B00F7F" w:rsidRDefault="00F060FD" w:rsidP="00F060FD">
      <w:pPr>
        <w:pStyle w:val="NormalHanging12a"/>
        <w:rPr>
          <w:szCs w:val="24"/>
        </w:rPr>
      </w:pPr>
      <w:r w:rsidRPr="00B00F7F">
        <w:t>2.</w:t>
      </w:r>
      <w:r w:rsidRPr="00B00F7F">
        <w:tab/>
        <w:t>odsuzuje opakované pokusy Ruské federace, proruských oligarchů a Ruskem podporovaných místních subjektů, které v zemi prosazují ruské zájmy, o destabilizaci Moldavska, zasévání rozkolu v moldavské společnosti a maření demokracie a směřování země do EU, k čemuž využívají hybridní útoky, manipulaci s dodávkami energie k dosažení svých politických cílů, nezákonné financování politických subjektů a dezinformační, manipulační a zastrašovací kampaně proti organizacím občanské společnosti a nezávislým sdělovacím prostředkům;</w:t>
      </w:r>
    </w:p>
    <w:p w14:paraId="2C61504F" w14:textId="77777777" w:rsidR="00F060FD" w:rsidRPr="00B00F7F" w:rsidRDefault="00F060FD" w:rsidP="00F060FD">
      <w:pPr>
        <w:pStyle w:val="NormalHanging12a"/>
        <w:rPr>
          <w:szCs w:val="24"/>
        </w:rPr>
      </w:pPr>
      <w:r w:rsidRPr="00B00F7F">
        <w:t>3.</w:t>
      </w:r>
      <w:r w:rsidRPr="00B00F7F">
        <w:tab/>
        <w:t>odsuzuje stupňující se ruské hybridní útoky a pokusy o vměšování před parlamentními volbami, které se budou konat 28. září 2025, přičemž tyto akce mají zjevně destabilizovat zemi a zvrátit její demokratické směřování a svrchovaná rozhodnutí, zejména o budoucím členství v EU;</w:t>
      </w:r>
    </w:p>
    <w:p w14:paraId="2C52BA05" w14:textId="77777777" w:rsidR="00F060FD" w:rsidRPr="00B00F7F" w:rsidRDefault="00F060FD" w:rsidP="00F060FD">
      <w:pPr>
        <w:pStyle w:val="NormalHanging12a"/>
        <w:rPr>
          <w:szCs w:val="24"/>
          <w:shd w:val="clear" w:color="auto" w:fill="FFFFFF"/>
        </w:rPr>
      </w:pPr>
      <w:r w:rsidRPr="00B00F7F">
        <w:t>4.</w:t>
      </w:r>
      <w:r w:rsidRPr="00B00F7F">
        <w:tab/>
      </w:r>
      <w:r w:rsidRPr="00B00F7F">
        <w:rPr>
          <w:shd w:val="clear" w:color="auto" w:fill="FFFFFF"/>
        </w:rPr>
        <w:t xml:space="preserve">oceňuje příkladné odhodlání Moldavska a jeho setrvalý pokrok při provádění reforem spojených s přistoupením k EU, a to navzdory velkým vnitřním i vnějším výzvám, jako je plošná útočná válka Ruska proti Ukrajině a cílené ruské hybridní útoky proti </w:t>
      </w:r>
      <w:r w:rsidRPr="00B00F7F">
        <w:rPr>
          <w:shd w:val="clear" w:color="auto" w:fill="FFFFFF"/>
        </w:rPr>
        <w:lastRenderedPageBreak/>
        <w:t>Moldavsku, protože právě díky jeho odhodlání a dosaženému pokroku bylo možné zahájit přístupová jednání již v červnu 2024</w:t>
      </w:r>
      <w:r w:rsidRPr="00B00F7F">
        <w:rPr>
          <w:rStyle w:val="highlight-diff"/>
          <w:color w:val="000000"/>
          <w:shd w:val="clear" w:color="auto" w:fill="FFFFFF"/>
        </w:rPr>
        <w:t>, tedy pouhých šest měsíců po příslušném rozhodnutí Evropské rady ze dne 14. prosince 2023 a méně než dva roky po podání žádosti Moldavska o členství v EU dne 3. března 2022</w:t>
      </w:r>
      <w:r w:rsidRPr="00B00F7F">
        <w:rPr>
          <w:shd w:val="clear" w:color="auto" w:fill="FFFFFF"/>
        </w:rPr>
        <w:t xml:space="preserve">; </w:t>
      </w:r>
      <w:r w:rsidRPr="00B00F7F">
        <w:rPr>
          <w:rStyle w:val="highlight-diff"/>
          <w:color w:val="000000"/>
          <w:shd w:val="clear" w:color="auto" w:fill="FFFFFF"/>
        </w:rPr>
        <w:t>vyzývá Radu a Komisi, aby dodržovaly zásadu vlastních zásluh a každou kandidátskou zemi posuzovaly individuálně, tak aby pokrok v jednotlivých fázích přistoupení, včetně otevření kapitol jednání, byl založen na jejich výsledcích a konkrétní situaci;</w:t>
      </w:r>
      <w:r w:rsidRPr="00B00F7F">
        <w:t xml:space="preserve"> </w:t>
      </w:r>
      <w:r w:rsidRPr="00B00F7F">
        <w:rPr>
          <w:shd w:val="clear" w:color="auto" w:fill="FFFFFF"/>
        </w:rPr>
        <w:t>potvrzuje, že neochvějně podporuje vyhlídky Moldavska na členství v EU; znovu naléhá na Radu, aby rychle zahájila přístupová jednání o okruhu 1 (základní zásady), neboť Moldavsko výrazně pokročilo se zásadními reformami;</w:t>
      </w:r>
    </w:p>
    <w:p w14:paraId="7CB72B0D" w14:textId="77777777" w:rsidR="00F060FD" w:rsidRPr="00B00F7F" w:rsidRDefault="00F060FD" w:rsidP="00F060FD">
      <w:pPr>
        <w:pStyle w:val="NormalHanging12a"/>
        <w:rPr>
          <w:szCs w:val="24"/>
        </w:rPr>
      </w:pPr>
      <w:r w:rsidRPr="00B00F7F">
        <w:rPr>
          <w:shd w:val="clear" w:color="auto" w:fill="FFFFFF"/>
        </w:rPr>
        <w:t>5.</w:t>
      </w:r>
      <w:r w:rsidRPr="00B00F7F">
        <w:rPr>
          <w:shd w:val="clear" w:color="auto" w:fill="FFFFFF"/>
        </w:rPr>
        <w:tab/>
        <w:t>vyzývá EU, aby Moldavskou republiku nadále podporovala při zajištění svobodných, spravedlivých a transparentních voleb; zdůrazňuje klíčovou úlohu mezinárodních pozorovatelů, kteří nejen monitorují volební proces, ale také sledují a dokumentují nepřátelské zahraniční vměšování, včetně dezinformací, nezákonného financování a koordinovaných kybernetických nebo informačních vlivových operací;</w:t>
      </w:r>
    </w:p>
    <w:p w14:paraId="19FB9EBE" w14:textId="77777777" w:rsidR="00F060FD" w:rsidRPr="00B00F7F" w:rsidRDefault="00F060FD" w:rsidP="00F060FD">
      <w:pPr>
        <w:pStyle w:val="NormalHanging12a"/>
      </w:pPr>
      <w:r w:rsidRPr="00B00F7F">
        <w:t>6.</w:t>
      </w:r>
      <w:r w:rsidRPr="00B00F7F">
        <w:tab/>
        <w:t>vyjadřuje pevné přesvědčení, že má-li Moldavsko upevnit svůj současný pokrok při provádění reforem spojených s přistoupením k EU a udržet si ambiciózní tempo příprav na členství v EU, bude potřebovat reálnou a silnou podporu svého parlamentu;</w:t>
      </w:r>
    </w:p>
    <w:p w14:paraId="65058CCD" w14:textId="77777777" w:rsidR="00F060FD" w:rsidRPr="00B00F7F" w:rsidRDefault="00F060FD" w:rsidP="00F060FD">
      <w:pPr>
        <w:pStyle w:val="NormalHanging12a"/>
      </w:pPr>
      <w:r w:rsidRPr="00B00F7F">
        <w:t>7.</w:t>
      </w:r>
      <w:r w:rsidRPr="00B00F7F">
        <w:tab/>
        <w:t xml:space="preserve">s uspokojením konstatuje, že se EU </w:t>
      </w:r>
      <w:proofErr w:type="gramStart"/>
      <w:r w:rsidRPr="00B00F7F">
        <w:t>snaží</w:t>
      </w:r>
      <w:proofErr w:type="gramEnd"/>
      <w:r w:rsidRPr="00B00F7F">
        <w:t xml:space="preserve"> Moldavsku poskytovat politickou podporu na nejvyšší úrovni, zejména vyzdvihuje první summit EU a Moldavska v Kišiněvě dne 4. července 2025, návštěvu vrcholných představitelů Francie, Německa a Polska v Moldavsku dne 27. srpna 2025 nebo návštěvu rumunského prezidenta v Moldavsku dne 31. srpna 2025, a že všechny tyto akce znovu potvrdily jasné vyhlídky Moldavska na přistoupení k EU na základě zásluh a dodržování demokratických zásad;</w:t>
      </w:r>
    </w:p>
    <w:p w14:paraId="20F79401" w14:textId="77777777" w:rsidR="00F060FD" w:rsidRPr="00B00F7F" w:rsidRDefault="00F060FD" w:rsidP="00F060FD">
      <w:pPr>
        <w:pStyle w:val="NormalHanging12a"/>
        <w:rPr>
          <w:rStyle w:val="NormalHanging12aChar"/>
          <w:color w:val="000000"/>
          <w:szCs w:val="24"/>
        </w:rPr>
      </w:pPr>
      <w:r w:rsidRPr="00B00F7F">
        <w:t>8.</w:t>
      </w:r>
      <w:r w:rsidRPr="00B00F7F">
        <w:tab/>
        <w:t>znovu vyzývá EU, aby svou politickou podporu i nadále doplňovala o zvyšující se finanční a technickou pomoc moldavské vládě v její snaze čelit zahraničnímu vměšování do demokratických procesů země, mimo jiné tak, že vytvoří další sankční seznamy po vzoru seznamů ze dne 15. července 2025, poskytne další podporu partnerské misi EU (EUPM) v Moldavsku, bude se účastnit výměn informací o podezřelých finančních tocích včetně kryptoměn a o neprůhledných nebo nezákonných sítích financování a sdílet odborné poznatky v oblasti zahraniční manipulace s informacemi a vměšování, boje proti hybridním hrozbám a posilování odolnosti;</w:t>
      </w:r>
      <w:bookmarkStart w:id="7" w:name="_Hlk194942091"/>
      <w:r w:rsidRPr="00B00F7F">
        <w:rPr>
          <w:rStyle w:val="NormalHanging12aChar"/>
          <w:color w:val="000000"/>
        </w:rPr>
        <w:t xml:space="preserve"> vyzývá rovněž k tomu, aby moldavské orgány a EU více podporovaly nezávislé sdělovací prostředky a prodemokratické organizace občanské společnosti, a pomáhaly tak novinářům na vnitrostátní i regionální úrovni čelit zahraniční manipulaci s informacemi a vměšování a zvyšovat digitální gramotnost;</w:t>
      </w:r>
      <w:bookmarkEnd w:id="7"/>
      <w:r w:rsidRPr="00B00F7F">
        <w:rPr>
          <w:rStyle w:val="NormalHanging12aChar"/>
          <w:color w:val="000000"/>
        </w:rPr>
        <w:t xml:space="preserve"> vítá, že Komise oznámila zřízení nového regionálního centra Evropského střediska pro sledování digitálních médií (EDMO), které má podpořit Moldavsko a Ukrajinu v boji proti dezinformacím; vyzývá všechny hlavní online platformy, zejména platformy Meta, Google, Telegram, </w:t>
      </w:r>
      <w:proofErr w:type="spellStart"/>
      <w:r w:rsidRPr="00B00F7F">
        <w:rPr>
          <w:rStyle w:val="NormalHanging12aChar"/>
          <w:color w:val="000000"/>
        </w:rPr>
        <w:t>TikTok</w:t>
      </w:r>
      <w:proofErr w:type="spellEnd"/>
      <w:r w:rsidRPr="00B00F7F">
        <w:rPr>
          <w:rStyle w:val="NormalHanging12aChar"/>
          <w:color w:val="000000"/>
        </w:rPr>
        <w:t>, Microsoft a </w:t>
      </w:r>
      <w:proofErr w:type="spellStart"/>
      <w:r w:rsidRPr="00B00F7F">
        <w:rPr>
          <w:rStyle w:val="NormalHanging12aChar"/>
          <w:color w:val="000000"/>
        </w:rPr>
        <w:t>Rakuten</w:t>
      </w:r>
      <w:proofErr w:type="spellEnd"/>
      <w:r w:rsidRPr="00B00F7F">
        <w:rPr>
          <w:rStyle w:val="NormalHanging12aChar"/>
          <w:color w:val="000000"/>
        </w:rPr>
        <w:t xml:space="preserve">, aby úzce spolupracovaly s moldavskými orgány, občanskou společností a novým centrem střediska EDMO; vyzývá Moldavsko, aby neprodleně sladilo své právní předpisy s nařízením EU </w:t>
      </w:r>
      <w:r w:rsidRPr="00B00F7F">
        <w:rPr>
          <w:rStyle w:val="NormalHanging12aChar"/>
          <w:color w:val="000000"/>
        </w:rPr>
        <w:lastRenderedPageBreak/>
        <w:t>o digitálních trzích</w:t>
      </w:r>
      <w:r w:rsidRPr="00B00F7F">
        <w:rPr>
          <w:rStyle w:val="FootnoteReference"/>
          <w:color w:val="000000"/>
        </w:rPr>
        <w:footnoteReference w:id="5"/>
      </w:r>
      <w:r w:rsidRPr="00B00F7F">
        <w:rPr>
          <w:rStyle w:val="NormalHanging12aChar"/>
          <w:color w:val="000000"/>
        </w:rPr>
        <w:t xml:space="preserve"> a nařízením o digitálních službách</w:t>
      </w:r>
      <w:r w:rsidRPr="00B00F7F">
        <w:rPr>
          <w:rStyle w:val="FootnoteReference"/>
          <w:color w:val="000000"/>
        </w:rPr>
        <w:footnoteReference w:id="6"/>
      </w:r>
      <w:r w:rsidRPr="00B00F7F">
        <w:rPr>
          <w:rStyle w:val="NormalHanging12aChar"/>
          <w:color w:val="000000"/>
        </w:rPr>
        <w:t>; vyzývá Komisi, aby Moldavsku v tomto ohledu poskytla cílenou podporu;</w:t>
      </w:r>
    </w:p>
    <w:p w14:paraId="54F5A3AF" w14:textId="77777777" w:rsidR="00F060FD" w:rsidRPr="00B00F7F" w:rsidRDefault="00F060FD" w:rsidP="00F060FD">
      <w:pPr>
        <w:pStyle w:val="NormalHanging12a"/>
        <w:rPr>
          <w:szCs w:val="24"/>
        </w:rPr>
      </w:pPr>
      <w:r w:rsidRPr="00B00F7F">
        <w:t>9.</w:t>
      </w:r>
      <w:r w:rsidRPr="00B00F7F">
        <w:tab/>
        <w:t>vybízí moldavské orgány, aby plně využívaly odborných znalostí mise EUPM k tomu, aby před parlamentními volbami, které se budou konat 28. září 2025, zamezily případným novým pokusům o zasahování do voleb; vybízí Evropskou službu pro vnější činnost a Komisi, aby s pomocí veškerých nástrojů, které má EU k dispozici, podporovaly Moldavsko v boji proti hybridním hrozbám a aby k těmto účelům využily i tým rychlé reakce na hybridní hrozby, tým rychlé kybernetické reakce a rezervu pro kybernetickou bezpečnost; oceňuje činnost moldavského Střediska pro strategickou komunikaci a boj proti dezinformacím, které koordinuje opatření moldavských institucí proti zahraničnímu vměšování, a stejně tak i činnost Státní agentury pro kybernetickou bezpečnost a Státního institutu pro inovace v oblasti kybernetické bezpečnosti a vyzývá EU, aby činnost těchto subjektů více podpořila; znovu poukazuje na to, že Moldavsko, EU a její členské státy by měly zlepšit sdílení informací a prohloubit spolupráci zpravodajských služeb v oblasti bezpečnostních hrozeb; vyzývá EU, aby z moldavských zkušeností vyvodila poznatky, které by mohla uplatnit při ochraně vlastních volebních procesů a demokratických institucí;</w:t>
      </w:r>
    </w:p>
    <w:p w14:paraId="6E9548B0" w14:textId="77777777" w:rsidR="00F060FD" w:rsidRPr="00B00F7F" w:rsidRDefault="00F060FD" w:rsidP="00F060FD">
      <w:pPr>
        <w:pStyle w:val="NormalHanging12a"/>
        <w:rPr>
          <w:szCs w:val="24"/>
        </w:rPr>
      </w:pPr>
      <w:r w:rsidRPr="00B00F7F">
        <w:t>10.</w:t>
      </w:r>
      <w:r w:rsidRPr="00B00F7F">
        <w:tab/>
        <w:t>bere na vědomí, že Moldavsko důsledně zastává postoje společné zahraniční a bezpečnostní politiky EU, od roku 2024 provádí partnerství s EU v oblasti bezpečnosti a obrany a přijalo novou národní obrannou strategii na období 2024–2034; vyzývá proto členské státy, aby navýšily financování pro Moldavsko prostřednictvím Evropského mírového nástroje, a to i s ohledem na opakované narušování moldavského vzdušného prostoru ruskými drony a raketovými střelami, a aby Moldavsko zahrnuly do společného zadávání veřejných zakázek v oblasti obrany v rámci Programu pro evropský obranný průmysl; zdůrazňuje, že vzhledem k humanitární a energetické krizi způsobené ruskou agresí proti Ukrajině je Moldavsko důležité pro bezpečnost a stabilitu východní hranice EU a černomořského regionu;</w:t>
      </w:r>
    </w:p>
    <w:p w14:paraId="70127927" w14:textId="77777777" w:rsidR="00F060FD" w:rsidRPr="00B00F7F" w:rsidRDefault="00F060FD" w:rsidP="00F060FD">
      <w:pPr>
        <w:pStyle w:val="NormalHanging12a"/>
      </w:pPr>
      <w:r w:rsidRPr="00B00F7F">
        <w:t>11.</w:t>
      </w:r>
      <w:r w:rsidRPr="00B00F7F">
        <w:tab/>
        <w:t>vyzývá Ruskou federaci, aby stáhla své ozbrojené síly, vojenské vybavení a munici z Podněsterské oblasti a aby podpořila mírové řešení konfliktu v souladu s mezinárodním právem a svrchovaností a územní celistvostí Moldavska;</w:t>
      </w:r>
    </w:p>
    <w:p w14:paraId="0FBEB8B1" w14:textId="162FB5F3" w:rsidR="00F060FD" w:rsidRPr="00B00F7F" w:rsidRDefault="00F060FD" w:rsidP="00F060FD">
      <w:pPr>
        <w:pStyle w:val="NormalHanging12a"/>
        <w:rPr>
          <w:szCs w:val="24"/>
        </w:rPr>
      </w:pPr>
      <w:r w:rsidRPr="00B00F7F">
        <w:t>12.</w:t>
      </w:r>
      <w:r w:rsidRPr="00B00F7F">
        <w:tab/>
        <w:t>žádá moldavské orgány, moldavskou občanskou společnost a EU, aby posílily strategickou komunikaci, vyvracely nepravdivé narativy o EU a její politice šířené Ruskem a snažily se jim zamezit a vyzdvihovaly konkrétní krátkodobé a dlouhodobé přínosy přistoupení k EU pro obyvatele na celém území Moldavska</w:t>
      </w:r>
      <w:bookmarkStart w:id="8" w:name="_Hlk196923727"/>
      <w:r w:rsidRPr="00B00F7F">
        <w:t xml:space="preserve"> a aby se zaměřily zvláště na komunikaci v regionech, jako je </w:t>
      </w:r>
      <w:proofErr w:type="spellStart"/>
      <w:r w:rsidRPr="00B00F7F">
        <w:t>Gagauzsko</w:t>
      </w:r>
      <w:proofErr w:type="spellEnd"/>
      <w:r w:rsidRPr="00B00F7F">
        <w:t>, a v sociálně a ekonomicky znevýhodněných venkovských komunitách;</w:t>
      </w:r>
      <w:bookmarkEnd w:id="8"/>
      <w:r w:rsidRPr="00B00F7F">
        <w:t xml:space="preserve"> potvrzuje, že je připraven pokračovat v podpoře parlamentu Moldavska formou vzájemně dohodnutých opatření na podporu demokracie; doporučuje proto, aby byla k šíření informací, boji proti dezinformacím a podpoře občanské angažovanosti v zájmu posílení demokratické odolnosti Moldavska </w:t>
      </w:r>
      <w:r w:rsidRPr="00B00F7F">
        <w:lastRenderedPageBreak/>
        <w:t>plně využívána kontaktní kancelář Evropského parlamentu v Kišiněvě; je hluboce znepokojen rozsáhlou ruskou kampaní zneužívající homofobii, včetně zastrašování a fyzických útoků, a vyzývá Komisi, členské státy a Moldavsko, aby investovaly do odolnosti moldavské společnosti a prosazováním rovnosti pro všechny bez ohledu na sexuální orientaci nebo genderovou identitu;</w:t>
      </w:r>
    </w:p>
    <w:p w14:paraId="22C02AF4" w14:textId="6D3E111F" w:rsidR="00F060FD" w:rsidRPr="00B00F7F" w:rsidRDefault="00F060FD" w:rsidP="00F060FD">
      <w:pPr>
        <w:pStyle w:val="NormalHanging12a"/>
      </w:pPr>
      <w:r w:rsidRPr="00B00F7F">
        <w:t>13.</w:t>
      </w:r>
      <w:r w:rsidRPr="00B00F7F">
        <w:tab/>
        <w:t xml:space="preserve">konstatuje, že ruská národní bezpečnostní strategie schválená prezidentem Putinem dne 31. prosince 2015, která vychází z vojenské doktríny ze dne 25. prosince 2014, výslovně chrání takzvané tradiční ruské duchovní a morální hodnoty před údajným vlivem Západu, což dokazuje, že Rusko tyto hodnoty a jejich instituce využívá ke strategickým účelům; je znepokojen tím, že Rusko tzv. tradiční ruské hodnoty zneužívá, a zdůrazňuje, že jedním z nejdůležitějších kanálů ruské propagandy v Moldavsku je Metropole Kišiněva a celého Moldavska, která je přidružená k Moskvě a spadá do jurisdikce Ruské pravoslavné církve; </w:t>
      </w:r>
      <w:r w:rsidR="004D7B80" w:rsidRPr="00FE5D54">
        <w:rPr>
          <w:bCs/>
          <w:iCs/>
          <w:szCs w:val="24"/>
        </w:rPr>
        <w:t xml:space="preserve">zdůrazňuje, že Parlamentní shromáždění Rady Evropy v dubnu 2024 uznalo Ruskou pravoslavnou církev za nástroj kremelské propagandy, a konstantinopolský ekumenický patriarcha ji v srpnu 2024 odsoudil jako militaristickou, etnicko-nacionalistickou a kacířskou; </w:t>
      </w:r>
      <w:r w:rsidRPr="004D7B80">
        <w:rPr>
          <w:bCs/>
          <w:iCs/>
        </w:rPr>
        <w:t>odsuzuje</w:t>
      </w:r>
      <w:r w:rsidRPr="00B00F7F">
        <w:t xml:space="preserve"> zastrašování duchovních pravoslavné Metropole Besarábie subjekty prosazujícími ruské zájmy</w:t>
      </w:r>
      <w:r w:rsidR="00571912">
        <w:rPr>
          <w:rStyle w:val="FootnoteReference"/>
        </w:rPr>
        <w:footnoteReference w:id="7"/>
      </w:r>
      <w:r w:rsidRPr="00B00F7F">
        <w:t>;</w:t>
      </w:r>
    </w:p>
    <w:p w14:paraId="71945986" w14:textId="7057B59D" w:rsidR="00E47E0A" w:rsidRPr="00E47E0A" w:rsidRDefault="00E47E0A" w:rsidP="00F060FD">
      <w:pPr>
        <w:pStyle w:val="NormalHanging12a"/>
        <w:rPr>
          <w:bCs/>
          <w:iCs/>
        </w:rPr>
      </w:pPr>
      <w:r w:rsidRPr="00FE5D54">
        <w:rPr>
          <w:bCs/>
          <w:iCs/>
        </w:rPr>
        <w:t>1</w:t>
      </w:r>
      <w:r w:rsidR="00A50E69">
        <w:rPr>
          <w:bCs/>
          <w:iCs/>
        </w:rPr>
        <w:t>4</w:t>
      </w:r>
      <w:r w:rsidRPr="00FE5D54">
        <w:rPr>
          <w:bCs/>
          <w:iCs/>
        </w:rPr>
        <w:t>.</w:t>
      </w:r>
      <w:r w:rsidRPr="00FE5D54">
        <w:rPr>
          <w:bCs/>
          <w:iCs/>
        </w:rPr>
        <w:tab/>
        <w:t>je si vědom toho, že pravoslavná metropole Besarábie se stala obětí sovětského útlaku; připomíná, že poté, co byla sovětskými úřady podvodně zrušena, byla pravoslavná Metropole Besarábie oficiálně uznána až v roce 2002 na základě rozhodnutí Evropského soudu pro lidská práva;</w:t>
      </w:r>
    </w:p>
    <w:p w14:paraId="413CA583" w14:textId="3F63F049" w:rsidR="00F060FD" w:rsidRPr="00B00F7F" w:rsidRDefault="00F060FD" w:rsidP="00F060FD">
      <w:pPr>
        <w:pStyle w:val="NormalHanging12a"/>
        <w:rPr>
          <w:szCs w:val="24"/>
        </w:rPr>
      </w:pPr>
      <w:r w:rsidRPr="00E47E0A">
        <w:rPr>
          <w:bCs/>
          <w:iCs/>
        </w:rPr>
        <w:t>1</w:t>
      </w:r>
      <w:r w:rsidR="00A50E69">
        <w:rPr>
          <w:bCs/>
          <w:iCs/>
        </w:rPr>
        <w:t>5</w:t>
      </w:r>
      <w:r w:rsidRPr="00E47E0A">
        <w:rPr>
          <w:bCs/>
          <w:iCs/>
        </w:rPr>
        <w:t>.</w:t>
      </w:r>
      <w:r w:rsidRPr="00E47E0A">
        <w:rPr>
          <w:bCs/>
          <w:iCs/>
        </w:rPr>
        <w:tab/>
        <w:t>poukazuje na to, že i organizace občanské společnosti</w:t>
      </w:r>
      <w:r w:rsidRPr="00B00F7F">
        <w:t xml:space="preserve"> významně přispívají k boji proti dezinformacím a negativnímu vlivu protireformních politických aktérů a subjektů prosazujících ruské zájmy a stejně tak i k obraně lidských práv, prosazování transparentnosti a monitorování veřejné správy a pokroku při reformách spojených s posilováním demokracie a s přistoupením k EU;</w:t>
      </w:r>
    </w:p>
    <w:p w14:paraId="4EA66862" w14:textId="78060585" w:rsidR="00F060FD" w:rsidRPr="00B00F7F" w:rsidRDefault="00F060FD" w:rsidP="00F060FD">
      <w:pPr>
        <w:pStyle w:val="NormalHanging12a"/>
        <w:rPr>
          <w:szCs w:val="24"/>
        </w:rPr>
      </w:pPr>
      <w:r w:rsidRPr="00B00F7F">
        <w:t>1</w:t>
      </w:r>
      <w:r w:rsidR="00A50E69">
        <w:t>6</w:t>
      </w:r>
      <w:r w:rsidRPr="00B00F7F">
        <w:t>.</w:t>
      </w:r>
      <w:r w:rsidRPr="00B00F7F">
        <w:tab/>
        <w:t>zdůrazňuje, že je velmi důležité, aby byla provedena komplexní reforma justice a důsledně potírána korupce, má-li se zvýšit odolnost Moldavska vůči zahraničnímu vměšování a hybridním hrozbám a má-li být zaručen úspěch demokratických reforem a reforem spojených s přistoupením k EU; oceňuje soustavné úsilí Moldavska o vybudování nezávislého, nestranného, odpovědného a profesionálního justičního systému a o dokončení procesu prověřování do konce roku 2026; zdůrazňuje, že je třeba zajistit lepší koordinaci mezi všemi klíčovými protikorupčními a justičními orgány, aby bylo možné plně provést komplexní reformy v oblasti právního státu, dosáhnout přesvědčivých výsledků při účinném stíhání případů korupce v souladu s řádným postupem a právem na spravedlivý proces a zachovat důvěru veřejnosti v demokratické instituce a reformní proces; vyzývá proto budoucí vládu, aby neslevovala ze současných ambicí a dokončila reformy v oblasti právního státu;</w:t>
      </w:r>
    </w:p>
    <w:p w14:paraId="60FF509D" w14:textId="1A0EB9D4" w:rsidR="00F060FD" w:rsidRDefault="00F060FD" w:rsidP="00F060FD">
      <w:pPr>
        <w:pStyle w:val="NormalHanging12a"/>
      </w:pPr>
      <w:r w:rsidRPr="00B00F7F">
        <w:t>1</w:t>
      </w:r>
      <w:r w:rsidR="00A50E69">
        <w:t>7</w:t>
      </w:r>
      <w:r w:rsidRPr="00B00F7F">
        <w:t>.</w:t>
      </w:r>
      <w:r w:rsidRPr="00B00F7F">
        <w:tab/>
        <w:t xml:space="preserve">poukazuje na to, že pro zvýšení odolnosti vůči ruským hybridním hrozbám v energetice má zásadní význam energetická nezávislost a propojení energetických soustav, a vyzývá proto k urychlení realizace plánu růstu; odsuzuje Rusko za to, že neustále účelově využívá dodávky energie, a vítá pokrok Moldavska, které diverzifikuje své zdroje </w:t>
      </w:r>
      <w:r w:rsidRPr="00B00F7F">
        <w:lastRenderedPageBreak/>
        <w:t>energie, zavádí obnovitelné zdroje energie a systémy skladování energie, snižuje svou závislost na ruském plynu a integruje se do trhu EU s energií;</w:t>
      </w:r>
    </w:p>
    <w:p w14:paraId="37C549CB" w14:textId="7DE139B4" w:rsidR="00E47E0A" w:rsidRPr="00E47E0A" w:rsidRDefault="00E47E0A" w:rsidP="00F060FD">
      <w:pPr>
        <w:pStyle w:val="NormalHanging12a"/>
        <w:rPr>
          <w:bCs/>
          <w:iCs/>
          <w:szCs w:val="24"/>
        </w:rPr>
      </w:pPr>
      <w:r w:rsidRPr="00FE5D54">
        <w:rPr>
          <w:bCs/>
          <w:iCs/>
        </w:rPr>
        <w:t>1</w:t>
      </w:r>
      <w:r w:rsidR="00A50E69">
        <w:rPr>
          <w:bCs/>
          <w:iCs/>
        </w:rPr>
        <w:t>8</w:t>
      </w:r>
      <w:r w:rsidRPr="00FE5D54">
        <w:rPr>
          <w:bCs/>
          <w:iCs/>
        </w:rPr>
        <w:t>.</w:t>
      </w:r>
      <w:r w:rsidRPr="00FE5D54">
        <w:rPr>
          <w:bCs/>
          <w:iCs/>
        </w:rPr>
        <w:tab/>
        <w:t>oceňuje Moldavskou republiku za významný pokrok, kterého dosáhla v postupném ukončování ruských zdrojů energie, urychlení dekarbonizace a digitalizace své skladby zdrojů energie a začlenění do trhu EU s energií; znovu vyzývá EU a členské státy, aby nadále podporovaly energetickou bezpečnost Moldavska tím, že budou podporovat vybudování a financování nových propojení elektroenergetických soustav se sousedními zeměmi, prosazování energetické účinnosti a zavádění systémů pro uchovávání energie v souladu s cíli stanovenými v jeho vnitrostátním plánu v oblasti energetiky a klimatu;</w:t>
      </w:r>
    </w:p>
    <w:p w14:paraId="3DC48F25" w14:textId="41FBACE4" w:rsidR="00F060FD" w:rsidRPr="00B00F7F" w:rsidRDefault="00F060FD" w:rsidP="00F060FD">
      <w:pPr>
        <w:pStyle w:val="NormalHanging12a"/>
        <w:rPr>
          <w:szCs w:val="24"/>
        </w:rPr>
      </w:pPr>
      <w:r w:rsidRPr="00B00F7F">
        <w:t>1</w:t>
      </w:r>
      <w:r w:rsidR="00A50E69">
        <w:t>9</w:t>
      </w:r>
      <w:r w:rsidRPr="00B00F7F">
        <w:t>.</w:t>
      </w:r>
      <w:r w:rsidRPr="00B00F7F">
        <w:tab/>
        <w:t>vítá hladké přijetí plánu růstu pro Moldavsko s bezprecedentním rozpočtem 1,9 miliardy EUR, který má posílit moldavské hospodářství a přiblížit vyhlídky Moldavska na získání členství v EU urychlením klíčových reforem např. v energetice, oblasti životního prostředí, digitálním odvětví či dopravě; vítá, že z 1,9 miliardy EUR, které jsou v plánu růstu k dispozici, bylo formou předběžného financování vyplaceno 270 milionů EUR, a žádá o rychlé uvolnění první řádné tranše na podporu klíčových reforem zaměřených na infrastrukturu, lidský kapitál, rozvoj podniků a digitální a ekologickou transformaci; naléhavě vyzývá EU a Moldavsko, aby urychlily postupnou integraci Moldavska do jednotného trhu EU, což přinese hmatatelné socioekonomické výhody ještě před formálním přistoupením k EU; vítá nedávnou dohodu o revizi a aktualizaci obchodních ustanovení prohloubené a komplexní zóny volného obchodu EU a Moldavska, která má rozšířit vstup moldavských zemědělských produktů, které zatím nejsou zahrnuty do liberalizovaného obchodu, na vnitřní trh; souhlasí s tím, aby bylo Moldavsko v příštím víceletém finančním rámci začleněno do předvstupního nástroje; oceňuje rozhodnutí Rady ze dne 25. července 2025 začlenit Moldavsko od 1. ledna 2026 do oblasti „roamingu za domácích podmínek“, které následovalo po podobném rozhodnutí pro Ukrajinu přijatém dne 14. července 2025;</w:t>
      </w:r>
    </w:p>
    <w:p w14:paraId="38B45ECD" w14:textId="6F248D7A" w:rsidR="00B00F7F" w:rsidRPr="00B00F7F" w:rsidRDefault="00A50E69" w:rsidP="00B00F7F">
      <w:pPr>
        <w:pStyle w:val="NormalHanging12a"/>
      </w:pPr>
      <w:r>
        <w:t>20</w:t>
      </w:r>
      <w:r w:rsidR="00F060FD" w:rsidRPr="00B00F7F">
        <w:t>.</w:t>
      </w:r>
      <w:r w:rsidR="00F060FD" w:rsidRPr="00B00F7F">
        <w:tab/>
        <w:t>pověřuje svou předsedkyni, aby předala toto usnesení místopředsedkyni Komise, vysoké představitelce Unie pro zahraniční věci a bezpečnostní politiku, Radě, Komisi, vládám a parlamentům členských států, Radě Evropy, Organizaci pro bezpečnost a spolupráci v Evropě a prezidentce, vládě a parlamentu Moldavska.</w:t>
      </w:r>
    </w:p>
    <w:p w14:paraId="07F0CFFE" w14:textId="59E7F348" w:rsidR="00E365E1" w:rsidRPr="00B00F7F" w:rsidRDefault="00E365E1" w:rsidP="00491430"/>
    <w:sectPr w:rsidR="00E365E1" w:rsidRPr="00B00F7F" w:rsidSect="00B00F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48E02" w14:textId="77777777" w:rsidR="00491430" w:rsidRPr="00B00F7F" w:rsidRDefault="00491430">
      <w:r w:rsidRPr="00B00F7F">
        <w:separator/>
      </w:r>
    </w:p>
  </w:endnote>
  <w:endnote w:type="continuationSeparator" w:id="0">
    <w:p w14:paraId="3E67442C" w14:textId="77777777" w:rsidR="00491430" w:rsidRPr="00B00F7F" w:rsidRDefault="00491430">
      <w:r w:rsidRPr="00B00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5C44E" w14:textId="77777777" w:rsidR="00064002" w:rsidRPr="00B00F7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419A4" w14:textId="77777777" w:rsidR="00064002" w:rsidRPr="00B00F7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3BF4A" w14:textId="77777777" w:rsidR="00064002" w:rsidRPr="00B00F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C6332" w14:textId="77777777" w:rsidR="00491430" w:rsidRPr="00B00F7F" w:rsidRDefault="00491430">
      <w:r w:rsidRPr="00B00F7F">
        <w:separator/>
      </w:r>
    </w:p>
  </w:footnote>
  <w:footnote w:type="continuationSeparator" w:id="0">
    <w:p w14:paraId="5B84CD1F" w14:textId="77777777" w:rsidR="00491430" w:rsidRPr="00B00F7F" w:rsidRDefault="00491430">
      <w:r w:rsidRPr="00B00F7F">
        <w:continuationSeparator/>
      </w:r>
    </w:p>
  </w:footnote>
  <w:footnote w:id="1">
    <w:p w14:paraId="404101E5" w14:textId="0BE8F84A" w:rsidR="00F060FD" w:rsidRPr="00B00F7F" w:rsidRDefault="00F060FD" w:rsidP="00B00F7F">
      <w:pPr>
        <w:pStyle w:val="FootnoteText"/>
        <w:ind w:left="567" w:hanging="567"/>
        <w:rPr>
          <w:sz w:val="24"/>
          <w:lang w:val="cs-CZ"/>
        </w:rPr>
      </w:pPr>
      <w:r w:rsidRPr="00B00F7F">
        <w:rPr>
          <w:rStyle w:val="FootnoteReference"/>
          <w:sz w:val="24"/>
          <w:lang w:val="cs-CZ"/>
        </w:rPr>
        <w:footnoteRef/>
      </w:r>
      <w:r w:rsidR="00B00F7F" w:rsidRPr="00B00F7F">
        <w:rPr>
          <w:sz w:val="24"/>
          <w:lang w:val="cs-CZ"/>
        </w:rPr>
        <w:t xml:space="preserve"> </w:t>
      </w:r>
      <w:r w:rsidR="00B00F7F" w:rsidRPr="00B00F7F">
        <w:rPr>
          <w:sz w:val="24"/>
          <w:lang w:val="cs-CZ"/>
        </w:rPr>
        <w:tab/>
      </w:r>
      <w:r w:rsidRPr="00B00F7F">
        <w:rPr>
          <w:sz w:val="24"/>
          <w:lang w:val="cs-CZ"/>
        </w:rPr>
        <w:t>Přijaté texty, P10_</w:t>
      </w:r>
      <w:proofErr w:type="gramStart"/>
      <w:r w:rsidRPr="00B00F7F">
        <w:rPr>
          <w:sz w:val="24"/>
          <w:lang w:val="cs-CZ"/>
        </w:rPr>
        <w:t>TA(</w:t>
      </w:r>
      <w:proofErr w:type="gramEnd"/>
      <w:r w:rsidRPr="00B00F7F">
        <w:rPr>
          <w:sz w:val="24"/>
          <w:lang w:val="cs-CZ"/>
        </w:rPr>
        <w:t>2025)0131.</w:t>
      </w:r>
    </w:p>
  </w:footnote>
  <w:footnote w:id="2">
    <w:p w14:paraId="18F276A6" w14:textId="491271F5" w:rsidR="00F060FD" w:rsidRPr="00B00F7F" w:rsidRDefault="00F060FD" w:rsidP="00B00F7F">
      <w:pPr>
        <w:pStyle w:val="FootnoteText"/>
        <w:ind w:left="567" w:hanging="567"/>
        <w:rPr>
          <w:sz w:val="24"/>
          <w:lang w:val="cs-CZ"/>
        </w:rPr>
      </w:pPr>
      <w:r w:rsidRPr="00B00F7F">
        <w:rPr>
          <w:rStyle w:val="FootnoteReference"/>
          <w:sz w:val="24"/>
          <w:lang w:val="cs-CZ"/>
        </w:rPr>
        <w:footnoteRef/>
      </w:r>
      <w:r w:rsidR="00B00F7F" w:rsidRPr="00B00F7F">
        <w:rPr>
          <w:sz w:val="24"/>
          <w:lang w:val="cs-CZ"/>
        </w:rPr>
        <w:t xml:space="preserve"> </w:t>
      </w:r>
      <w:r w:rsidR="00B00F7F" w:rsidRPr="00B00F7F">
        <w:rPr>
          <w:sz w:val="24"/>
          <w:lang w:val="cs-CZ"/>
        </w:rPr>
        <w:tab/>
      </w:r>
      <w:proofErr w:type="spellStart"/>
      <w:r w:rsidRPr="00B00F7F">
        <w:rPr>
          <w:sz w:val="24"/>
          <w:lang w:val="cs-CZ"/>
        </w:rPr>
        <w:t>Úř</w:t>
      </w:r>
      <w:proofErr w:type="spellEnd"/>
      <w:r w:rsidRPr="00B00F7F">
        <w:rPr>
          <w:sz w:val="24"/>
          <w:lang w:val="cs-CZ"/>
        </w:rPr>
        <w:t xml:space="preserve">. </w:t>
      </w:r>
      <w:proofErr w:type="spellStart"/>
      <w:r w:rsidRPr="00B00F7F">
        <w:rPr>
          <w:sz w:val="24"/>
          <w:lang w:val="cs-CZ"/>
        </w:rPr>
        <w:t>věst</w:t>
      </w:r>
      <w:proofErr w:type="spellEnd"/>
      <w:r w:rsidRPr="00B00F7F">
        <w:rPr>
          <w:sz w:val="24"/>
          <w:lang w:val="cs-CZ"/>
        </w:rPr>
        <w:t xml:space="preserve">. C, C/2025/204, 14.1.2025, ELI: </w:t>
      </w:r>
      <w:r w:rsidR="00FE5D54">
        <w:fldChar w:fldCharType="begin"/>
      </w:r>
      <w:r w:rsidR="00FE5D54" w:rsidRPr="00FE5D54">
        <w:rPr>
          <w:lang w:val="fi-FI"/>
        </w:rPr>
        <w:instrText>HYPERLINK "http://data.europa.eu/eli/C/2025/204/oj"</w:instrText>
      </w:r>
      <w:r w:rsidR="00FE5D54">
        <w:fldChar w:fldCharType="separate"/>
      </w:r>
      <w:r w:rsidRPr="007152A2">
        <w:rPr>
          <w:rStyle w:val="Hyperlink"/>
          <w:sz w:val="24"/>
          <w:lang w:val="cs-CZ"/>
        </w:rPr>
        <w:t>http://data.europa.eu/eli/C/2025/204/oj</w:t>
      </w:r>
      <w:r w:rsidR="00FE5D54">
        <w:rPr>
          <w:rStyle w:val="Hyperlink"/>
          <w:sz w:val="24"/>
          <w:lang w:val="cs-CZ"/>
        </w:rPr>
        <w:fldChar w:fldCharType="end"/>
      </w:r>
      <w:r w:rsidRPr="00B00F7F">
        <w:rPr>
          <w:sz w:val="24"/>
          <w:lang w:val="cs-CZ"/>
        </w:rPr>
        <w:t>.</w:t>
      </w:r>
    </w:p>
  </w:footnote>
  <w:footnote w:id="3">
    <w:p w14:paraId="28BE8A95" w14:textId="3710594F" w:rsidR="00F060FD" w:rsidRPr="00B00F7F" w:rsidRDefault="00F060FD" w:rsidP="00B00F7F">
      <w:pPr>
        <w:pStyle w:val="FootnoteText"/>
        <w:ind w:left="567" w:hanging="567"/>
        <w:rPr>
          <w:sz w:val="24"/>
          <w:lang w:val="cs-CZ"/>
        </w:rPr>
      </w:pPr>
      <w:r w:rsidRPr="00B00F7F">
        <w:rPr>
          <w:rStyle w:val="FootnoteReference"/>
          <w:sz w:val="24"/>
          <w:lang w:val="cs-CZ"/>
        </w:rPr>
        <w:footnoteRef/>
      </w:r>
      <w:r w:rsidR="00B00F7F" w:rsidRPr="00B00F7F">
        <w:rPr>
          <w:sz w:val="24"/>
          <w:lang w:val="cs-CZ"/>
        </w:rPr>
        <w:t xml:space="preserve"> </w:t>
      </w:r>
      <w:r w:rsidR="00B00F7F" w:rsidRPr="00B00F7F">
        <w:rPr>
          <w:sz w:val="24"/>
          <w:lang w:val="cs-CZ"/>
        </w:rPr>
        <w:tab/>
      </w:r>
      <w:proofErr w:type="spellStart"/>
      <w:r w:rsidRPr="00B00F7F">
        <w:rPr>
          <w:sz w:val="24"/>
          <w:lang w:val="cs-CZ"/>
        </w:rPr>
        <w:t>Úř</w:t>
      </w:r>
      <w:proofErr w:type="spellEnd"/>
      <w:r w:rsidRPr="00B00F7F">
        <w:rPr>
          <w:sz w:val="24"/>
          <w:lang w:val="cs-CZ"/>
        </w:rPr>
        <w:t xml:space="preserve">. </w:t>
      </w:r>
      <w:proofErr w:type="spellStart"/>
      <w:r w:rsidRPr="00B00F7F">
        <w:rPr>
          <w:sz w:val="24"/>
          <w:lang w:val="cs-CZ"/>
        </w:rPr>
        <w:t>věst</w:t>
      </w:r>
      <w:proofErr w:type="spellEnd"/>
      <w:r w:rsidRPr="00B00F7F">
        <w:rPr>
          <w:sz w:val="24"/>
          <w:lang w:val="cs-CZ"/>
        </w:rPr>
        <w:t>. L 260, 30.8.2014, s. 4, ELI: </w:t>
      </w:r>
      <w:r w:rsidR="00FE5D54">
        <w:fldChar w:fldCharType="begin"/>
      </w:r>
      <w:r w:rsidR="00FE5D54" w:rsidRPr="00FE5D54">
        <w:rPr>
          <w:lang w:val="cs-CZ"/>
        </w:rPr>
        <w:instrText>HYPERLINK "http://data.europa.eu/eli/agree_internation/2014/492/oj" \o "Gives access to this document through its ELI URI."</w:instrText>
      </w:r>
      <w:r w:rsidR="00FE5D54">
        <w:fldChar w:fldCharType="separate"/>
      </w:r>
      <w:r w:rsidRPr="00B00F7F">
        <w:rPr>
          <w:rStyle w:val="Hyperlink"/>
          <w:sz w:val="24"/>
          <w:lang w:val="cs-CZ"/>
        </w:rPr>
        <w:t>http://data.europa.eu/eli/agree_internation/2014/</w:t>
      </w:r>
      <w:r w:rsidR="002D2EA2">
        <w:rPr>
          <w:rStyle w:val="Hyperlink"/>
          <w:sz w:val="24"/>
          <w:lang w:val="cs-CZ"/>
        </w:rPr>
        <w:br/>
      </w:r>
      <w:r w:rsidRPr="00B00F7F">
        <w:rPr>
          <w:rStyle w:val="Hyperlink"/>
          <w:sz w:val="24"/>
          <w:lang w:val="cs-CZ"/>
        </w:rPr>
        <w:t>492/oj</w:t>
      </w:r>
      <w:r w:rsidR="00FE5D54">
        <w:rPr>
          <w:rStyle w:val="Hyperlink"/>
          <w:sz w:val="24"/>
          <w:lang w:val="cs-CZ"/>
        </w:rPr>
        <w:fldChar w:fldCharType="end"/>
      </w:r>
      <w:r w:rsidRPr="00B00F7F">
        <w:rPr>
          <w:sz w:val="24"/>
          <w:lang w:val="cs-CZ"/>
        </w:rPr>
        <w:t>.</w:t>
      </w:r>
    </w:p>
  </w:footnote>
  <w:footnote w:id="4">
    <w:p w14:paraId="3622114F" w14:textId="2C18A293" w:rsidR="00E47E0A" w:rsidRPr="00FE5D54" w:rsidRDefault="00E47E0A" w:rsidP="00FE5D54">
      <w:pPr>
        <w:pStyle w:val="FootnoteText"/>
        <w:ind w:left="567" w:hanging="567"/>
        <w:rPr>
          <w:lang w:val="cs-CZ"/>
        </w:rPr>
      </w:pPr>
      <w:r w:rsidRPr="00E47E0A">
        <w:rPr>
          <w:rStyle w:val="FootnoteReference"/>
        </w:rPr>
        <w:footnoteRef/>
      </w:r>
      <w:r w:rsidRPr="00FE5D54">
        <w:rPr>
          <w:lang w:val="cs-CZ"/>
        </w:rPr>
        <w:t xml:space="preserve"> </w:t>
      </w:r>
      <w:r w:rsidRPr="00E47E0A">
        <w:rPr>
          <w:lang w:val="cs-CZ"/>
        </w:rPr>
        <w:tab/>
      </w:r>
      <w:r w:rsidRPr="00FE5D54">
        <w:rPr>
          <w:lang w:val="cs-CZ"/>
        </w:rPr>
        <w:t>https:/www.zdg.md/en/kremlins-digital-army-an-undercover-investigation-its-paid-let-me-tell-you-its-paid-directly-from-moscow/</w:t>
      </w:r>
    </w:p>
  </w:footnote>
  <w:footnote w:id="5">
    <w:p w14:paraId="30D74C86" w14:textId="5F62C204" w:rsidR="00F060FD" w:rsidRPr="00B00F7F" w:rsidRDefault="00F060FD" w:rsidP="00B00F7F">
      <w:pPr>
        <w:pStyle w:val="FootnoteText"/>
        <w:ind w:left="567" w:hanging="567"/>
        <w:rPr>
          <w:sz w:val="24"/>
          <w:lang w:val="cs-CZ"/>
        </w:rPr>
      </w:pPr>
      <w:r w:rsidRPr="00B00F7F">
        <w:rPr>
          <w:rStyle w:val="FootnoteReference"/>
          <w:sz w:val="24"/>
          <w:lang w:val="cs-CZ"/>
        </w:rPr>
        <w:footnoteRef/>
      </w:r>
      <w:r w:rsidR="00B00F7F" w:rsidRPr="00B00F7F">
        <w:rPr>
          <w:sz w:val="24"/>
          <w:lang w:val="cs-CZ"/>
        </w:rPr>
        <w:t xml:space="preserve"> </w:t>
      </w:r>
      <w:r w:rsidR="00B00F7F" w:rsidRPr="00B00F7F">
        <w:rPr>
          <w:sz w:val="24"/>
          <w:lang w:val="cs-CZ"/>
        </w:rPr>
        <w:tab/>
      </w:r>
      <w:r w:rsidRPr="00B00F7F">
        <w:rPr>
          <w:sz w:val="24"/>
          <w:lang w:val="cs-CZ"/>
        </w:rPr>
        <w:t>Nařízení Evropského parlamentu a Rady (EU) 2022/1925 ze dne 14. září 2022 o spravedlivých trzích otevřených hospodářské soutěži v digitálním odvětví a o změně směrnic (EU) 2019/1937 a (EU) 2020/1828 (</w:t>
      </w:r>
      <w:proofErr w:type="spellStart"/>
      <w:r w:rsidRPr="00B00F7F">
        <w:rPr>
          <w:sz w:val="24"/>
          <w:lang w:val="cs-CZ"/>
        </w:rPr>
        <w:t>Úř</w:t>
      </w:r>
      <w:proofErr w:type="spellEnd"/>
      <w:r w:rsidRPr="00B00F7F">
        <w:rPr>
          <w:sz w:val="24"/>
          <w:lang w:val="cs-CZ"/>
        </w:rPr>
        <w:t xml:space="preserve">. </w:t>
      </w:r>
      <w:proofErr w:type="spellStart"/>
      <w:r w:rsidRPr="00B00F7F">
        <w:rPr>
          <w:sz w:val="24"/>
          <w:lang w:val="cs-CZ"/>
        </w:rPr>
        <w:t>věst</w:t>
      </w:r>
      <w:proofErr w:type="spellEnd"/>
      <w:r w:rsidRPr="00B00F7F">
        <w:rPr>
          <w:sz w:val="24"/>
          <w:lang w:val="cs-CZ"/>
        </w:rPr>
        <w:t xml:space="preserve">. L 265, 12.10.2022, s. 1, ELI: </w:t>
      </w:r>
      <w:r w:rsidR="00FE5D54">
        <w:fldChar w:fldCharType="begin"/>
      </w:r>
      <w:r w:rsidR="00FE5D54" w:rsidRPr="00FE5D54">
        <w:rPr>
          <w:lang w:val="fi-FI"/>
        </w:rPr>
        <w:instrText>HYPERLINK "http://data.europa.eu/eli/reg/2022/1925/oj"</w:instrText>
      </w:r>
      <w:r w:rsidR="00FE5D54">
        <w:fldChar w:fldCharType="separate"/>
      </w:r>
      <w:r w:rsidRPr="007152A2">
        <w:rPr>
          <w:rStyle w:val="Hyperlink"/>
          <w:sz w:val="24"/>
          <w:lang w:val="cs-CZ"/>
        </w:rPr>
        <w:t>http://data.europa.eu/eli/reg/2022/1925/oj</w:t>
      </w:r>
      <w:r w:rsidR="00FE5D54">
        <w:rPr>
          <w:rStyle w:val="Hyperlink"/>
          <w:sz w:val="24"/>
          <w:lang w:val="cs-CZ"/>
        </w:rPr>
        <w:fldChar w:fldCharType="end"/>
      </w:r>
      <w:r w:rsidRPr="00B00F7F">
        <w:rPr>
          <w:sz w:val="24"/>
          <w:lang w:val="cs-CZ"/>
        </w:rPr>
        <w:t>).</w:t>
      </w:r>
    </w:p>
  </w:footnote>
  <w:footnote w:id="6">
    <w:p w14:paraId="4E9F74B7" w14:textId="49725AC2" w:rsidR="00F060FD" w:rsidRPr="00B00F7F" w:rsidRDefault="00F060FD" w:rsidP="00B00F7F">
      <w:pPr>
        <w:pStyle w:val="FootnoteText"/>
        <w:ind w:left="567" w:hanging="567"/>
        <w:rPr>
          <w:sz w:val="24"/>
          <w:lang w:val="cs-CZ"/>
        </w:rPr>
      </w:pPr>
      <w:r w:rsidRPr="00B00F7F">
        <w:rPr>
          <w:rStyle w:val="FootnoteReference"/>
          <w:sz w:val="24"/>
          <w:lang w:val="cs-CZ"/>
        </w:rPr>
        <w:footnoteRef/>
      </w:r>
      <w:r w:rsidR="00B00F7F" w:rsidRPr="00B00F7F">
        <w:rPr>
          <w:sz w:val="24"/>
          <w:lang w:val="cs-CZ"/>
        </w:rPr>
        <w:t xml:space="preserve"> </w:t>
      </w:r>
      <w:r w:rsidR="00B00F7F" w:rsidRPr="00B00F7F">
        <w:rPr>
          <w:sz w:val="24"/>
          <w:lang w:val="cs-CZ"/>
        </w:rPr>
        <w:tab/>
      </w:r>
      <w:r w:rsidRPr="00B00F7F">
        <w:rPr>
          <w:sz w:val="24"/>
          <w:lang w:val="cs-CZ"/>
        </w:rPr>
        <w:t>Nařízení Evropského parlamentu a Rady (EU) 2022/2065 ze dne 19. října 2022 o jednotném trhu digitálních služeb a o změně směrnice 2000/31/ES (</w:t>
      </w:r>
      <w:proofErr w:type="spellStart"/>
      <w:r w:rsidRPr="00B00F7F">
        <w:rPr>
          <w:sz w:val="24"/>
          <w:lang w:val="cs-CZ"/>
        </w:rPr>
        <w:t>Úř</w:t>
      </w:r>
      <w:proofErr w:type="spellEnd"/>
      <w:r w:rsidRPr="00B00F7F">
        <w:rPr>
          <w:sz w:val="24"/>
          <w:lang w:val="cs-CZ"/>
        </w:rPr>
        <w:t xml:space="preserve">. </w:t>
      </w:r>
      <w:proofErr w:type="spellStart"/>
      <w:r w:rsidRPr="00B00F7F">
        <w:rPr>
          <w:sz w:val="24"/>
          <w:lang w:val="cs-CZ"/>
        </w:rPr>
        <w:t>věst</w:t>
      </w:r>
      <w:proofErr w:type="spellEnd"/>
      <w:r w:rsidRPr="00B00F7F">
        <w:rPr>
          <w:sz w:val="24"/>
          <w:lang w:val="cs-CZ"/>
        </w:rPr>
        <w:t xml:space="preserve">. L 277, 27.10.2022, s. 1, ELI: </w:t>
      </w:r>
      <w:r w:rsidR="00FE5D54">
        <w:fldChar w:fldCharType="begin"/>
      </w:r>
      <w:r w:rsidR="00FE5D54" w:rsidRPr="00FE5D54">
        <w:rPr>
          <w:lang w:val="fi-FI"/>
        </w:rPr>
        <w:instrText>HYPERLINK "http://data.europa.eu/eli/reg/2022/2065/oj"</w:instrText>
      </w:r>
      <w:r w:rsidR="00FE5D54">
        <w:fldChar w:fldCharType="separate"/>
      </w:r>
      <w:r w:rsidRPr="007152A2">
        <w:rPr>
          <w:rStyle w:val="Hyperlink"/>
          <w:sz w:val="24"/>
          <w:lang w:val="cs-CZ"/>
        </w:rPr>
        <w:t>http://data.europa.eu/eli/reg/2022/2065/oj</w:t>
      </w:r>
      <w:r w:rsidR="00FE5D54">
        <w:rPr>
          <w:rStyle w:val="Hyperlink"/>
          <w:sz w:val="24"/>
          <w:lang w:val="cs-CZ"/>
        </w:rPr>
        <w:fldChar w:fldCharType="end"/>
      </w:r>
      <w:r w:rsidRPr="00B00F7F">
        <w:rPr>
          <w:sz w:val="24"/>
          <w:lang w:val="cs-CZ"/>
        </w:rPr>
        <w:t>).</w:t>
      </w:r>
    </w:p>
  </w:footnote>
  <w:footnote w:id="7">
    <w:p w14:paraId="0123D551" w14:textId="265B6C59" w:rsidR="00571912" w:rsidRPr="00FE5D54" w:rsidRDefault="00571912" w:rsidP="00FE5D54">
      <w:pPr>
        <w:pStyle w:val="FootnoteText"/>
        <w:ind w:left="567" w:hanging="567"/>
        <w:rPr>
          <w:sz w:val="24"/>
          <w:szCs w:val="24"/>
          <w:lang w:val="cs-CZ"/>
        </w:rPr>
      </w:pPr>
      <w:r w:rsidRPr="00FE5D54">
        <w:rPr>
          <w:rStyle w:val="FootnoteReference"/>
          <w:sz w:val="24"/>
          <w:szCs w:val="24"/>
        </w:rPr>
        <w:footnoteRef/>
      </w:r>
      <w:r w:rsidRPr="00FE5D54">
        <w:rPr>
          <w:sz w:val="24"/>
          <w:szCs w:val="24"/>
          <w:lang w:val="cs-CZ"/>
        </w:rPr>
        <w:t xml:space="preserve"> </w:t>
      </w:r>
      <w:r w:rsidRPr="00FE5D54">
        <w:rPr>
          <w:sz w:val="24"/>
          <w:szCs w:val="24"/>
          <w:lang w:val="cs-CZ"/>
        </w:rPr>
        <w:tab/>
      </w:r>
      <w:hyperlink r:id="rId1" w:history="1">
        <w:r w:rsidRPr="00FE5D54">
          <w:rPr>
            <w:rStyle w:val="Hyperlink"/>
            <w:sz w:val="24"/>
            <w:szCs w:val="24"/>
            <w:lang w:val="cs-CZ"/>
          </w:rPr>
          <w:t>https://pace.coe.int/en/files/33808/html</w:t>
        </w:r>
      </w:hyperlink>
      <w:r w:rsidRPr="00FE5D54">
        <w:rPr>
          <w:sz w:val="24"/>
          <w:szCs w:val="24"/>
          <w:lang w:val="cs-CZ"/>
        </w:rPr>
        <w:t>, https://www.thetablet.co.uk/news/bartholomew-accuses-russian-church-of-ethno-nationalist-heresy/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E1210" w14:textId="77777777" w:rsidR="00064002" w:rsidRPr="00B00F7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C8A6" w14:textId="77777777" w:rsidR="00064002" w:rsidRPr="00B00F7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A54CD" w14:textId="77777777" w:rsidR="00064002" w:rsidRPr="00B00F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6410533">
    <w:abstractNumId w:val="9"/>
  </w:num>
  <w:num w:numId="2" w16cid:durableId="6104484">
    <w:abstractNumId w:val="9"/>
  </w:num>
  <w:num w:numId="3" w16cid:durableId="180166571">
    <w:abstractNumId w:val="7"/>
  </w:num>
  <w:num w:numId="4" w16cid:durableId="1481654341">
    <w:abstractNumId w:val="7"/>
  </w:num>
  <w:num w:numId="5" w16cid:durableId="702940676">
    <w:abstractNumId w:val="6"/>
  </w:num>
  <w:num w:numId="6" w16cid:durableId="2043241737">
    <w:abstractNumId w:val="6"/>
  </w:num>
  <w:num w:numId="7" w16cid:durableId="1732070018">
    <w:abstractNumId w:val="5"/>
  </w:num>
  <w:num w:numId="8" w16cid:durableId="1853957974">
    <w:abstractNumId w:val="5"/>
  </w:num>
  <w:num w:numId="9" w16cid:durableId="458886512">
    <w:abstractNumId w:val="4"/>
  </w:num>
  <w:num w:numId="10" w16cid:durableId="1275014450">
    <w:abstractNumId w:val="4"/>
  </w:num>
  <w:num w:numId="11" w16cid:durableId="1764835191">
    <w:abstractNumId w:val="8"/>
  </w:num>
  <w:num w:numId="12" w16cid:durableId="1970865504">
    <w:abstractNumId w:val="8"/>
  </w:num>
  <w:num w:numId="13" w16cid:durableId="2063020641">
    <w:abstractNumId w:val="3"/>
  </w:num>
  <w:num w:numId="14" w16cid:durableId="2105297036">
    <w:abstractNumId w:val="3"/>
  </w:num>
  <w:num w:numId="15" w16cid:durableId="2028405716">
    <w:abstractNumId w:val="2"/>
  </w:num>
  <w:num w:numId="16" w16cid:durableId="1224952306">
    <w:abstractNumId w:val="2"/>
  </w:num>
  <w:num w:numId="17" w16cid:durableId="439692127">
    <w:abstractNumId w:val="1"/>
  </w:num>
  <w:num w:numId="18" w16cid:durableId="2068406688">
    <w:abstractNumId w:val="1"/>
  </w:num>
  <w:num w:numId="19" w16cid:durableId="1046872737">
    <w:abstractNumId w:val="0"/>
  </w:num>
  <w:num w:numId="20" w16cid:durableId="849027734">
    <w:abstractNumId w:val="0"/>
  </w:num>
  <w:num w:numId="21" w16cid:durableId="2109539975">
    <w:abstractNumId w:val="9"/>
  </w:num>
  <w:num w:numId="22" w16cid:durableId="576407342">
    <w:abstractNumId w:val="7"/>
  </w:num>
  <w:num w:numId="23" w16cid:durableId="1123966843">
    <w:abstractNumId w:val="6"/>
  </w:num>
  <w:num w:numId="24" w16cid:durableId="1508709346">
    <w:abstractNumId w:val="5"/>
  </w:num>
  <w:num w:numId="25" w16cid:durableId="343480774">
    <w:abstractNumId w:val="4"/>
  </w:num>
  <w:num w:numId="26" w16cid:durableId="475875382">
    <w:abstractNumId w:val="8"/>
  </w:num>
  <w:num w:numId="27" w16cid:durableId="1945258167">
    <w:abstractNumId w:val="3"/>
  </w:num>
  <w:num w:numId="28" w16cid:durableId="378407781">
    <w:abstractNumId w:val="2"/>
  </w:num>
  <w:num w:numId="29" w16cid:durableId="1301956920">
    <w:abstractNumId w:val="1"/>
  </w:num>
  <w:num w:numId="30" w16cid:durableId="1989019184">
    <w:abstractNumId w:val="0"/>
  </w:num>
  <w:num w:numId="31" w16cid:durableId="1332756085">
    <w:abstractNumId w:val="9"/>
  </w:num>
  <w:num w:numId="32" w16cid:durableId="1308508470">
    <w:abstractNumId w:val="7"/>
  </w:num>
  <w:num w:numId="33" w16cid:durableId="650327744">
    <w:abstractNumId w:val="6"/>
  </w:num>
  <w:num w:numId="34" w16cid:durableId="1098713108">
    <w:abstractNumId w:val="5"/>
  </w:num>
  <w:num w:numId="35" w16cid:durableId="2046563611">
    <w:abstractNumId w:val="4"/>
  </w:num>
  <w:num w:numId="36" w16cid:durableId="1962415684">
    <w:abstractNumId w:val="8"/>
  </w:num>
  <w:num w:numId="37" w16cid:durableId="1148133024">
    <w:abstractNumId w:val="3"/>
  </w:num>
  <w:num w:numId="38" w16cid:durableId="1544638328">
    <w:abstractNumId w:val="2"/>
  </w:num>
  <w:num w:numId="39" w16cid:durableId="1932665664">
    <w:abstractNumId w:val="1"/>
  </w:num>
  <w:num w:numId="40" w16cid:durableId="192764551">
    <w:abstractNumId w:val="0"/>
  </w:num>
  <w:num w:numId="41" w16cid:durableId="1386218485">
    <w:abstractNumId w:val="10"/>
  </w:num>
  <w:num w:numId="42" w16cid:durableId="1463840987">
    <w:abstractNumId w:val="10"/>
  </w:num>
  <w:num w:numId="43" w16cid:durableId="1389500267">
    <w:abstractNumId w:val="10"/>
  </w:num>
  <w:num w:numId="44" w16cid:durableId="13419322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 0357, 0356, 0359 a 0361/2025"/>
    <w:docVar w:name="dvlangue" w:val="CS"/>
    <w:docVar w:name="dvnumam" w:val="0"/>
    <w:docVar w:name="dvpe" w:val="776.179"/>
    <w:docVar w:name="dvtitre" w:val="Usnesení Evropského parlamentu ze dne.... 2025 o posílení odolnosti Moldavska vůči ruským hybridním hrozbám a nepřátelskému vměšování(2025/2811(RSP))"/>
  </w:docVars>
  <w:rsids>
    <w:rsidRoot w:val="00491430"/>
    <w:rsid w:val="00002272"/>
    <w:rsid w:val="00064002"/>
    <w:rsid w:val="000677B9"/>
    <w:rsid w:val="000831BA"/>
    <w:rsid w:val="000A42CC"/>
    <w:rsid w:val="000E2FD3"/>
    <w:rsid w:val="000E7DD9"/>
    <w:rsid w:val="0010095E"/>
    <w:rsid w:val="00125B37"/>
    <w:rsid w:val="00187494"/>
    <w:rsid w:val="001F32AE"/>
    <w:rsid w:val="002767FF"/>
    <w:rsid w:val="002B18FE"/>
    <w:rsid w:val="002B5493"/>
    <w:rsid w:val="002D2EA2"/>
    <w:rsid w:val="00343214"/>
    <w:rsid w:val="00361C00"/>
    <w:rsid w:val="00395FA1"/>
    <w:rsid w:val="003E15D4"/>
    <w:rsid w:val="00411CCE"/>
    <w:rsid w:val="0041666E"/>
    <w:rsid w:val="00421060"/>
    <w:rsid w:val="00471C19"/>
    <w:rsid w:val="004867E3"/>
    <w:rsid w:val="00491430"/>
    <w:rsid w:val="00494A28"/>
    <w:rsid w:val="004C0004"/>
    <w:rsid w:val="004C5D52"/>
    <w:rsid w:val="004D7B80"/>
    <w:rsid w:val="0050519A"/>
    <w:rsid w:val="005072A1"/>
    <w:rsid w:val="00514517"/>
    <w:rsid w:val="00545827"/>
    <w:rsid w:val="00560270"/>
    <w:rsid w:val="00571912"/>
    <w:rsid w:val="005C2568"/>
    <w:rsid w:val="005F1B17"/>
    <w:rsid w:val="006037C0"/>
    <w:rsid w:val="00622787"/>
    <w:rsid w:val="006631B6"/>
    <w:rsid w:val="00680577"/>
    <w:rsid w:val="006F74FA"/>
    <w:rsid w:val="007152A2"/>
    <w:rsid w:val="00731ADD"/>
    <w:rsid w:val="00734777"/>
    <w:rsid w:val="00747932"/>
    <w:rsid w:val="00751A4A"/>
    <w:rsid w:val="0075395F"/>
    <w:rsid w:val="00756632"/>
    <w:rsid w:val="00762C74"/>
    <w:rsid w:val="00786EC0"/>
    <w:rsid w:val="007B410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73F"/>
    <w:rsid w:val="00A1687D"/>
    <w:rsid w:val="00A43E52"/>
    <w:rsid w:val="00A4678D"/>
    <w:rsid w:val="00A50E69"/>
    <w:rsid w:val="00A778C7"/>
    <w:rsid w:val="00AB441E"/>
    <w:rsid w:val="00AB6293"/>
    <w:rsid w:val="00AE0928"/>
    <w:rsid w:val="00AF3B82"/>
    <w:rsid w:val="00B00F7F"/>
    <w:rsid w:val="00B12E95"/>
    <w:rsid w:val="00B22876"/>
    <w:rsid w:val="00B558F0"/>
    <w:rsid w:val="00BD48FE"/>
    <w:rsid w:val="00BD7BD8"/>
    <w:rsid w:val="00BE6ADC"/>
    <w:rsid w:val="00C05BFE"/>
    <w:rsid w:val="00C23CD4"/>
    <w:rsid w:val="00C61C0C"/>
    <w:rsid w:val="00C941CB"/>
    <w:rsid w:val="00CC2357"/>
    <w:rsid w:val="00CC742D"/>
    <w:rsid w:val="00CF071A"/>
    <w:rsid w:val="00D058B8"/>
    <w:rsid w:val="00D56C11"/>
    <w:rsid w:val="00D834A0"/>
    <w:rsid w:val="00D872DF"/>
    <w:rsid w:val="00D91E21"/>
    <w:rsid w:val="00DA7FCD"/>
    <w:rsid w:val="00E365E1"/>
    <w:rsid w:val="00E47E0A"/>
    <w:rsid w:val="00E820A4"/>
    <w:rsid w:val="00EB006A"/>
    <w:rsid w:val="00EB4772"/>
    <w:rsid w:val="00ED169E"/>
    <w:rsid w:val="00ED4235"/>
    <w:rsid w:val="00F04346"/>
    <w:rsid w:val="00F060FD"/>
    <w:rsid w:val="00F075DC"/>
    <w:rsid w:val="00F149E9"/>
    <w:rsid w:val="00F5134D"/>
    <w:rsid w:val="00F74202"/>
    <w:rsid w:val="00F87713"/>
    <w:rsid w:val="00FB4360"/>
    <w:rsid w:val="00FD0C70"/>
    <w:rsid w:val="00FE5D5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9F4DC"/>
  <w15:chartTrackingRefBased/>
  <w15:docId w15:val="{B63127C0-6B9E-414C-99EE-55892A9FE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060FD"/>
    <w:pPr>
      <w:spacing w:after="240"/>
      <w:ind w:left="567" w:hanging="567"/>
    </w:pPr>
  </w:style>
  <w:style w:type="paragraph" w:customStyle="1" w:styleId="EPComma">
    <w:name w:val="EPComma"/>
    <w:basedOn w:val="Normal"/>
    <w:rsid w:val="00F060FD"/>
    <w:pPr>
      <w:spacing w:before="480" w:after="240"/>
    </w:pPr>
  </w:style>
  <w:style w:type="character" w:customStyle="1" w:styleId="NormalHanging12aChar">
    <w:name w:val="NormalHanging12a Char"/>
    <w:basedOn w:val="DefaultParagraphFont"/>
    <w:link w:val="NormalHanging12a"/>
    <w:locked/>
    <w:rsid w:val="00F060FD"/>
    <w:rPr>
      <w:sz w:val="24"/>
      <w:lang w:val="cs-CZ"/>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F060FD"/>
    <w:pPr>
      <w:widowControl/>
      <w:spacing w:after="160" w:line="240" w:lineRule="exact"/>
    </w:pPr>
    <w:rPr>
      <w:sz w:val="20"/>
      <w:vertAlign w:val="superscript"/>
      <w:lang w:val="en-GB"/>
    </w:rPr>
  </w:style>
  <w:style w:type="character" w:styleId="Hyperlink">
    <w:name w:val="Hyperlink"/>
    <w:basedOn w:val="DefaultParagraphFont"/>
    <w:unhideWhenUsed/>
    <w:rsid w:val="00F060FD"/>
    <w:rPr>
      <w:color w:val="0000FF"/>
      <w:u w:val="single"/>
    </w:rPr>
  </w:style>
  <w:style w:type="character" w:customStyle="1" w:styleId="highlight-diff">
    <w:name w:val="highlight-diff"/>
    <w:basedOn w:val="DefaultParagraphFont"/>
    <w:rsid w:val="00F060FD"/>
  </w:style>
  <w:style w:type="character" w:styleId="Strong">
    <w:name w:val="Strong"/>
    <w:basedOn w:val="DefaultParagraphFont"/>
    <w:uiPriority w:val="22"/>
    <w:qFormat/>
    <w:rsid w:val="00F060FD"/>
    <w:rPr>
      <w:b/>
      <w:bCs/>
    </w:rPr>
  </w:style>
  <w:style w:type="character" w:styleId="UnresolvedMention">
    <w:name w:val="Unresolved Mention"/>
    <w:basedOn w:val="DefaultParagraphFont"/>
    <w:uiPriority w:val="99"/>
    <w:semiHidden/>
    <w:unhideWhenUsed/>
    <w:rsid w:val="007152A2"/>
    <w:rPr>
      <w:color w:val="605E5C"/>
      <w:shd w:val="clear" w:color="auto" w:fill="E1DFDD"/>
    </w:rPr>
  </w:style>
  <w:style w:type="paragraph" w:styleId="Revision">
    <w:name w:val="Revision"/>
    <w:hidden/>
    <w:uiPriority w:val="99"/>
    <w:semiHidden/>
    <w:rsid w:val="007B4102"/>
    <w:rPr>
      <w:sz w:val="24"/>
      <w:lang w:val="cs-CZ"/>
    </w:rPr>
  </w:style>
  <w:style w:type="paragraph" w:customStyle="1" w:styleId="Normal6a">
    <w:name w:val="Normal6a"/>
    <w:basedOn w:val="Normal"/>
    <w:rsid w:val="00E47E0A"/>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pace.coe.int/en/files/3380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2806</Words>
  <Characters>17131</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2025-09-10T13:33:00Z</dcterms:created>
  <dcterms:modified xsi:type="dcterms:W3CDTF">2025-09-10T13:33:00Z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B10-0355, 0357, 0356, 0359 a 0361/2025</vt:lpwstr>
  </property>
  <property fmtid="{D5CDD505-2E9C-101B-9397-08002B2CF9AE}" pid="4" name="&lt;Type&gt;">
    <vt:lpwstr>RR</vt:lpwstr>
  </property>
</Properties>
</file>