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49D2" w14:paraId="19FE7BC3" w14:textId="77777777" w:rsidTr="0010095E">
        <w:trPr>
          <w:trHeight w:hRule="exact" w:val="1418"/>
        </w:trPr>
        <w:tc>
          <w:tcPr>
            <w:tcW w:w="6804" w:type="dxa"/>
            <w:shd w:val="clear" w:color="auto" w:fill="auto"/>
            <w:vAlign w:val="center"/>
          </w:tcPr>
          <w:p w14:paraId="63C15123" w14:textId="77777777" w:rsidR="00751A4A" w:rsidRPr="002F49D2" w:rsidRDefault="00777763" w:rsidP="0010095E">
            <w:pPr>
              <w:pStyle w:val="EPName"/>
            </w:pPr>
            <w:r w:rsidRPr="002F49D2">
              <w:t>Europa-Parlamentet</w:t>
            </w:r>
          </w:p>
          <w:p w14:paraId="0A52A8EC" w14:textId="77777777" w:rsidR="00751A4A" w:rsidRPr="002F49D2" w:rsidRDefault="005F1B17" w:rsidP="005F1B17">
            <w:pPr>
              <w:pStyle w:val="EPTerm"/>
              <w:rPr>
                <w:rStyle w:val="HideTWBExt"/>
                <w:noProof w:val="0"/>
                <w:vanish w:val="0"/>
                <w:color w:val="auto"/>
              </w:rPr>
            </w:pPr>
            <w:r w:rsidRPr="002F49D2">
              <w:t>2024</w:t>
            </w:r>
            <w:r w:rsidR="00817416" w:rsidRPr="002F49D2">
              <w:t>-202</w:t>
            </w:r>
            <w:r w:rsidRPr="002F49D2">
              <w:t>9</w:t>
            </w:r>
          </w:p>
        </w:tc>
        <w:tc>
          <w:tcPr>
            <w:tcW w:w="2268" w:type="dxa"/>
            <w:shd w:val="clear" w:color="auto" w:fill="auto"/>
          </w:tcPr>
          <w:p w14:paraId="20272D38" w14:textId="77777777" w:rsidR="00751A4A" w:rsidRPr="002F49D2" w:rsidRDefault="00187494" w:rsidP="0010095E">
            <w:pPr>
              <w:pStyle w:val="EPLogo"/>
            </w:pPr>
            <w:r w:rsidRPr="002F49D2">
              <w:rPr>
                <w:noProof/>
                <w:lang w:eastAsia="ja-JP"/>
              </w:rPr>
              <w:drawing>
                <wp:inline distT="0" distB="0" distL="0" distR="0" wp14:anchorId="50544039" wp14:editId="4B309D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DEA714" w14:textId="77777777" w:rsidR="00D058B8" w:rsidRPr="002F49D2" w:rsidRDefault="00D058B8" w:rsidP="004C5D52">
      <w:pPr>
        <w:pStyle w:val="LineTop"/>
      </w:pPr>
    </w:p>
    <w:p w14:paraId="42BC8FCB" w14:textId="77777777" w:rsidR="00680577" w:rsidRPr="002F49D2" w:rsidRDefault="00777763" w:rsidP="00680577">
      <w:pPr>
        <w:pStyle w:val="EPBodyTA1"/>
      </w:pPr>
      <w:r w:rsidRPr="002F49D2">
        <w:t>VEDTAGNE TEKSTER</w:t>
      </w:r>
    </w:p>
    <w:p w14:paraId="56E53D4E" w14:textId="77777777" w:rsidR="00D058B8" w:rsidRPr="002F49D2" w:rsidRDefault="00D058B8" w:rsidP="00D058B8">
      <w:pPr>
        <w:pStyle w:val="LineBottom"/>
      </w:pPr>
    </w:p>
    <w:p w14:paraId="336DBC05" w14:textId="2D03216B" w:rsidR="00777763" w:rsidRPr="00935372" w:rsidRDefault="00777763" w:rsidP="00777763">
      <w:pPr>
        <w:pStyle w:val="ATHeading1"/>
      </w:pPr>
      <w:bookmarkStart w:id="0" w:name="TANumber"/>
      <w:r w:rsidRPr="00935372">
        <w:t>P10_</w:t>
      </w:r>
      <w:proofErr w:type="gramStart"/>
      <w:r w:rsidRPr="00935372">
        <w:t>TA(</w:t>
      </w:r>
      <w:proofErr w:type="gramEnd"/>
      <w:r w:rsidRPr="00935372">
        <w:t>2025)0</w:t>
      </w:r>
      <w:r w:rsidR="007073FC">
        <w:t>191</w:t>
      </w:r>
      <w:bookmarkEnd w:id="0"/>
    </w:p>
    <w:p w14:paraId="13D2C7C3" w14:textId="331A52D7" w:rsidR="00777763" w:rsidRPr="00935372" w:rsidRDefault="00777763" w:rsidP="00777763">
      <w:pPr>
        <w:pStyle w:val="ATHeading2"/>
      </w:pPr>
      <w:bookmarkStart w:id="1" w:name="title"/>
      <w:r w:rsidRPr="00935372">
        <w:t xml:space="preserve">Styrkelse af Moldovas </w:t>
      </w:r>
      <w:r w:rsidR="002F49D2" w:rsidRPr="00935372">
        <w:t>modstandskraft mod</w:t>
      </w:r>
      <w:r w:rsidRPr="00935372">
        <w:t xml:space="preserve"> Ruslands hybrid</w:t>
      </w:r>
      <w:r w:rsidR="002F49D2" w:rsidRPr="00935372">
        <w:t xml:space="preserve">e </w:t>
      </w:r>
      <w:r w:rsidRPr="00935372">
        <w:t>trusler og ondsindede indblanding</w:t>
      </w:r>
      <w:bookmarkEnd w:id="1"/>
    </w:p>
    <w:p w14:paraId="1846434F" w14:textId="2A8CEA76" w:rsidR="00777763" w:rsidRPr="002F49D2" w:rsidRDefault="00777763" w:rsidP="00777763">
      <w:pPr>
        <w:rPr>
          <w:i/>
          <w:vanish/>
        </w:rPr>
      </w:pPr>
      <w:r w:rsidRPr="002F49D2">
        <w:rPr>
          <w:i/>
        </w:rPr>
        <w:fldChar w:fldCharType="begin"/>
      </w:r>
      <w:r w:rsidRPr="002F49D2">
        <w:rPr>
          <w:i/>
        </w:rPr>
        <w:instrText xml:space="preserve"> TC"(</w:instrText>
      </w:r>
      <w:bookmarkStart w:id="2" w:name="DocNumber"/>
      <w:r w:rsidRPr="002F49D2">
        <w:rPr>
          <w:i/>
        </w:rPr>
        <w:instrText>B10-0355</w:instrText>
      </w:r>
      <w:r w:rsidR="002F49D2">
        <w:rPr>
          <w:i/>
        </w:rPr>
        <w:instrText>, 0357, 0356, 0359 og 0361</w:instrText>
      </w:r>
      <w:r w:rsidRPr="002F49D2">
        <w:rPr>
          <w:i/>
        </w:rPr>
        <w:instrText>/2025</w:instrText>
      </w:r>
      <w:bookmarkEnd w:id="2"/>
      <w:r w:rsidRPr="002F49D2">
        <w:rPr>
          <w:i/>
        </w:rPr>
        <w:instrText xml:space="preserve">)"\l3 \n&gt; \* MERGEFORMAT </w:instrText>
      </w:r>
      <w:r w:rsidRPr="002F49D2">
        <w:rPr>
          <w:i/>
        </w:rPr>
        <w:fldChar w:fldCharType="end"/>
      </w:r>
    </w:p>
    <w:p w14:paraId="5A90DB67" w14:textId="77777777" w:rsidR="00777763" w:rsidRPr="002F49D2" w:rsidRDefault="00777763" w:rsidP="00777763">
      <w:pPr>
        <w:rPr>
          <w:vanish/>
        </w:rPr>
      </w:pPr>
      <w:bookmarkStart w:id="3" w:name="PE"/>
      <w:r w:rsidRPr="002F49D2">
        <w:rPr>
          <w:vanish/>
        </w:rPr>
        <w:t>PE776.179</w:t>
      </w:r>
      <w:bookmarkEnd w:id="3"/>
    </w:p>
    <w:p w14:paraId="023DF6FB" w14:textId="70561728" w:rsidR="00777763" w:rsidRPr="00935372" w:rsidRDefault="00777763" w:rsidP="00777763">
      <w:pPr>
        <w:pStyle w:val="ATHeading3"/>
      </w:pPr>
      <w:bookmarkStart w:id="4" w:name="Sujet"/>
      <w:r w:rsidRPr="00935372">
        <w:t xml:space="preserve">Europa-Parlamentets beslutning af </w:t>
      </w:r>
      <w:r w:rsidR="004D50A5" w:rsidRPr="00935372">
        <w:t>10</w:t>
      </w:r>
      <w:r w:rsidRPr="00935372">
        <w:t>. september 2025 om styrkelse af Moldovas modstandsevne over for Ruslands hybridtrusler og ondsindede indblanding</w:t>
      </w:r>
      <w:bookmarkEnd w:id="4"/>
      <w:r w:rsidRPr="00935372">
        <w:t xml:space="preserve"> </w:t>
      </w:r>
      <w:bookmarkStart w:id="5" w:name="References"/>
      <w:r w:rsidRPr="00935372">
        <w:t>(2025/2811(RSP))</w:t>
      </w:r>
      <w:bookmarkEnd w:id="5"/>
    </w:p>
    <w:p w14:paraId="0C883413" w14:textId="77777777" w:rsidR="00D46F6F" w:rsidRPr="002F49D2" w:rsidRDefault="00D46F6F" w:rsidP="00D46F6F">
      <w:pPr>
        <w:pStyle w:val="EPComma"/>
      </w:pPr>
      <w:bookmarkStart w:id="6" w:name="TextBodyBegin"/>
      <w:bookmarkEnd w:id="6"/>
      <w:r w:rsidRPr="002F49D2">
        <w:rPr>
          <w:i/>
          <w:iCs/>
        </w:rPr>
        <w:t>Europa-Parlamentet,</w:t>
      </w:r>
    </w:p>
    <w:p w14:paraId="60426AD5" w14:textId="77777777" w:rsidR="00D46F6F" w:rsidRPr="002F49D2" w:rsidRDefault="00D46F6F" w:rsidP="00D46F6F">
      <w:pPr>
        <w:pStyle w:val="NormalHanging12a"/>
      </w:pPr>
      <w:r w:rsidRPr="002F49D2">
        <w:t>–</w:t>
      </w:r>
      <w:r w:rsidRPr="002F49D2">
        <w:tab/>
        <w:t>der henviser til sine tidligere beslutninger om Moldova, især sin beslutning af 18. juni 2025 om Kommissionens rapporter om Moldova for 2023 og 2024</w:t>
      </w:r>
      <w:r w:rsidRPr="002F49D2">
        <w:rPr>
          <w:vertAlign w:val="superscript"/>
        </w:rPr>
        <w:footnoteReference w:id="1"/>
      </w:r>
      <w:r w:rsidRPr="002F49D2">
        <w:t xml:space="preserve"> og sin beslutning af 9. oktober 2024 om styrkelse af Moldovas modstandskraft mod russisk indblanding forud for det snarlige præsidentvalg og en forfatningsmæssig folkeafstemning om EU-integration</w:t>
      </w:r>
      <w:r w:rsidRPr="002F49D2">
        <w:rPr>
          <w:vertAlign w:val="superscript"/>
        </w:rPr>
        <w:footnoteReference w:id="2"/>
      </w:r>
      <w:r w:rsidRPr="002F49D2">
        <w:t>,</w:t>
      </w:r>
    </w:p>
    <w:p w14:paraId="6F09547A" w14:textId="77777777" w:rsidR="00D46F6F" w:rsidRPr="002F49D2" w:rsidRDefault="00D46F6F" w:rsidP="00D46F6F">
      <w:pPr>
        <w:pStyle w:val="NormalHanging12a"/>
      </w:pPr>
      <w:r w:rsidRPr="002F49D2">
        <w:t>–</w:t>
      </w:r>
      <w:r w:rsidRPr="002F49D2">
        <w:tab/>
        <w:t>der henviser til associeringsaftalen mellem Den Europæiske Union og Det Europæiske Atomenergifællesskab og deres medlemsstater på den ene side og Republikken Moldova på den anden side</w:t>
      </w:r>
      <w:r w:rsidRPr="002F49D2">
        <w:rPr>
          <w:vertAlign w:val="superscript"/>
        </w:rPr>
        <w:footnoteReference w:id="3"/>
      </w:r>
      <w:r w:rsidRPr="002F49D2">
        <w:t>, som omfatter et vidtgående og bredt frihandelsområde,</w:t>
      </w:r>
    </w:p>
    <w:p w14:paraId="53FACA20" w14:textId="77777777" w:rsidR="00D46F6F" w:rsidRPr="002F49D2" w:rsidRDefault="00D46F6F" w:rsidP="00D46F6F">
      <w:pPr>
        <w:pStyle w:val="NormalHanging12a"/>
      </w:pPr>
      <w:r w:rsidRPr="002F49D2">
        <w:t>–</w:t>
      </w:r>
      <w:r w:rsidRPr="002F49D2">
        <w:tab/>
        <w:t>der henviser til Det Europæiske Råds konklusioner af 27. juni 2025 om Moldova,</w:t>
      </w:r>
    </w:p>
    <w:p w14:paraId="57290690" w14:textId="77777777" w:rsidR="00D46F6F" w:rsidRPr="002F49D2" w:rsidRDefault="00D46F6F" w:rsidP="00D46F6F">
      <w:pPr>
        <w:pStyle w:val="NormalHanging12a"/>
      </w:pPr>
      <w:r w:rsidRPr="002F49D2">
        <w:t>–</w:t>
      </w:r>
      <w:r w:rsidRPr="002F49D2">
        <w:tab/>
        <w:t>der henviser til besøget af tre EU-stats- og regeringschefer (fra Frankrig, Tyskland og Polen) i Moldova den 27. august 2025 og Rumæniens præsidents besøg i Moldova den 31. august 2025,</w:t>
      </w:r>
    </w:p>
    <w:p w14:paraId="5BEDB374" w14:textId="77777777" w:rsidR="00D46F6F" w:rsidRPr="002F49D2" w:rsidRDefault="00D46F6F" w:rsidP="00D46F6F">
      <w:pPr>
        <w:pStyle w:val="NormalHanging12a"/>
      </w:pPr>
      <w:r w:rsidRPr="002F49D2">
        <w:t>–</w:t>
      </w:r>
      <w:r w:rsidRPr="002F49D2">
        <w:tab/>
        <w:t>der henviser til Republikken Moldovas præsidents besøg i Parlamentet den 9. september 2025,</w:t>
      </w:r>
    </w:p>
    <w:p w14:paraId="490A4D9F" w14:textId="77777777" w:rsidR="00D46F6F" w:rsidRPr="002F49D2" w:rsidRDefault="00D46F6F" w:rsidP="00D46F6F">
      <w:pPr>
        <w:pStyle w:val="NormalHanging12a"/>
      </w:pPr>
      <w:r w:rsidRPr="002F49D2">
        <w:t>–</w:t>
      </w:r>
      <w:r w:rsidRPr="002F49D2">
        <w:tab/>
        <w:t>der henviser til den fælles erklæring efter det første topmøde mellem EU og Republikken Moldova den 4. juli 2025,</w:t>
      </w:r>
    </w:p>
    <w:p w14:paraId="2B50967E" w14:textId="77777777" w:rsidR="00D46F6F" w:rsidRPr="002F49D2" w:rsidRDefault="00D46F6F" w:rsidP="00D46F6F">
      <w:pPr>
        <w:pStyle w:val="NormalHanging12a"/>
      </w:pPr>
      <w:r w:rsidRPr="002F49D2">
        <w:t>–</w:t>
      </w:r>
      <w:r w:rsidRPr="002F49D2">
        <w:tab/>
        <w:t>der henviser til udvidelseskommissærens besøg i Moldova på Europadagen den 9. maj 2025,</w:t>
      </w:r>
    </w:p>
    <w:p w14:paraId="4DAA2F6C" w14:textId="77777777" w:rsidR="00D46F6F" w:rsidRPr="002F49D2" w:rsidRDefault="00D46F6F" w:rsidP="00D46F6F">
      <w:pPr>
        <w:pStyle w:val="NormalHanging12a"/>
      </w:pPr>
      <w:r w:rsidRPr="002F49D2">
        <w:lastRenderedPageBreak/>
        <w:t>–</w:t>
      </w:r>
      <w:r w:rsidRPr="002F49D2">
        <w:tab/>
        <w:t>der henviser til forretningsordenens artikel 136, stk. 2 og 4,</w:t>
      </w:r>
    </w:p>
    <w:p w14:paraId="14EA1F4C" w14:textId="77777777" w:rsidR="00D46F6F" w:rsidRPr="002F49D2" w:rsidRDefault="00D46F6F" w:rsidP="00D46F6F">
      <w:pPr>
        <w:pStyle w:val="NormalHanging12a"/>
      </w:pPr>
      <w:r w:rsidRPr="002F49D2">
        <w:t>A.</w:t>
      </w:r>
      <w:r w:rsidRPr="002F49D2">
        <w:tab/>
        <w:t>der henviser til, at Republikken Moldova den 28. september 2025 vil afholde parlamentsvalg, der vil være afgørende for landets fortsatte demokratiske konsolidering og yderligere fremskridt hen imod tiltrædelse af EU samt dets fremtid som et frit og suverænt demokrati i EU; der henviser til, at dette parlamentsvalg afholdes i en kontekst, der er hæmmet af fortsat russisk indblanding og fortsatte russiske bestræbelser på at destabilisere landets politiske landskab og demokratiske valgprocesser;</w:t>
      </w:r>
    </w:p>
    <w:p w14:paraId="74BF7103" w14:textId="77777777" w:rsidR="00D46F6F" w:rsidRPr="002F49D2" w:rsidRDefault="00D46F6F" w:rsidP="00D46F6F">
      <w:pPr>
        <w:pStyle w:val="NormalHanging12a"/>
      </w:pPr>
      <w:r w:rsidRPr="002F49D2">
        <w:t>B.</w:t>
      </w:r>
      <w:r w:rsidRPr="002F49D2">
        <w:tab/>
        <w:t xml:space="preserve">der henviser til, at Moldova den 20. oktober 2024 afholdt en folkeafstemning, hvorved vælgerne bekræftede ønsket om at indskrive målet om EU-medlemskab i landets forfatning – dette til trods for manipulerende indblanding i et hidtil uset omfang fra russisk side for at destabilisere landet, herunder ulovlig økonomisk støtte til politiske aktører, desinformationskampagner og </w:t>
      </w:r>
      <w:proofErr w:type="spellStart"/>
      <w:r w:rsidRPr="002F49D2">
        <w:t>cyberangreb</w:t>
      </w:r>
      <w:proofErr w:type="spellEnd"/>
      <w:r w:rsidRPr="002F49D2">
        <w:t>;</w:t>
      </w:r>
    </w:p>
    <w:p w14:paraId="6F5F6816" w14:textId="77777777" w:rsidR="00D46F6F" w:rsidRPr="002F49D2" w:rsidRDefault="00D46F6F" w:rsidP="00D46F6F">
      <w:pPr>
        <w:pStyle w:val="NormalHanging12a"/>
        <w:rPr>
          <w:i/>
          <w:iCs/>
        </w:rPr>
      </w:pPr>
      <w:r w:rsidRPr="002F49D2">
        <w:t>C.</w:t>
      </w:r>
      <w:r w:rsidRPr="002F49D2">
        <w:tab/>
        <w:t>der henviser til, at der er talrige rapporter om fornyede og intensiverede forsøg på desinformation, destabilisering og indblanding fra Ruslands og russiske stedfortræderes side med det formål at afspore Moldovas demokratiske reformproces og europæiske integration, bekræfte den politiske kontrol over den og yderligere finjustere hybride taktikker mod Moldova, Ukraine og andre europæiske lande, såsom for nylig i Rumænien;</w:t>
      </w:r>
    </w:p>
    <w:p w14:paraId="3A2918B1" w14:textId="77777777" w:rsidR="00D46F6F" w:rsidRPr="002F49D2" w:rsidRDefault="00D46F6F" w:rsidP="00D46F6F">
      <w:pPr>
        <w:pStyle w:val="NormalHanging12a"/>
      </w:pPr>
      <w:r w:rsidRPr="002F49D2">
        <w:t>D.</w:t>
      </w:r>
      <w:r w:rsidRPr="002F49D2">
        <w:tab/>
        <w:t xml:space="preserve">der henviser til, at præsident Maia </w:t>
      </w:r>
      <w:proofErr w:type="spellStart"/>
      <w:r w:rsidRPr="002F49D2">
        <w:t>Sandu</w:t>
      </w:r>
      <w:proofErr w:type="spellEnd"/>
      <w:r w:rsidRPr="002F49D2">
        <w:t xml:space="preserve"> efter mødet i det øverste sikkerhedsråd den 30. juli 2025 fremlagde konklusioner fra Moldovas specialiserede institutioner om metoder til hybrid krigsførelse og udpegede de 10 vigtigste instrumenter for udenlandsk indblanding i Moldovas politiske processer og valgprocesser;</w:t>
      </w:r>
    </w:p>
    <w:p w14:paraId="55A50C26" w14:textId="77777777" w:rsidR="00D46F6F" w:rsidRPr="002F49D2" w:rsidRDefault="00D46F6F" w:rsidP="00D46F6F">
      <w:pPr>
        <w:pStyle w:val="NormalHanging12a"/>
      </w:pPr>
      <w:r w:rsidRPr="002F49D2">
        <w:t>E.</w:t>
      </w:r>
      <w:r w:rsidRPr="002F49D2">
        <w:tab/>
        <w:t xml:space="preserve">der henviser til, at EU den 15. juli 2025 indførte sanktioner over for </w:t>
      </w:r>
      <w:r w:rsidRPr="00935372">
        <w:rPr>
          <w:rStyle w:val="Strong"/>
          <w:b w:val="0"/>
          <w:bCs w:val="0"/>
          <w:color w:val="000000"/>
        </w:rPr>
        <w:t>syv personer</w:t>
      </w:r>
      <w:r w:rsidRPr="002F49D2">
        <w:t xml:space="preserve"> og </w:t>
      </w:r>
      <w:r w:rsidRPr="00935372">
        <w:rPr>
          <w:rStyle w:val="Strong"/>
          <w:b w:val="0"/>
          <w:bCs w:val="0"/>
          <w:color w:val="000000"/>
        </w:rPr>
        <w:t>tre enheder</w:t>
      </w:r>
      <w:r w:rsidRPr="002F49D2">
        <w:t xml:space="preserve">, som står bag handlinger, der havde til formål at destabilisere, underminere eller true Moldovas suverænitet, uafhængighed, demokrati, retsstatsmekanismer og stabilitet; der henviser til, at disse sanktioner er rettet mod personer med tætte forbindelser til Ilan </w:t>
      </w:r>
      <w:proofErr w:type="spellStart"/>
      <w:r w:rsidRPr="002F49D2">
        <w:t>Șor</w:t>
      </w:r>
      <w:proofErr w:type="spellEnd"/>
      <w:r w:rsidRPr="002F49D2">
        <w:t xml:space="preserve"> og det forbudte parti ȘOR, og som aktivt har deltaget i stemmeopkøb og bestikkelse af korrupte politikere;</w:t>
      </w:r>
    </w:p>
    <w:p w14:paraId="37D00371" w14:textId="77777777" w:rsidR="00D46F6F" w:rsidRDefault="00D46F6F" w:rsidP="00D46F6F">
      <w:pPr>
        <w:pStyle w:val="NormalHanging12a"/>
      </w:pPr>
      <w:r w:rsidRPr="002F49D2">
        <w:t>F.</w:t>
      </w:r>
      <w:r w:rsidRPr="002F49D2">
        <w:tab/>
        <w:t>der henviser til, at Moldovas civilsamfund og uafhængige medier spiller en afgørende rolle med hensyn til at afsløre desinformation, styrke modstandsdygtigheden og forsvare de demokratiske værdier; der henviser til, at Republikken Moldova har formået at konsolidere sit demokrati betydeligt, fortsætte sin reformkurs og udvikle sine forbindelser med EU; der henviser til, at forbedringerne i landets demokratiske system er blevet afspejlet i dets fremskridt i forskellige internationale indekser: der henviser til, at Moldova har gjort bemærkelsesværdige fremskridt med hensyn til at gennemføre reformer af retsvæsenet, bl.a. grundige undersøgelser og omstrukturering af retsvæsenet, styrkelse af dets uafhængighed og forbedring af lovgivningen om bekæmpelse af korruption; der henviser til, at offentlighedens tillid til de demokratiske institutioner er afgørende for Moldovas stabilitet og modstandsdygtighed over for ondsindet indblanding;</w:t>
      </w:r>
    </w:p>
    <w:p w14:paraId="56D7AD02" w14:textId="1355A195" w:rsidR="00F71008" w:rsidRPr="002F49D2" w:rsidRDefault="00F71008" w:rsidP="00D46F6F">
      <w:pPr>
        <w:pStyle w:val="NormalHanging12a"/>
      </w:pPr>
      <w:r>
        <w:t>G</w:t>
      </w:r>
      <w:r w:rsidRPr="00F71008">
        <w:t xml:space="preserve">. </w:t>
      </w:r>
      <w:r w:rsidRPr="00F71008">
        <w:tab/>
        <w:t xml:space="preserve">der henviser til, at en nylig journalistisk undersøgelse, baseret på en undercover-reporters infiltration af ȘOR-partinetværket fra og med 2024, afslørede, at hundredvis af falske konti, der blev </w:t>
      </w:r>
      <w:r w:rsidR="001E6AA3">
        <w:t>styret</w:t>
      </w:r>
      <w:r w:rsidRPr="00F71008">
        <w:t xml:space="preserve"> af aktivister fra den politiske blok "Victorie" under kontrol af Ilan </w:t>
      </w:r>
      <w:proofErr w:type="spellStart"/>
      <w:r w:rsidRPr="00F71008">
        <w:t>Șor</w:t>
      </w:r>
      <w:proofErr w:type="spellEnd"/>
      <w:r w:rsidRPr="00F71008">
        <w:t xml:space="preserve"> fra Moskva, var blevet oprettet for at udbrede russisk propaganda på </w:t>
      </w:r>
      <w:proofErr w:type="spellStart"/>
      <w:r w:rsidRPr="00F71008">
        <w:t>TikTok</w:t>
      </w:r>
      <w:proofErr w:type="spellEnd"/>
      <w:r w:rsidRPr="00F71008">
        <w:t xml:space="preserve"> og Facebook; der henviser til, at dette </w:t>
      </w:r>
      <w:proofErr w:type="spellStart"/>
      <w:r w:rsidRPr="00F71008">
        <w:t>antieuropæiske</w:t>
      </w:r>
      <w:proofErr w:type="spellEnd"/>
      <w:r w:rsidRPr="00F71008">
        <w:t xml:space="preserve"> indhold, der er i fuld overensstemmelse med Kremls narrativer, systematisk blev overvåget og koordineret gennem hemmelige Telegram-grupper og kanaler</w:t>
      </w:r>
      <w:r>
        <w:rPr>
          <w:rStyle w:val="FootnoteReference"/>
        </w:rPr>
        <w:footnoteReference w:id="4"/>
      </w:r>
      <w:r w:rsidRPr="00F71008">
        <w:t>;</w:t>
      </w:r>
    </w:p>
    <w:p w14:paraId="4220E6A2" w14:textId="281B26E0" w:rsidR="00D46F6F" w:rsidRPr="002F49D2" w:rsidRDefault="00E973A9" w:rsidP="00D46F6F">
      <w:pPr>
        <w:pStyle w:val="NormalHanging12a"/>
      </w:pPr>
      <w:r>
        <w:t>H</w:t>
      </w:r>
      <w:r w:rsidR="00D46F6F" w:rsidRPr="002F49D2">
        <w:t>.</w:t>
      </w:r>
      <w:r w:rsidR="00D46F6F" w:rsidRPr="002F49D2">
        <w:tab/>
        <w:t>der henviser til, at det er vigtigt offentligt at udvise stålfast solidaritet med det moldoviske folk, som er ekstremt påvirket af Ruslands angrebskrig mod Ukraine samt af fortsatte, målrettede russiske hybridtrusler, der har til formål at destabilisere landet politisk, udhule den økonomiske velstand og svække den sociale samhørighed;</w:t>
      </w:r>
    </w:p>
    <w:p w14:paraId="033CB3DD" w14:textId="34AF3518" w:rsidR="00D46F6F" w:rsidRPr="002F49D2" w:rsidRDefault="00E973A9" w:rsidP="00D46F6F">
      <w:pPr>
        <w:pStyle w:val="NormalHanging12a"/>
      </w:pPr>
      <w:r>
        <w:t>I</w:t>
      </w:r>
      <w:r w:rsidR="00D46F6F" w:rsidRPr="002F49D2">
        <w:t>.</w:t>
      </w:r>
      <w:r w:rsidR="00D46F6F" w:rsidRPr="002F49D2">
        <w:tab/>
        <w:t>der henviser til, at Rusland ifølge Moldovas skøn allerede har investeret over 200 mio. EUR, svarende til mere end 1 % af Moldovas BNP, i propaganda- og informationsoperationer i Republikken Moldova;</w:t>
      </w:r>
    </w:p>
    <w:p w14:paraId="4ACCE50C" w14:textId="4094ABC4" w:rsidR="00D46F6F" w:rsidRPr="002F49D2" w:rsidRDefault="00E973A9" w:rsidP="00D46F6F">
      <w:pPr>
        <w:pStyle w:val="NormalHanging12a"/>
      </w:pPr>
      <w:r>
        <w:t>J</w:t>
      </w:r>
      <w:r w:rsidR="00D46F6F" w:rsidRPr="002F49D2">
        <w:t>.</w:t>
      </w:r>
      <w:r w:rsidR="00D46F6F" w:rsidRPr="002F49D2">
        <w:tab/>
        <w:t>der henviser til, at Europa-Parlamentets delegations deltagelse i den internationale valgobservationsmission fra Kontoret for Demokratiske Institutioner og Menneskerettigheder (ODIHR) under Organisationen for Sikkerhed og Samarbejde i Europa (OSCE) i forbindelse med det moldoviske parlamentsvalg den 28. september 2025 viser Parlamentets engagement i at støtte valgprocessernes integritet og styrke de demokratiske institutioner i Moldova;</w:t>
      </w:r>
    </w:p>
    <w:p w14:paraId="317BED4E" w14:textId="228E5413" w:rsidR="00D46F6F" w:rsidRPr="002F49D2" w:rsidRDefault="00E973A9" w:rsidP="00D46F6F">
      <w:pPr>
        <w:pStyle w:val="NormalHanging12a"/>
      </w:pPr>
      <w:r>
        <w:t>K</w:t>
      </w:r>
      <w:r w:rsidR="00D46F6F" w:rsidRPr="002F49D2">
        <w:t>.</w:t>
      </w:r>
      <w:r w:rsidR="00D46F6F" w:rsidRPr="002F49D2">
        <w:tab/>
        <w:t xml:space="preserve">der henviser til, at Det Europæiske Råd i sine konklusioner fra juni 2025 på ny bekræftede sin fulde opbakning til Moldovas vej mod EU og anmodede Rådet om at tage de næste skridt i tiltrædelsesprocessen; der henviser til, at EU-udvidelse er baseret på strenge </w:t>
      </w:r>
      <w:proofErr w:type="spellStart"/>
      <w:r w:rsidR="00D46F6F" w:rsidRPr="002F49D2">
        <w:t>konditionaliteter</w:t>
      </w:r>
      <w:proofErr w:type="spellEnd"/>
      <w:r w:rsidR="00D46F6F" w:rsidRPr="002F49D2">
        <w:t xml:space="preserve"> og princippet om, at hvert kandidatland vurderes på grundlag af sine egne resultater og reformfremskridt;</w:t>
      </w:r>
    </w:p>
    <w:p w14:paraId="7A4BA20C" w14:textId="77777777" w:rsidR="00D46F6F" w:rsidRPr="002F49D2" w:rsidRDefault="00D46F6F" w:rsidP="00D46F6F">
      <w:pPr>
        <w:pStyle w:val="NormalHanging12a"/>
      </w:pPr>
      <w:r w:rsidRPr="002F49D2">
        <w:t>1.</w:t>
      </w:r>
      <w:r w:rsidRPr="002F49D2">
        <w:tab/>
        <w:t>er solidarisk med Republikken Moldovas befolkning og gentager sin fulde støtte til landets uafhængighed, suverænitet og territoriale integritet og til landets bestræbelser på at værne om integriteten i den demokratiske proces, suveræniteten i dets udenrigspolitiske beslutninger samt befolkningens socioøkonomiske fremtidsudsigter; opfordrer derfor Rusland til at respektere Moldovas uafhængighed, suverænitet og territoriale integritet og indstille sine forsøg på at undergrave Moldovas forfatningsmæssige orden og demokratiske institutioner;</w:t>
      </w:r>
    </w:p>
    <w:p w14:paraId="4294A8F6" w14:textId="77777777" w:rsidR="00D46F6F" w:rsidRPr="002F49D2" w:rsidRDefault="00D46F6F" w:rsidP="00D46F6F">
      <w:pPr>
        <w:pStyle w:val="NormalHanging12a"/>
        <w:rPr>
          <w:szCs w:val="24"/>
        </w:rPr>
      </w:pPr>
      <w:r w:rsidRPr="002F49D2">
        <w:t>2.</w:t>
      </w:r>
      <w:r w:rsidRPr="002F49D2">
        <w:tab/>
        <w:t xml:space="preserve">fordømmer de gentagne forsøg fra Den Russiske Føderation, </w:t>
      </w:r>
      <w:proofErr w:type="spellStart"/>
      <w:r w:rsidRPr="002F49D2">
        <w:t>prorussiske</w:t>
      </w:r>
      <w:proofErr w:type="spellEnd"/>
      <w:r w:rsidRPr="002F49D2">
        <w:t xml:space="preserve"> oligarker og russiskstøttede lokale stedfortrædere på at destabilisere Moldova, så splid i det moldoviske samfund og afspore landets demokrati og kurs hen imod EU-medlemskab gennem hybridangreb, manipulering med energiforsyningen for at fremtvinge bestemte politiske resultater, ulovlig finansiering af politiske aktører samt desinformations-, manipulations- og intimideringskampagner rettet mod civilsamfundsorganisationer og uafhængige medier;</w:t>
      </w:r>
    </w:p>
    <w:p w14:paraId="5C22AFEB" w14:textId="77777777" w:rsidR="00D46F6F" w:rsidRPr="002F49D2" w:rsidRDefault="00D46F6F" w:rsidP="00D46F6F">
      <w:pPr>
        <w:pStyle w:val="NormalHanging12a"/>
        <w:rPr>
          <w:szCs w:val="24"/>
        </w:rPr>
      </w:pPr>
      <w:r w:rsidRPr="002F49D2">
        <w:t>3.</w:t>
      </w:r>
      <w:r w:rsidRPr="002F49D2">
        <w:tab/>
        <w:t>fordømmer de intensiverede russiske hybride operationer og forsøg på indblanding forud for parlamentsvalget den 28. september 2025, der klart har til formål at destabilisere landet og vende dets demokratiske kurs og suveræne beslutninger, navnlig med hensyn til et eventuelt fremtidigt EU-medlemskab;</w:t>
      </w:r>
    </w:p>
    <w:p w14:paraId="39C3C04F" w14:textId="77777777" w:rsidR="00D46F6F" w:rsidRPr="002F49D2" w:rsidRDefault="00D46F6F" w:rsidP="00D46F6F">
      <w:pPr>
        <w:pStyle w:val="NormalHanging12a"/>
        <w:rPr>
          <w:szCs w:val="24"/>
          <w:shd w:val="clear" w:color="auto" w:fill="FFFFFF"/>
        </w:rPr>
      </w:pPr>
      <w:r w:rsidRPr="002F49D2">
        <w:t>4.</w:t>
      </w:r>
      <w:r w:rsidRPr="002F49D2">
        <w:tab/>
      </w:r>
      <w:r w:rsidRPr="002F49D2">
        <w:rPr>
          <w:shd w:val="clear" w:color="auto" w:fill="FFFFFF"/>
        </w:rPr>
        <w:t>roser Moldovas eksemplariske engagement og stabile fremskridt med hensyn til reformer relateret til EU-tiltrædelsen på trods af alvorlige udfordringer både internt og udefra – bl.a. Ruslands uindskrænkede angrebskrig mod Ukraine og målrettede russiske hybridtrusler rettet mod Moldova – som har gjort det muligt at indlede tiltrædelsesforhandlinger i juni 2024</w:t>
      </w:r>
      <w:r w:rsidRPr="002F49D2">
        <w:rPr>
          <w:rStyle w:val="highlight-diff"/>
          <w:color w:val="000000"/>
          <w:shd w:val="clear" w:color="auto" w:fill="FFFFFF"/>
        </w:rPr>
        <w:t>, kun seks måneder efter Det Europæiske Råds afgørelse desangående af 14. december 2023 og mindre end to år efter at Moldova ansøgte om EU-medlemskab den 3. marts 2022</w:t>
      </w:r>
      <w:r w:rsidRPr="002F49D2">
        <w:rPr>
          <w:shd w:val="clear" w:color="auto" w:fill="FFFFFF"/>
        </w:rPr>
        <w:t xml:space="preserve">; </w:t>
      </w:r>
      <w:r w:rsidRPr="002F49D2">
        <w:rPr>
          <w:rStyle w:val="highlight-diff"/>
          <w:color w:val="000000"/>
          <w:shd w:val="clear" w:color="auto" w:fill="FFFFFF"/>
        </w:rPr>
        <w:t>opfordrer Rådet og Kommissionen til at fastholde det meritbaserede princip ved at vurdere hvert enkelt kandidatland individuelt og sikre, at fremskridt med tiltrædelsesprocessens faser, herunder åbning af forhandlingskapitler, afgøres på grundlag af dets egne resultater og omstændigheder;</w:t>
      </w:r>
      <w:r w:rsidRPr="002F49D2">
        <w:t xml:space="preserve"> </w:t>
      </w:r>
      <w:r w:rsidRPr="002F49D2">
        <w:rPr>
          <w:shd w:val="clear" w:color="auto" w:fill="FFFFFF"/>
        </w:rPr>
        <w:t>bekræfter på ny sin urokkelige støtte til Moldovas udsigter til EU-medlemskab; opfordrer endvidere indtrængende Rådet til hurtigt at indlede tiltrædelsesforhandlinger om klynge 1 (grundprincipper) i anerkendelse af Moldovas betydelige fremskridt med hensyn til at fremme afgørende reformer;</w:t>
      </w:r>
    </w:p>
    <w:p w14:paraId="25B56CCB" w14:textId="77777777" w:rsidR="00D46F6F" w:rsidRPr="002F49D2" w:rsidRDefault="00D46F6F" w:rsidP="00D46F6F">
      <w:pPr>
        <w:pStyle w:val="NormalHanging12a"/>
        <w:rPr>
          <w:szCs w:val="24"/>
        </w:rPr>
      </w:pPr>
      <w:r w:rsidRPr="002F49D2">
        <w:rPr>
          <w:shd w:val="clear" w:color="auto" w:fill="FFFFFF"/>
        </w:rPr>
        <w:t>5.</w:t>
      </w:r>
      <w:r w:rsidRPr="002F49D2">
        <w:rPr>
          <w:shd w:val="clear" w:color="auto" w:fill="FFFFFF"/>
        </w:rPr>
        <w:tab/>
        <w:t xml:space="preserve">opfordrer EU til fortsat at støtte Republikken Moldova i at sikre afholdelsen af frie, retfærdige og gennemsigtige valg; fremhæver den nøglerolle, som internationale observatører spiller ikke blot med hensyn til at overvåge valgprocessen, men også med hensyn til at overvåge og dokumentere ondsindet udenlandsk indblanding, herunder desinformation, ulovlig finansiering og koordinerede </w:t>
      </w:r>
      <w:proofErr w:type="spellStart"/>
      <w:r w:rsidRPr="002F49D2">
        <w:rPr>
          <w:shd w:val="clear" w:color="auto" w:fill="FFFFFF"/>
        </w:rPr>
        <w:t>cyber</w:t>
      </w:r>
      <w:proofErr w:type="spellEnd"/>
      <w:r w:rsidRPr="002F49D2">
        <w:rPr>
          <w:shd w:val="clear" w:color="auto" w:fill="FFFFFF"/>
        </w:rPr>
        <w:t>- eller påvirkningsoperationer;</w:t>
      </w:r>
    </w:p>
    <w:p w14:paraId="3C1B7646" w14:textId="77777777" w:rsidR="00D46F6F" w:rsidRPr="002F49D2" w:rsidRDefault="00D46F6F" w:rsidP="00D46F6F">
      <w:pPr>
        <w:pStyle w:val="NormalHanging12a"/>
      </w:pPr>
      <w:r w:rsidRPr="002F49D2">
        <w:t>6.</w:t>
      </w:r>
      <w:r w:rsidRPr="002F49D2">
        <w:tab/>
        <w:t>er af den faste overbevisning, at Moldovas evne til at konsolidere sine hidtil opnåede fremskridt med hensyn til reformer relateret til EU-tiltrædelsen og til at fastholde sit ambitiøse tempo hen imod et EU-medlemskab vil kræve solid og reel opbakning fra dets parlament;</w:t>
      </w:r>
    </w:p>
    <w:p w14:paraId="04951CB2" w14:textId="77777777" w:rsidR="00D46F6F" w:rsidRPr="002F49D2" w:rsidRDefault="00D46F6F" w:rsidP="00D46F6F">
      <w:pPr>
        <w:pStyle w:val="NormalHanging12a"/>
      </w:pPr>
      <w:r w:rsidRPr="002F49D2">
        <w:t>7.</w:t>
      </w:r>
      <w:r w:rsidRPr="002F49D2">
        <w:tab/>
        <w:t xml:space="preserve">noterer sig med tilfredshed EU's bestræbelser på at yde politisk støtte til Moldova på højeste niveau, navnlig det første topmøde nogensinde mellem EU og Moldova i </w:t>
      </w:r>
      <w:proofErr w:type="spellStart"/>
      <w:r w:rsidRPr="002F49D2">
        <w:t>Chișinău</w:t>
      </w:r>
      <w:proofErr w:type="spellEnd"/>
      <w:r w:rsidRPr="002F49D2">
        <w:t xml:space="preserve"> den 4. juli 2025, EU's stats- og regeringschefers (Frankrigs, Tysklands og Polens) besøg i Moldova den 27. august 2025 og Rumæniens præsidents besøg i Moldova den 31. august 2025, som alle på ny understregede Moldovas klare udsigt til at blive medlem af EU baseret på merit og respekt for de demokratiske principper;</w:t>
      </w:r>
    </w:p>
    <w:p w14:paraId="677A9428" w14:textId="77777777" w:rsidR="00D46F6F" w:rsidRPr="002F49D2" w:rsidRDefault="00D46F6F" w:rsidP="00D46F6F">
      <w:pPr>
        <w:pStyle w:val="NormalHanging12a"/>
        <w:rPr>
          <w:rStyle w:val="NormalHanging12aChar"/>
          <w:color w:val="000000"/>
          <w:szCs w:val="24"/>
        </w:rPr>
      </w:pPr>
      <w:r w:rsidRPr="002F49D2">
        <w:t>8.</w:t>
      </w:r>
      <w:r w:rsidRPr="002F49D2">
        <w:tab/>
      </w:r>
      <w:r w:rsidRPr="002F49D2">
        <w:rPr>
          <w:rStyle w:val="NormalHanging12aChar"/>
          <w:color w:val="000000"/>
        </w:rPr>
        <w:t xml:space="preserve">opfordrer endnu en gang EU til også fremover at kombinere sin politiske støtte med øget finansiel og teknisk bistand til den moldoviske regerings bestræbelser på at bekæmpe udenlandsk indblanding i landets demokratiske proces, bl.a. ved at opføre yderligere personer og enheder på sanktionslisterne, sådan som det skete den 15. juli 2025, at tildele yderligere støtte til EU's partnerskabsmission (EUPM) i Moldova, at udveksle oplysninger om mistænkelige finansielle strømme, herunder </w:t>
      </w:r>
      <w:proofErr w:type="spellStart"/>
      <w:r w:rsidRPr="002F49D2">
        <w:rPr>
          <w:rStyle w:val="NormalHanging12aChar"/>
          <w:color w:val="000000"/>
        </w:rPr>
        <w:t>kryptovalutaer</w:t>
      </w:r>
      <w:proofErr w:type="spellEnd"/>
      <w:r w:rsidRPr="002F49D2">
        <w:rPr>
          <w:rStyle w:val="NormalHanging12aChar"/>
          <w:color w:val="000000"/>
        </w:rPr>
        <w:t>, og om uigennemsigtige eller ulovlige finansieringsnetværk, og at udveksle ekspertise inden for udenlandsk informationsmanipulation og indblanding for at bekæmpe hybridtrusler og styrke landets</w:t>
      </w:r>
      <w:r w:rsidRPr="002F49D2">
        <w:t xml:space="preserve"> </w:t>
      </w:r>
      <w:bookmarkStart w:id="7" w:name="_Hlk194942091"/>
      <w:r w:rsidRPr="002F49D2">
        <w:rPr>
          <w:rStyle w:val="NormalHanging12aChar"/>
          <w:color w:val="000000"/>
        </w:rPr>
        <w:t>modstandskraft</w:t>
      </w:r>
      <w:r w:rsidRPr="002F49D2">
        <w:t>;</w:t>
      </w:r>
      <w:r w:rsidRPr="002F49D2">
        <w:rPr>
          <w:rStyle w:val="NormalHanging12aChar"/>
          <w:color w:val="000000"/>
        </w:rPr>
        <w:t xml:space="preserve"> gentager sin opfordring til de moldoviske myndigheder og EU om at øge deres støtte til uafhængige medier og til det prodemokratiske civilsamfund, at gøre det muligt for journalister på nationalt og regionalt plan at modarbejde udenlandsk informationsmanipulation og indblanding samt at styrke de digitale færdigheder;</w:t>
      </w:r>
      <w:bookmarkEnd w:id="7"/>
      <w:r w:rsidRPr="002F49D2">
        <w:rPr>
          <w:rStyle w:val="NormalHanging12aChar"/>
          <w:color w:val="000000"/>
        </w:rPr>
        <w:t xml:space="preserve"> glæder sig over Kommissionens meddelelse om et nyt regionalt knudepunkt for Det Europæiske Observationscenter for Digitale Medier (EDMO) for at støtte Moldova og Ukraine i bekæmpelsen af desinformation; opfordrer indtrængende alle større onlineplatforme, navnlig Meta, Google, Telegram, </w:t>
      </w:r>
      <w:proofErr w:type="spellStart"/>
      <w:r w:rsidRPr="002F49D2">
        <w:rPr>
          <w:rStyle w:val="NormalHanging12aChar"/>
          <w:color w:val="000000"/>
        </w:rPr>
        <w:t>TikTok</w:t>
      </w:r>
      <w:proofErr w:type="spellEnd"/>
      <w:r w:rsidRPr="002F49D2">
        <w:rPr>
          <w:rStyle w:val="NormalHanging12aChar"/>
          <w:color w:val="000000"/>
        </w:rPr>
        <w:t xml:space="preserve">, Microsoft og </w:t>
      </w:r>
      <w:proofErr w:type="spellStart"/>
      <w:r w:rsidRPr="002F49D2">
        <w:rPr>
          <w:rStyle w:val="NormalHanging12aChar"/>
          <w:color w:val="000000"/>
        </w:rPr>
        <w:t>Rakuten</w:t>
      </w:r>
      <w:proofErr w:type="spellEnd"/>
      <w:r w:rsidRPr="002F49D2">
        <w:rPr>
          <w:rStyle w:val="NormalHanging12aChar"/>
          <w:color w:val="000000"/>
        </w:rPr>
        <w:t>, til at arbejde tæt sammen med de moldoviske myndigheder, civilsamfundet og det nye EDMO-knudepunkt; opfordrer Moldova til hurtigst muligt at tilpasse sin lovgivning til EU's forordning om digitale markeder</w:t>
      </w:r>
      <w:r w:rsidRPr="002F49D2">
        <w:rPr>
          <w:rStyle w:val="FootnoteReference"/>
          <w:color w:val="000000"/>
        </w:rPr>
        <w:footnoteReference w:id="5"/>
      </w:r>
      <w:r w:rsidRPr="002F49D2">
        <w:rPr>
          <w:rStyle w:val="NormalHanging12aChar"/>
          <w:color w:val="000000"/>
        </w:rPr>
        <w:t xml:space="preserve"> og forordningen om digitale tjenester</w:t>
      </w:r>
      <w:r w:rsidRPr="002F49D2">
        <w:rPr>
          <w:rStyle w:val="FootnoteReference"/>
          <w:color w:val="000000"/>
        </w:rPr>
        <w:footnoteReference w:id="6"/>
      </w:r>
      <w:r w:rsidRPr="002F49D2">
        <w:rPr>
          <w:rStyle w:val="NormalHanging12aChar"/>
          <w:color w:val="000000"/>
        </w:rPr>
        <w:t>; opfordrer Kommissionen til at yde Moldova målrettet støtte i denne henseende;</w:t>
      </w:r>
    </w:p>
    <w:p w14:paraId="6492A4E9" w14:textId="77777777" w:rsidR="00D46F6F" w:rsidRPr="002F49D2" w:rsidRDefault="00D46F6F" w:rsidP="00D46F6F">
      <w:pPr>
        <w:pStyle w:val="NormalHanging12a"/>
        <w:rPr>
          <w:szCs w:val="24"/>
        </w:rPr>
      </w:pPr>
      <w:r w:rsidRPr="002F49D2">
        <w:t>9.</w:t>
      </w:r>
      <w:r w:rsidRPr="002F49D2">
        <w:tab/>
        <w:t xml:space="preserve">opfordrer de moldoviske myndigheder til at gøre fuld brug af </w:t>
      </w:r>
      <w:proofErr w:type="spellStart"/>
      <w:r w:rsidRPr="002F49D2">
        <w:t>EUPM's</w:t>
      </w:r>
      <w:proofErr w:type="spellEnd"/>
      <w:r w:rsidRPr="002F49D2">
        <w:t xml:space="preserve"> ekspertise til at imødegå enhver gentagen indblanding op til parlamentsvalget den 28. september 2025; opfordrer Tjenesten for EU's Optræden Udadtil og Kommissionen til at tage alle tilgængelige EU-instrumenter i brug for at støtte Moldova i kampen mod hybridtrusler, bl.a. ved at indsætte hybridberedskabsholdet, </w:t>
      </w:r>
      <w:proofErr w:type="spellStart"/>
      <w:r w:rsidRPr="002F49D2">
        <w:t>cyberberedskabsholdet</w:t>
      </w:r>
      <w:proofErr w:type="spellEnd"/>
      <w:r w:rsidRPr="002F49D2">
        <w:t xml:space="preserve"> og </w:t>
      </w:r>
      <w:proofErr w:type="spellStart"/>
      <w:r w:rsidRPr="002F49D2">
        <w:t>cybersikkerhedsreserven</w:t>
      </w:r>
      <w:proofErr w:type="spellEnd"/>
      <w:r w:rsidRPr="002F49D2">
        <w:t xml:space="preserve">; bifalder det arbejde, som Moldovas Center for Strategisk Kommunikation og Bekæmpelse af Desinformation har gjort med hensyn til at koordinere bekæmpelsen af udenlandsk indblanding mellem de forskellige moldoviske institutioner, og det arbejde, som det nationale agentur for </w:t>
      </w:r>
      <w:proofErr w:type="spellStart"/>
      <w:r w:rsidRPr="002F49D2">
        <w:t>cybersikkerhed</w:t>
      </w:r>
      <w:proofErr w:type="spellEnd"/>
      <w:r w:rsidRPr="002F49D2">
        <w:t xml:space="preserve"> og det nationale institut for </w:t>
      </w:r>
      <w:proofErr w:type="spellStart"/>
      <w:r w:rsidRPr="002F49D2">
        <w:t>cybersikkerhedsinnovationer</w:t>
      </w:r>
      <w:proofErr w:type="spellEnd"/>
      <w:r w:rsidRPr="002F49D2">
        <w:t xml:space="preserve"> har gjort, og opfordrer EU til at øge sin støtte hertil; gentager, hvor vigtigt det er at forbedre informationsudvekslingen og efterretningssamarbejdet vedrørende sikkerhedstrusler mellem Moldova, EU og medlemsstaterne; opfordrer EU til at tage ved lære af erfaringerne fra Moldova, som kan anvendes til at beskytte EU's egne valgprocesser og demokratiske institutioner;</w:t>
      </w:r>
    </w:p>
    <w:p w14:paraId="68CD6B70" w14:textId="77777777" w:rsidR="00D46F6F" w:rsidRPr="002F49D2" w:rsidRDefault="00D46F6F" w:rsidP="00D46F6F">
      <w:pPr>
        <w:pStyle w:val="NormalHanging12a"/>
        <w:rPr>
          <w:szCs w:val="24"/>
        </w:rPr>
      </w:pPr>
      <w:r w:rsidRPr="002F49D2">
        <w:t>10.</w:t>
      </w:r>
      <w:r w:rsidRPr="002F49D2">
        <w:tab/>
        <w:t>noterer sig Moldovas konsekvente tilpasning til EU's fælles udenrigs- og sikkerhedspolitiske holdninger og gennemførelsen af dets sikkerheds- og forsvarspartnerskab med EU siden 2024 og dets nye nationale forsvarsstrategi for 2024-2034; opfordrer derfor medlemsstaterne til at øge finansieringen til Moldova gennem den europæiske fredsfacilitet, også i lyset af russiske droners og missilers gentagne krænkelser af Moldovas luftrum, og til at inddrage Moldova i fælles indkøb af forsvarsmateriel under programmet for den europæiske forsvarsindustri; understreger Moldovas rolle for sikkerheden og stabiliteten ved EU's østlige grænse og Sortehavsregionen i en tid præget af den humanitære og energimæssige krise, der er forårsaget af Ruslands angrebskrig mod Ukraine;</w:t>
      </w:r>
    </w:p>
    <w:p w14:paraId="2B9F9E00" w14:textId="77777777" w:rsidR="00D46F6F" w:rsidRPr="002F49D2" w:rsidRDefault="00D46F6F" w:rsidP="00D46F6F">
      <w:pPr>
        <w:pStyle w:val="NormalHanging12a"/>
      </w:pPr>
      <w:r w:rsidRPr="002F49D2">
        <w:t>11.</w:t>
      </w:r>
      <w:r w:rsidRPr="002F49D2">
        <w:tab/>
        <w:t xml:space="preserve">opfordrer Den Russiske Føderation til at trække sine militære styrker, udstyr og ammunition tilbage fra </w:t>
      </w:r>
      <w:proofErr w:type="spellStart"/>
      <w:r w:rsidRPr="002F49D2">
        <w:t>Transdnestrienområdet</w:t>
      </w:r>
      <w:proofErr w:type="spellEnd"/>
      <w:r w:rsidRPr="002F49D2">
        <w:t xml:space="preserve"> og til at støtte en fredelig løsning af konflikten i overensstemmelse med folkeretten og Moldovas suverænitet og territoriale integritet;</w:t>
      </w:r>
    </w:p>
    <w:p w14:paraId="257D3893" w14:textId="2138E04F" w:rsidR="00D46F6F" w:rsidRPr="002F49D2" w:rsidRDefault="00D46F6F" w:rsidP="00D46F6F">
      <w:pPr>
        <w:pStyle w:val="NormalHanging12a"/>
        <w:rPr>
          <w:szCs w:val="24"/>
        </w:rPr>
      </w:pPr>
      <w:r w:rsidRPr="002F49D2">
        <w:t>12.</w:t>
      </w:r>
      <w:r w:rsidRPr="002F49D2">
        <w:tab/>
        <w:t xml:space="preserve">opfordrer indtrængende Moldovas myndigheder og civilsamfund og EU til at forbedre deres strategiske kommunikation, at tilbagevise og gendrive de usande narrativer om EU og dets politik, som Rusland promoverer, og at fremholde de konkrete kort- og langsigtede fordele ved et EU-medlemskab for befolkningen i hele Moldova </w:t>
      </w:r>
      <w:bookmarkStart w:id="8" w:name="_Hlk196923727"/>
      <w:r w:rsidRPr="002F49D2">
        <w:t xml:space="preserve">med særligt fokus på kommunikation i regioner som </w:t>
      </w:r>
      <w:proofErr w:type="spellStart"/>
      <w:r w:rsidRPr="002F49D2">
        <w:t>Gagausien</w:t>
      </w:r>
      <w:proofErr w:type="spellEnd"/>
      <w:r w:rsidRPr="002F49D2">
        <w:t xml:space="preserve"> og i socioøkonomisk dårligt stillede landsbysamfund;</w:t>
      </w:r>
      <w:bookmarkEnd w:id="8"/>
      <w:r w:rsidRPr="002F49D2">
        <w:t xml:space="preserve"> udtrykker sin vilje til fortsat at støtte Moldovas parlament gennem gensidigt aftalte demokratistøtteaktiviteter; anbefaler derfor, at der gøres fuld brug af Europa-Parlamentets forbindelseskontor i </w:t>
      </w:r>
      <w:proofErr w:type="spellStart"/>
      <w:r w:rsidRPr="002F49D2">
        <w:t>Chișinău</w:t>
      </w:r>
      <w:proofErr w:type="spellEnd"/>
      <w:r w:rsidRPr="002F49D2">
        <w:t xml:space="preserve"> til at udføre folkeoplysningsarbejde, bekæmpe desinformation og støtte borgerinddragelse og derigennem medvirke til at styrke Moldovas demokratiske modstandskraft; er dybt bekymret over Ruslands omfattende kampagne for udnyttelse af homofobi, herunder intimidering og fysiske angreb, og opfordrer Kommissionen, medlemsstaterne og Moldova til også at investere i det moldoviske samfunds modstandsdygtighed ved at slå til lyd for ligestilling for alle uanset seksuel orientering eller kønsidentitet;</w:t>
      </w:r>
    </w:p>
    <w:p w14:paraId="4FF01952" w14:textId="3E894B7B" w:rsidR="00D46F6F" w:rsidRDefault="00D46F6F" w:rsidP="00D46F6F">
      <w:pPr>
        <w:pStyle w:val="NormalHanging12a"/>
      </w:pPr>
      <w:r w:rsidRPr="002F49D2">
        <w:t>13.</w:t>
      </w:r>
      <w:r w:rsidRPr="002F49D2">
        <w:tab/>
        <w:t xml:space="preserve">bemærker, at Ruslands nationale sikkerhedsstrategi, der blev godkendt af præsident Putin den 31. december 2015, og som bygger på den militære doktrin af 25. december 2014, udtrykkeligt forsvarer såkaldte traditionelle russiske åndelige og moralske værdier mod det, der opfattes som vestlig indflydelse, hvilket tydeligt viser Ruslands instrumentalisering af disse værdier og deres institutioner til strategiske formål; udtrykker bekymring over Ruslands instrumentalisering af såkaldte traditionelle russiske værdier og understreger, at en af de primære kanaler for russisk propaganda i Moldova er Metropolitsædet for </w:t>
      </w:r>
      <w:proofErr w:type="spellStart"/>
      <w:r w:rsidRPr="002F49D2">
        <w:t>Chișinău</w:t>
      </w:r>
      <w:proofErr w:type="spellEnd"/>
      <w:r w:rsidRPr="002F49D2">
        <w:t xml:space="preserve"> og hele Moldova, som hører under den russisk-ortodokse kirkes jurisdiktion; </w:t>
      </w:r>
      <w:r w:rsidR="007073FC" w:rsidRPr="007073FC">
        <w:t xml:space="preserve">understreger, at Europarådets Parlamentariske Forsamling i april 2024 anerkendte den russisk-ortodokse kirke som et instrument for Kremls propaganda, og at den økumeniske patriark i Konstantinopel i august 2024 fordømte den som militaristisk, </w:t>
      </w:r>
      <w:proofErr w:type="spellStart"/>
      <w:r w:rsidR="007073FC" w:rsidRPr="007073FC">
        <w:t>etnonationalistisk</w:t>
      </w:r>
      <w:proofErr w:type="spellEnd"/>
      <w:r w:rsidR="007073FC" w:rsidRPr="007073FC">
        <w:t xml:space="preserve"> og kættersk; </w:t>
      </w:r>
      <w:r w:rsidRPr="002F49D2">
        <w:t xml:space="preserve">fordømmer russiske stedfortræderes intimidering af gejstlige i den ortodokse kirke i </w:t>
      </w:r>
      <w:proofErr w:type="spellStart"/>
      <w:r w:rsidRPr="002F49D2">
        <w:t>Bessarabien</w:t>
      </w:r>
      <w:proofErr w:type="spellEnd"/>
      <w:r w:rsidR="007073FC">
        <w:rPr>
          <w:rStyle w:val="FootnoteReference"/>
        </w:rPr>
        <w:footnoteReference w:id="7"/>
      </w:r>
      <w:r w:rsidRPr="002F49D2">
        <w:t>;</w:t>
      </w:r>
    </w:p>
    <w:p w14:paraId="296EC8CE" w14:textId="6AAFAFB6" w:rsidR="00F4218D" w:rsidRPr="002F49D2" w:rsidRDefault="00F4218D" w:rsidP="00D46F6F">
      <w:pPr>
        <w:pStyle w:val="NormalHanging12a"/>
      </w:pPr>
      <w:r>
        <w:t>14</w:t>
      </w:r>
      <w:r w:rsidRPr="00F4218D">
        <w:t>.</w:t>
      </w:r>
      <w:r w:rsidRPr="00F4218D">
        <w:tab/>
        <w:t xml:space="preserve">anerkender den ortodokse kirke i </w:t>
      </w:r>
      <w:proofErr w:type="spellStart"/>
      <w:r w:rsidRPr="00F4218D">
        <w:t>Bessarabien</w:t>
      </w:r>
      <w:proofErr w:type="spellEnd"/>
      <w:r w:rsidRPr="00F4218D">
        <w:t xml:space="preserve"> som offer for sovjetisk undertrykkelse; bemærker, at efter at de sovjetiske myndigheder uretmæssigt havde afskaffet den ortodokse kirke i </w:t>
      </w:r>
      <w:proofErr w:type="spellStart"/>
      <w:r w:rsidRPr="00F4218D">
        <w:t>Bessarabien</w:t>
      </w:r>
      <w:proofErr w:type="spellEnd"/>
      <w:r w:rsidRPr="00F4218D">
        <w:t>, blev den først officielt anerkendt i 2002 efter en afgørelse fra Den Europæiske Menneskerettighedsdomstol;</w:t>
      </w:r>
    </w:p>
    <w:p w14:paraId="4908484A" w14:textId="1E01F112" w:rsidR="00D46F6F" w:rsidRPr="002F49D2" w:rsidRDefault="00F4218D" w:rsidP="00D46F6F">
      <w:pPr>
        <w:pStyle w:val="NormalHanging12a"/>
        <w:rPr>
          <w:szCs w:val="24"/>
        </w:rPr>
      </w:pPr>
      <w:r>
        <w:t>15</w:t>
      </w:r>
      <w:r w:rsidR="00D46F6F" w:rsidRPr="002F49D2">
        <w:t>.</w:t>
      </w:r>
      <w:r w:rsidR="00D46F6F" w:rsidRPr="002F49D2">
        <w:tab/>
        <w:t>bemærker civilsamfundsorganisationernes vigtige bidrag til bekæmpelse af desinformation og ondsindet påvirkning fra politiske aktører, der er imod reformerne, og fra Ruslands stedfortrædere samt til beskyttelse af menneskerettighederne, fremme gennemsigtighed og overvågning af regeringsførelse og fremskridt med hensyn til demokratiske reformer og reformer relateret til EU-tiltrædelsen;</w:t>
      </w:r>
    </w:p>
    <w:p w14:paraId="5DCA0F21" w14:textId="4B8A061F" w:rsidR="00D46F6F" w:rsidRPr="002F49D2" w:rsidRDefault="00E973A9" w:rsidP="00D46F6F">
      <w:pPr>
        <w:pStyle w:val="NormalHanging12a"/>
        <w:rPr>
          <w:szCs w:val="24"/>
        </w:rPr>
      </w:pPr>
      <w:r>
        <w:t>16</w:t>
      </w:r>
      <w:r w:rsidR="00D46F6F" w:rsidRPr="002F49D2">
        <w:t>.</w:t>
      </w:r>
      <w:r w:rsidR="00D46F6F" w:rsidRPr="002F49D2">
        <w:tab/>
        <w:t>indskærper, at en gennemgribende reform af retsvæsenet såvel som korruptionsbekæmpelse er altafgørende både for Moldovas modstandsevne over for udenlandsk indblanding og hybridtrusler, og for at landet skal lykkes med sine demokratiske reformer og reformer relateret til EU-tiltrædelsen; anerkender Moldovas vedholdende bestræbelser på at opbygge et uafhængigt, upartisk, ansvarligt og professionelt retsvæsen og på at afslutte processen med sikkerhedsgodkendelse af dommere inden udgangen af 2026; indskærper, at det er nødvendigt at forbedre koordineringen mellem alle centrale korruptionsbekæmpende og retlige institutioner for fuldt ud at gennemføre de omfattende reformer af retsstatsprincippet, opnå overbevisende resultater med hensyn til effektiv retsforfølgelse i korruptionssager, samtidig med at retten til en retfærdig rettergang og retten til en retfærdig rettergang respekteres, og borgernes tillid til de demokratiske institutioner og reformprocessen bevares; opfordrer derfor landets næste regering til at fastholde det nuværende ambitionsniveau og fuldføre retsstatsreformerne;</w:t>
      </w:r>
    </w:p>
    <w:p w14:paraId="2BB3536F" w14:textId="0919B127" w:rsidR="00D46F6F" w:rsidRDefault="00E973A9" w:rsidP="00D46F6F">
      <w:pPr>
        <w:pStyle w:val="NormalHanging12a"/>
      </w:pPr>
      <w:r>
        <w:t>17</w:t>
      </w:r>
      <w:r w:rsidR="00D46F6F" w:rsidRPr="002F49D2">
        <w:t>.</w:t>
      </w:r>
      <w:r w:rsidR="00D46F6F" w:rsidRPr="002F49D2">
        <w:tab/>
        <w:t xml:space="preserve">indskærper, at energiuafhængighed og </w:t>
      </w:r>
      <w:proofErr w:type="spellStart"/>
      <w:r w:rsidR="00D46F6F" w:rsidRPr="002F49D2">
        <w:t>konnektivitet</w:t>
      </w:r>
      <w:proofErr w:type="spellEnd"/>
      <w:r w:rsidR="00D46F6F" w:rsidRPr="002F49D2">
        <w:t xml:space="preserve"> er af afgørende betydning for at øge modstandsevnen over for Ruslands hybridtrusler i energisektoren, og opfordrer derfor til at fremskynde gennemførelsen af vækstplanen; fordømmer Ruslands fortsatte instrumentalisering af energiforsyningen og glæder sig over Moldovas fremskridt med hensyn til at diversificere sine energikilder, anvende vedvarende energikilder og energilagringssystemer, mindske afhængigheden af russisk gas og integrere sig i EU's energimarked;</w:t>
      </w:r>
    </w:p>
    <w:p w14:paraId="491E7782" w14:textId="70CBF1E4" w:rsidR="00F71008" w:rsidRPr="002F49D2" w:rsidRDefault="00E973A9" w:rsidP="00D46F6F">
      <w:pPr>
        <w:pStyle w:val="NormalHanging12a"/>
        <w:rPr>
          <w:szCs w:val="24"/>
        </w:rPr>
      </w:pPr>
      <w:r>
        <w:rPr>
          <w:szCs w:val="24"/>
        </w:rPr>
        <w:t>18</w:t>
      </w:r>
      <w:r w:rsidR="00F71008" w:rsidRPr="00F71008">
        <w:rPr>
          <w:szCs w:val="24"/>
        </w:rPr>
        <w:t>.</w:t>
      </w:r>
      <w:r w:rsidR="00F71008" w:rsidRPr="00F71008">
        <w:rPr>
          <w:szCs w:val="24"/>
        </w:rPr>
        <w:tab/>
        <w:t xml:space="preserve">roser Republikken Moldova for de betydelige fremskridt, landet har gjort med hensyn til at udfase russiske energikilder, fremskynde </w:t>
      </w:r>
      <w:proofErr w:type="spellStart"/>
      <w:r w:rsidR="00F71008" w:rsidRPr="00F71008">
        <w:rPr>
          <w:szCs w:val="24"/>
        </w:rPr>
        <w:t>dekarboniseringen</w:t>
      </w:r>
      <w:proofErr w:type="spellEnd"/>
      <w:r w:rsidR="00F71008" w:rsidRPr="00F71008">
        <w:rPr>
          <w:szCs w:val="24"/>
        </w:rPr>
        <w:t xml:space="preserve"> og digitaliseringen af sit energimiks og integrere sig i EU's energimarked; gentager sin opfordring til EU og medlemsstaterne om fortsat at støtte Moldovas energisikkerhed, støtte opførelsen og finansieringen af nye </w:t>
      </w:r>
      <w:proofErr w:type="spellStart"/>
      <w:r w:rsidR="00F71008" w:rsidRPr="00F71008">
        <w:rPr>
          <w:szCs w:val="24"/>
        </w:rPr>
        <w:t>elsammenkoblinger</w:t>
      </w:r>
      <w:proofErr w:type="spellEnd"/>
      <w:r w:rsidR="00F71008" w:rsidRPr="00F71008">
        <w:rPr>
          <w:szCs w:val="24"/>
        </w:rPr>
        <w:t xml:space="preserve"> med nabolande, fremme energieffektivitet og anvende vedvarende energikilder og energilagringssystemer i overensstemmelse med de mål, der er fastsat i landets nationale energi- og klimaplan;</w:t>
      </w:r>
    </w:p>
    <w:p w14:paraId="19949920" w14:textId="39ADC922" w:rsidR="00D46F6F" w:rsidRPr="002F49D2" w:rsidRDefault="00E973A9" w:rsidP="00D46F6F">
      <w:pPr>
        <w:pStyle w:val="NormalHanging12a"/>
        <w:rPr>
          <w:szCs w:val="24"/>
        </w:rPr>
      </w:pPr>
      <w:r>
        <w:t>19</w:t>
      </w:r>
      <w:r w:rsidR="00D46F6F" w:rsidRPr="002F49D2">
        <w:t>.</w:t>
      </w:r>
      <w:r w:rsidR="00D46F6F" w:rsidRPr="002F49D2">
        <w:tab/>
        <w:t xml:space="preserve">glæder sig over den gnidningsløse vedtagelse af vækstplanen for Moldova på 1,9 mia. EUR, som udgør et hidtil uset støtteniveau, der har til formål at styrke Moldovas økonomi og fremme landets vej mod EU-medlemskab ved at fremskynde centrale reformer i sektorer såsom energi, miljø, den digitale sektor, transport m.m.; glæder sig over udbetalingen af </w:t>
      </w:r>
      <w:proofErr w:type="spellStart"/>
      <w:r w:rsidR="00D46F6F" w:rsidRPr="002F49D2">
        <w:t>forfinansieringstranchen</w:t>
      </w:r>
      <w:proofErr w:type="spellEnd"/>
      <w:r w:rsidR="00D46F6F" w:rsidRPr="002F49D2">
        <w:t xml:space="preserve"> på 270 mio. EUR fra vækstplanen på 1,9 mia. EUR og opfordrer til en hurtig frigivelse af den første ordinære </w:t>
      </w:r>
      <w:proofErr w:type="spellStart"/>
      <w:r w:rsidR="00D46F6F" w:rsidRPr="002F49D2">
        <w:t>tranche</w:t>
      </w:r>
      <w:proofErr w:type="spellEnd"/>
      <w:r w:rsidR="00D46F6F" w:rsidRPr="002F49D2">
        <w:t xml:space="preserve"> til støtte for centrale reformer inden for infrastruktur, menneskelig kapital, virksomhedsudvikling og den digitale og grønne omstilling; opfordrer indtrængende EU og Moldova til at fremskynde landets gradvise integration i EU's indre marked med henblik på at levere håndgribelige socioøkonomiske fordele allerede inden den formelle tiltrædelse af EU; glæder sig over den nylige aftale om at revidere og ajourføre handelsbestemmelserne i det vidtgående og brede frihandelsområde mellem EU og Moldova, som vil give mulighed for øget markedsadgang for Moldovas landbrugseksport, der endnu ikke er blevet liberaliseret; støtter inddragelsen af Moldova i </w:t>
      </w:r>
      <w:proofErr w:type="spellStart"/>
      <w:r w:rsidR="00D46F6F" w:rsidRPr="002F49D2">
        <w:t>førtiltrædelsesinstrumentet</w:t>
      </w:r>
      <w:proofErr w:type="spellEnd"/>
      <w:r w:rsidR="00D46F6F" w:rsidRPr="002F49D2">
        <w:t xml:space="preserve"> under den næste flerårige finansielle ramme; roser Rådets afgørelse af 25. juli 2025 om at integrere Moldova i "roaming til hjemmetakst"-området fra den 1. januar 2026 efter en lignende afgørelse vedrørende Ukraine, der blev vedtaget den 14. juli 2025;</w:t>
      </w:r>
    </w:p>
    <w:p w14:paraId="50F48F07" w14:textId="5B09FE62" w:rsidR="00E365E1" w:rsidRPr="002F49D2" w:rsidRDefault="00E973A9" w:rsidP="00935372">
      <w:pPr>
        <w:ind w:left="567" w:hanging="567"/>
      </w:pPr>
      <w:r>
        <w:t>20</w:t>
      </w:r>
      <w:r w:rsidR="00D46F6F" w:rsidRPr="002F49D2">
        <w:t>.</w:t>
      </w:r>
      <w:r w:rsidR="00D46F6F" w:rsidRPr="002F49D2">
        <w:tab/>
        <w:t>pålægger sin formand at sende denne beslutning til næstformanden for Kommissionen/Unionens højtstående repræsentant for udenrigsanliggender og sikkerhedspolitik, Rådet, Kommissionen, medlemsstaternes regeringer og parlamenter, Europarådet, Organisationen for Sikkerhed og Samarbejde i Europa og Moldovas præsident, regering og parlament.</w:t>
      </w:r>
    </w:p>
    <w:sectPr w:rsidR="00E365E1" w:rsidRPr="002F49D2" w:rsidSect="00EA45F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08BDC" w14:textId="77777777" w:rsidR="00777763" w:rsidRPr="00EA45F8" w:rsidRDefault="00777763">
      <w:r w:rsidRPr="00EA45F8">
        <w:separator/>
      </w:r>
    </w:p>
  </w:endnote>
  <w:endnote w:type="continuationSeparator" w:id="0">
    <w:p w14:paraId="421EB0DE" w14:textId="77777777" w:rsidR="00777763" w:rsidRPr="00EA45F8" w:rsidRDefault="00777763">
      <w:r w:rsidRPr="00EA45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D76C0" w14:textId="77777777" w:rsidR="00777763" w:rsidRPr="00EA45F8" w:rsidRDefault="00777763">
      <w:r w:rsidRPr="00EA45F8">
        <w:separator/>
      </w:r>
    </w:p>
  </w:footnote>
  <w:footnote w:type="continuationSeparator" w:id="0">
    <w:p w14:paraId="31926A6B" w14:textId="77777777" w:rsidR="00777763" w:rsidRPr="00EA45F8" w:rsidRDefault="00777763">
      <w:r w:rsidRPr="00EA45F8">
        <w:continuationSeparator/>
      </w:r>
    </w:p>
  </w:footnote>
  <w:footnote w:id="1">
    <w:p w14:paraId="7D793D80" w14:textId="45936A37" w:rsidR="00D46F6F" w:rsidRPr="00EA45F8" w:rsidRDefault="00D46F6F" w:rsidP="00EA45F8">
      <w:pPr>
        <w:pStyle w:val="FootnoteText"/>
        <w:ind w:left="567" w:hanging="567"/>
        <w:rPr>
          <w:sz w:val="24"/>
          <w:lang w:val="da-DK"/>
        </w:rPr>
      </w:pPr>
      <w:r w:rsidRPr="00EA45F8">
        <w:rPr>
          <w:rStyle w:val="FootnoteReference"/>
          <w:sz w:val="24"/>
          <w:lang w:val="da-DK"/>
        </w:rPr>
        <w:footnoteRef/>
      </w:r>
      <w:r w:rsidR="00EA45F8" w:rsidRPr="00EA45F8">
        <w:rPr>
          <w:sz w:val="24"/>
          <w:lang w:val="da-DK"/>
        </w:rPr>
        <w:t xml:space="preserve"> </w:t>
      </w:r>
      <w:r w:rsidR="00EA45F8" w:rsidRPr="00EA45F8">
        <w:rPr>
          <w:sz w:val="24"/>
          <w:lang w:val="da-DK"/>
        </w:rPr>
        <w:tab/>
      </w:r>
      <w:r w:rsidRPr="00EA45F8">
        <w:rPr>
          <w:sz w:val="24"/>
          <w:lang w:val="da-DK"/>
        </w:rPr>
        <w:t>Vedtagne tekster, P10_</w:t>
      </w:r>
      <w:proofErr w:type="gramStart"/>
      <w:r w:rsidRPr="00EA45F8">
        <w:rPr>
          <w:sz w:val="24"/>
          <w:lang w:val="da-DK"/>
        </w:rPr>
        <w:t>TA(</w:t>
      </w:r>
      <w:proofErr w:type="gramEnd"/>
      <w:r w:rsidRPr="00EA45F8">
        <w:rPr>
          <w:sz w:val="24"/>
          <w:lang w:val="da-DK"/>
        </w:rPr>
        <w:t>2025)0131.</w:t>
      </w:r>
    </w:p>
  </w:footnote>
  <w:footnote w:id="2">
    <w:p w14:paraId="2F394053" w14:textId="1F6268E0" w:rsidR="00D46F6F" w:rsidRPr="00EA45F8" w:rsidRDefault="00D46F6F" w:rsidP="00EA45F8">
      <w:pPr>
        <w:pStyle w:val="FootnoteText"/>
        <w:ind w:left="567" w:hanging="567"/>
        <w:rPr>
          <w:sz w:val="24"/>
          <w:lang w:val="da-DK"/>
        </w:rPr>
      </w:pPr>
      <w:r w:rsidRPr="00EA45F8">
        <w:rPr>
          <w:rStyle w:val="FootnoteReference"/>
          <w:sz w:val="24"/>
          <w:lang w:val="da-DK"/>
        </w:rPr>
        <w:footnoteRef/>
      </w:r>
      <w:r w:rsidR="00EA45F8" w:rsidRPr="00EA45F8">
        <w:rPr>
          <w:sz w:val="24"/>
          <w:lang w:val="da-DK"/>
        </w:rPr>
        <w:t xml:space="preserve"> </w:t>
      </w:r>
      <w:r w:rsidR="00EA45F8" w:rsidRPr="00EA45F8">
        <w:rPr>
          <w:sz w:val="24"/>
          <w:lang w:val="da-DK"/>
        </w:rPr>
        <w:tab/>
      </w:r>
      <w:r w:rsidRPr="00EA45F8">
        <w:rPr>
          <w:sz w:val="24"/>
          <w:lang w:val="da-DK"/>
        </w:rPr>
        <w:t>EUT C, C/2025/204, 14.1.2025, ELI: http://data.europa.eu/eli/C/2025/204/oj.</w:t>
      </w:r>
    </w:p>
  </w:footnote>
  <w:footnote w:id="3">
    <w:p w14:paraId="42658E7D" w14:textId="3EF15868" w:rsidR="00D46F6F" w:rsidRPr="00EA45F8" w:rsidRDefault="00D46F6F" w:rsidP="00EA45F8">
      <w:pPr>
        <w:pStyle w:val="FootnoteText"/>
        <w:ind w:left="567" w:hanging="567"/>
        <w:rPr>
          <w:sz w:val="24"/>
          <w:lang w:val="da-DK"/>
        </w:rPr>
      </w:pPr>
      <w:r w:rsidRPr="00EA45F8">
        <w:rPr>
          <w:rStyle w:val="FootnoteReference"/>
          <w:sz w:val="24"/>
          <w:lang w:val="da-DK"/>
        </w:rPr>
        <w:footnoteRef/>
      </w:r>
      <w:r w:rsidR="00EA45F8" w:rsidRPr="00EA45F8">
        <w:rPr>
          <w:sz w:val="24"/>
          <w:lang w:val="da-DK"/>
        </w:rPr>
        <w:t xml:space="preserve"> </w:t>
      </w:r>
      <w:r w:rsidR="00EA45F8" w:rsidRPr="00EA45F8">
        <w:rPr>
          <w:sz w:val="24"/>
          <w:lang w:val="da-DK"/>
        </w:rPr>
        <w:tab/>
      </w:r>
      <w:r w:rsidRPr="00EA45F8">
        <w:rPr>
          <w:sz w:val="24"/>
          <w:lang w:val="da-DK"/>
        </w:rPr>
        <w:t>EUT L 260 af 30.8.2014, s. 4, ELI: </w:t>
      </w:r>
      <w:hyperlink r:id="rId1" w:tooltip="Giver adgang til dette dokument via dets ELI-URI." w:history="1">
        <w:r w:rsidRPr="00EA45F8">
          <w:rPr>
            <w:rStyle w:val="Hyperlink"/>
            <w:sz w:val="24"/>
            <w:lang w:val="da-DK"/>
          </w:rPr>
          <w:t>http://data.europa.eu/eli/agree_internation/2014/492/oj</w:t>
        </w:r>
      </w:hyperlink>
      <w:r w:rsidRPr="00EA45F8">
        <w:rPr>
          <w:sz w:val="24"/>
          <w:lang w:val="da-DK"/>
        </w:rPr>
        <w:t>.</w:t>
      </w:r>
    </w:p>
  </w:footnote>
  <w:footnote w:id="4">
    <w:p w14:paraId="12757C05" w14:textId="6C798EF7" w:rsidR="00F71008" w:rsidRPr="004D64B9" w:rsidRDefault="00F71008" w:rsidP="004D64B9">
      <w:pPr>
        <w:pStyle w:val="FootnoteText"/>
        <w:ind w:left="567" w:hanging="567"/>
        <w:rPr>
          <w:sz w:val="24"/>
          <w:szCs w:val="22"/>
          <w:lang w:val="da-DK"/>
        </w:rPr>
      </w:pPr>
      <w:r w:rsidRPr="004D64B9">
        <w:rPr>
          <w:rStyle w:val="FootnoteReference"/>
          <w:sz w:val="24"/>
          <w:szCs w:val="22"/>
        </w:rPr>
        <w:footnoteRef/>
      </w:r>
      <w:r w:rsidRPr="004D64B9">
        <w:rPr>
          <w:sz w:val="24"/>
          <w:szCs w:val="22"/>
          <w:lang w:val="da-DK"/>
        </w:rPr>
        <w:t xml:space="preserve"> </w:t>
      </w:r>
      <w:r w:rsidRPr="004D64B9">
        <w:rPr>
          <w:sz w:val="24"/>
          <w:szCs w:val="22"/>
          <w:lang w:val="da-DK"/>
        </w:rPr>
        <w:tab/>
      </w:r>
      <w:hyperlink r:id="rId2" w:history="1">
        <w:r w:rsidRPr="004D64B9">
          <w:rPr>
            <w:rStyle w:val="Hyperlink"/>
            <w:sz w:val="24"/>
            <w:szCs w:val="22"/>
            <w:lang w:val="da-DK"/>
          </w:rPr>
          <w:t>https:/</w:t>
        </w:r>
        <w:r w:rsidRPr="00F71008">
          <w:rPr>
            <w:rStyle w:val="Hyperlink"/>
            <w:sz w:val="24"/>
            <w:szCs w:val="22"/>
            <w:lang w:val="da-DK"/>
          </w:rPr>
          <w:t>/</w:t>
        </w:r>
        <w:r w:rsidRPr="004D64B9">
          <w:rPr>
            <w:rStyle w:val="Hyperlink"/>
            <w:sz w:val="24"/>
            <w:szCs w:val="22"/>
            <w:lang w:val="da-DK"/>
          </w:rPr>
          <w:t>www.zdg.md/e</w:t>
        </w:r>
        <w:r w:rsidRPr="004D64B9">
          <w:rPr>
            <w:rStyle w:val="Hyperlink"/>
            <w:sz w:val="24"/>
            <w:szCs w:val="22"/>
            <w:lang w:val="da-DK"/>
          </w:rPr>
          <w:t>n</w:t>
        </w:r>
        <w:r w:rsidRPr="004D64B9">
          <w:rPr>
            <w:rStyle w:val="Hyperlink"/>
            <w:sz w:val="24"/>
            <w:szCs w:val="22"/>
            <w:lang w:val="da-DK"/>
          </w:rPr>
          <w:t>/kremlins-digital-army-an-undercover-investigation-its-paid-let-me-tell-you-its-paid-directly-from-moscow/</w:t>
        </w:r>
      </w:hyperlink>
      <w:r w:rsidR="004D64B9">
        <w:rPr>
          <w:sz w:val="24"/>
          <w:szCs w:val="22"/>
          <w:lang w:val="da-DK"/>
        </w:rPr>
        <w:t>.</w:t>
      </w:r>
    </w:p>
  </w:footnote>
  <w:footnote w:id="5">
    <w:p w14:paraId="4D181F2F" w14:textId="31BF6108" w:rsidR="00D46F6F" w:rsidRPr="00EA45F8" w:rsidRDefault="00D46F6F" w:rsidP="00EA45F8">
      <w:pPr>
        <w:pStyle w:val="FootnoteText"/>
        <w:ind w:left="567" w:hanging="567"/>
        <w:rPr>
          <w:sz w:val="24"/>
          <w:lang w:val="da-DK"/>
        </w:rPr>
      </w:pPr>
      <w:r w:rsidRPr="00EA45F8">
        <w:rPr>
          <w:rStyle w:val="FootnoteReference"/>
          <w:sz w:val="24"/>
          <w:lang w:val="da-DK"/>
        </w:rPr>
        <w:footnoteRef/>
      </w:r>
      <w:r w:rsidR="00EA45F8" w:rsidRPr="00EA45F8">
        <w:rPr>
          <w:sz w:val="24"/>
          <w:lang w:val="da-DK"/>
        </w:rPr>
        <w:t xml:space="preserve"> </w:t>
      </w:r>
      <w:r w:rsidR="00EA45F8" w:rsidRPr="00EA45F8">
        <w:rPr>
          <w:sz w:val="24"/>
          <w:lang w:val="da-DK"/>
        </w:rPr>
        <w:tab/>
      </w:r>
      <w:r w:rsidRPr="00EA45F8">
        <w:rPr>
          <w:sz w:val="24"/>
          <w:lang w:val="da-DK"/>
        </w:rPr>
        <w:t xml:space="preserve">Europa-Parlamentets og Rådets forordning (EU) 2022/1925 af 14. september 2022 om åbne og fair markeder i den digitale sektor og om ændring af direktiv (EU) 2019/1937 og (EU) 2020/1828 (EUT L 265 af 12.10.2022, s. 1, ELI: </w:t>
      </w:r>
      <w:hyperlink r:id="rId3" w:history="1">
        <w:r w:rsidRPr="00AA3D99">
          <w:rPr>
            <w:rStyle w:val="Hyperlink"/>
            <w:sz w:val="24"/>
            <w:lang w:val="da-DK"/>
          </w:rPr>
          <w:t>http://data.europa.eu/eli/reg/2022/1925/oj</w:t>
        </w:r>
      </w:hyperlink>
      <w:r w:rsidRPr="00EA45F8">
        <w:rPr>
          <w:sz w:val="24"/>
          <w:lang w:val="da-DK"/>
        </w:rPr>
        <w:t>).</w:t>
      </w:r>
    </w:p>
  </w:footnote>
  <w:footnote w:id="6">
    <w:p w14:paraId="31713CBF" w14:textId="155A5FB6" w:rsidR="00D46F6F" w:rsidRPr="00EA45F8" w:rsidRDefault="00D46F6F" w:rsidP="00EA45F8">
      <w:pPr>
        <w:pStyle w:val="FootnoteText"/>
        <w:ind w:left="567" w:hanging="567"/>
        <w:rPr>
          <w:sz w:val="24"/>
          <w:lang w:val="da-DK"/>
        </w:rPr>
      </w:pPr>
      <w:r w:rsidRPr="00EA45F8">
        <w:rPr>
          <w:rStyle w:val="FootnoteReference"/>
          <w:sz w:val="24"/>
          <w:lang w:val="da-DK"/>
        </w:rPr>
        <w:footnoteRef/>
      </w:r>
      <w:r w:rsidR="00EA45F8" w:rsidRPr="00EA45F8">
        <w:rPr>
          <w:sz w:val="24"/>
          <w:lang w:val="da-DK"/>
        </w:rPr>
        <w:t xml:space="preserve"> </w:t>
      </w:r>
      <w:r w:rsidR="00EA45F8" w:rsidRPr="00EA45F8">
        <w:rPr>
          <w:sz w:val="24"/>
          <w:lang w:val="da-DK"/>
        </w:rPr>
        <w:tab/>
      </w:r>
      <w:r w:rsidRPr="00EA45F8">
        <w:rPr>
          <w:sz w:val="24"/>
          <w:lang w:val="da-DK"/>
        </w:rPr>
        <w:t xml:space="preserve">Europa-Parlamentets og Rådets forordning (EU) 2022/2065 af 19. oktober 2022 om et indre marked for digitale tjenester og om ændring af direktiv 2000/31/EF (EUT L 277 af 27.10.2022, s. 1, ELI: </w:t>
      </w:r>
      <w:hyperlink r:id="rId4" w:history="1">
        <w:r w:rsidRPr="00AA3D99">
          <w:rPr>
            <w:rStyle w:val="Hyperlink"/>
            <w:sz w:val="24"/>
            <w:lang w:val="da-DK"/>
          </w:rPr>
          <w:t>http://data.europa.eu/eli/reg/2022/2065/oj</w:t>
        </w:r>
      </w:hyperlink>
      <w:r w:rsidRPr="00EA45F8">
        <w:rPr>
          <w:sz w:val="24"/>
          <w:lang w:val="da-DK"/>
        </w:rPr>
        <w:t>).</w:t>
      </w:r>
    </w:p>
  </w:footnote>
  <w:footnote w:id="7">
    <w:p w14:paraId="34218966" w14:textId="6DD0A2F6" w:rsidR="007073FC" w:rsidRPr="004D64B9" w:rsidRDefault="007073FC" w:rsidP="004D64B9">
      <w:pPr>
        <w:pStyle w:val="FootnoteText"/>
        <w:ind w:left="567" w:hanging="567"/>
        <w:rPr>
          <w:sz w:val="24"/>
          <w:szCs w:val="22"/>
          <w:lang w:val="da-DK"/>
        </w:rPr>
      </w:pPr>
      <w:r w:rsidRPr="004D64B9">
        <w:rPr>
          <w:rStyle w:val="FootnoteReference"/>
          <w:sz w:val="24"/>
          <w:szCs w:val="22"/>
        </w:rPr>
        <w:footnoteRef/>
      </w:r>
      <w:r w:rsidRPr="004D64B9">
        <w:rPr>
          <w:sz w:val="24"/>
          <w:szCs w:val="22"/>
          <w:lang w:val="da-DK"/>
        </w:rPr>
        <w:t xml:space="preserve"> </w:t>
      </w:r>
      <w:r w:rsidRPr="004D64B9">
        <w:rPr>
          <w:sz w:val="24"/>
          <w:szCs w:val="22"/>
          <w:lang w:val="da-DK"/>
        </w:rPr>
        <w:tab/>
      </w:r>
      <w:hyperlink r:id="rId5" w:history="1">
        <w:r w:rsidRPr="004D64B9">
          <w:rPr>
            <w:rStyle w:val="Hyperlink"/>
            <w:sz w:val="24"/>
            <w:szCs w:val="22"/>
            <w:lang w:val="da-DK"/>
          </w:rPr>
          <w:t>https://pace.coe.int/en/files/33808/html</w:t>
        </w:r>
      </w:hyperlink>
      <w:r w:rsidRPr="004D64B9">
        <w:rPr>
          <w:sz w:val="24"/>
          <w:szCs w:val="22"/>
          <w:lang w:val="da-DK"/>
        </w:rPr>
        <w:t xml:space="preserve">, </w:t>
      </w:r>
      <w:hyperlink r:id="rId6" w:history="1">
        <w:r w:rsidRPr="004D64B9">
          <w:rPr>
            <w:rStyle w:val="Hyperlink"/>
            <w:sz w:val="24"/>
            <w:szCs w:val="22"/>
            <w:lang w:val="da-DK"/>
          </w:rPr>
          <w:t>https://www.thetablet.co.uk/news/bartholomew-accuses-russian-church-of-ethno-nationalist-heresy/</w:t>
        </w:r>
      </w:hyperlink>
      <w:r w:rsidRPr="004D64B9">
        <w:rPr>
          <w:sz w:val="24"/>
          <w:szCs w:val="22"/>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3570375">
    <w:abstractNumId w:val="9"/>
  </w:num>
  <w:num w:numId="2" w16cid:durableId="1828008395">
    <w:abstractNumId w:val="9"/>
  </w:num>
  <w:num w:numId="3" w16cid:durableId="1210261443">
    <w:abstractNumId w:val="7"/>
  </w:num>
  <w:num w:numId="4" w16cid:durableId="1166553171">
    <w:abstractNumId w:val="7"/>
  </w:num>
  <w:num w:numId="5" w16cid:durableId="1843735999">
    <w:abstractNumId w:val="6"/>
  </w:num>
  <w:num w:numId="6" w16cid:durableId="2078431873">
    <w:abstractNumId w:val="6"/>
  </w:num>
  <w:num w:numId="7" w16cid:durableId="1077480707">
    <w:abstractNumId w:val="5"/>
  </w:num>
  <w:num w:numId="8" w16cid:durableId="887953721">
    <w:abstractNumId w:val="5"/>
  </w:num>
  <w:num w:numId="9" w16cid:durableId="1262101298">
    <w:abstractNumId w:val="4"/>
  </w:num>
  <w:num w:numId="10" w16cid:durableId="1743285308">
    <w:abstractNumId w:val="4"/>
  </w:num>
  <w:num w:numId="11" w16cid:durableId="629283580">
    <w:abstractNumId w:val="8"/>
  </w:num>
  <w:num w:numId="12" w16cid:durableId="300817429">
    <w:abstractNumId w:val="8"/>
  </w:num>
  <w:num w:numId="13" w16cid:durableId="139546287">
    <w:abstractNumId w:val="3"/>
  </w:num>
  <w:num w:numId="14" w16cid:durableId="723021227">
    <w:abstractNumId w:val="3"/>
  </w:num>
  <w:num w:numId="15" w16cid:durableId="1650938429">
    <w:abstractNumId w:val="2"/>
  </w:num>
  <w:num w:numId="16" w16cid:durableId="1262107642">
    <w:abstractNumId w:val="2"/>
  </w:num>
  <w:num w:numId="17" w16cid:durableId="1431242678">
    <w:abstractNumId w:val="1"/>
  </w:num>
  <w:num w:numId="18" w16cid:durableId="1112480269">
    <w:abstractNumId w:val="1"/>
  </w:num>
  <w:num w:numId="19" w16cid:durableId="260797982">
    <w:abstractNumId w:val="0"/>
  </w:num>
  <w:num w:numId="20" w16cid:durableId="1899826982">
    <w:abstractNumId w:val="0"/>
  </w:num>
  <w:num w:numId="21" w16cid:durableId="352000366">
    <w:abstractNumId w:val="9"/>
  </w:num>
  <w:num w:numId="22" w16cid:durableId="926353925">
    <w:abstractNumId w:val="7"/>
  </w:num>
  <w:num w:numId="23" w16cid:durableId="1087731866">
    <w:abstractNumId w:val="6"/>
  </w:num>
  <w:num w:numId="24" w16cid:durableId="710232318">
    <w:abstractNumId w:val="5"/>
  </w:num>
  <w:num w:numId="25" w16cid:durableId="1731074566">
    <w:abstractNumId w:val="4"/>
  </w:num>
  <w:num w:numId="26" w16cid:durableId="316540060">
    <w:abstractNumId w:val="8"/>
  </w:num>
  <w:num w:numId="27" w16cid:durableId="804353572">
    <w:abstractNumId w:val="3"/>
  </w:num>
  <w:num w:numId="28" w16cid:durableId="682786190">
    <w:abstractNumId w:val="2"/>
  </w:num>
  <w:num w:numId="29" w16cid:durableId="1161654231">
    <w:abstractNumId w:val="1"/>
  </w:num>
  <w:num w:numId="30" w16cid:durableId="1166439154">
    <w:abstractNumId w:val="0"/>
  </w:num>
  <w:num w:numId="31" w16cid:durableId="2131315385">
    <w:abstractNumId w:val="9"/>
  </w:num>
  <w:num w:numId="32" w16cid:durableId="1833638682">
    <w:abstractNumId w:val="7"/>
  </w:num>
  <w:num w:numId="33" w16cid:durableId="465976531">
    <w:abstractNumId w:val="6"/>
  </w:num>
  <w:num w:numId="34" w16cid:durableId="79527659">
    <w:abstractNumId w:val="5"/>
  </w:num>
  <w:num w:numId="35" w16cid:durableId="458845167">
    <w:abstractNumId w:val="4"/>
  </w:num>
  <w:num w:numId="36" w16cid:durableId="1781680436">
    <w:abstractNumId w:val="8"/>
  </w:num>
  <w:num w:numId="37" w16cid:durableId="1602227982">
    <w:abstractNumId w:val="3"/>
  </w:num>
  <w:num w:numId="38" w16cid:durableId="359015459">
    <w:abstractNumId w:val="2"/>
  </w:num>
  <w:num w:numId="39" w16cid:durableId="2017875448">
    <w:abstractNumId w:val="1"/>
  </w:num>
  <w:num w:numId="40" w16cid:durableId="1990284128">
    <w:abstractNumId w:val="0"/>
  </w:num>
  <w:num w:numId="41" w16cid:durableId="618755040">
    <w:abstractNumId w:val="10"/>
  </w:num>
  <w:num w:numId="42" w16cid:durableId="992952453">
    <w:abstractNumId w:val="10"/>
  </w:num>
  <w:num w:numId="43" w16cid:durableId="2079402997">
    <w:abstractNumId w:val="10"/>
  </w:num>
  <w:num w:numId="44" w16cid:durableId="1959068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2025"/>
    <w:docVar w:name="dvlangue" w:val="DA"/>
    <w:docVar w:name="dvnumam" w:val="0"/>
    <w:docVar w:name="dvpe" w:val="776.179"/>
    <w:docVar w:name="dvtitre" w:val="Europa-Parlamentets beslutning af xx. september 2025 om styrkelse af Moldovas modstandsevne over for Ruslands hybridtrusler og ondsindede indblanding(2025/2811(RSP))"/>
  </w:docVars>
  <w:rsids>
    <w:rsidRoot w:val="00777763"/>
    <w:rsid w:val="00002272"/>
    <w:rsid w:val="00064002"/>
    <w:rsid w:val="000677B9"/>
    <w:rsid w:val="000831BA"/>
    <w:rsid w:val="000A3458"/>
    <w:rsid w:val="000A42CC"/>
    <w:rsid w:val="000D53FC"/>
    <w:rsid w:val="000E7DD9"/>
    <w:rsid w:val="0010095E"/>
    <w:rsid w:val="00125B37"/>
    <w:rsid w:val="00187494"/>
    <w:rsid w:val="001E6AA3"/>
    <w:rsid w:val="001F32AE"/>
    <w:rsid w:val="002767FF"/>
    <w:rsid w:val="002B18FE"/>
    <w:rsid w:val="002B5493"/>
    <w:rsid w:val="002F49D2"/>
    <w:rsid w:val="00343214"/>
    <w:rsid w:val="00361C00"/>
    <w:rsid w:val="00395FA1"/>
    <w:rsid w:val="003E15D4"/>
    <w:rsid w:val="00411CCE"/>
    <w:rsid w:val="0041666E"/>
    <w:rsid w:val="00421060"/>
    <w:rsid w:val="004458DD"/>
    <w:rsid w:val="00471C19"/>
    <w:rsid w:val="004867E3"/>
    <w:rsid w:val="00494A28"/>
    <w:rsid w:val="004C0004"/>
    <w:rsid w:val="004C5D52"/>
    <w:rsid w:val="004D50A5"/>
    <w:rsid w:val="004D64B9"/>
    <w:rsid w:val="0050519A"/>
    <w:rsid w:val="005072A1"/>
    <w:rsid w:val="00514517"/>
    <w:rsid w:val="00545827"/>
    <w:rsid w:val="00560270"/>
    <w:rsid w:val="005C2568"/>
    <w:rsid w:val="005F1B17"/>
    <w:rsid w:val="006037C0"/>
    <w:rsid w:val="00637F81"/>
    <w:rsid w:val="006631B6"/>
    <w:rsid w:val="00680577"/>
    <w:rsid w:val="006F74FA"/>
    <w:rsid w:val="007073FC"/>
    <w:rsid w:val="00731ADD"/>
    <w:rsid w:val="00734777"/>
    <w:rsid w:val="00747932"/>
    <w:rsid w:val="00751A4A"/>
    <w:rsid w:val="00756632"/>
    <w:rsid w:val="00762C74"/>
    <w:rsid w:val="00777763"/>
    <w:rsid w:val="00786EC0"/>
    <w:rsid w:val="007D1690"/>
    <w:rsid w:val="007E22AD"/>
    <w:rsid w:val="00817416"/>
    <w:rsid w:val="00842779"/>
    <w:rsid w:val="00865F67"/>
    <w:rsid w:val="00881A7B"/>
    <w:rsid w:val="008840E5"/>
    <w:rsid w:val="00887B3E"/>
    <w:rsid w:val="008C2AC6"/>
    <w:rsid w:val="008D657E"/>
    <w:rsid w:val="008F77A4"/>
    <w:rsid w:val="00930C23"/>
    <w:rsid w:val="0093193B"/>
    <w:rsid w:val="00935372"/>
    <w:rsid w:val="009509D8"/>
    <w:rsid w:val="00950B64"/>
    <w:rsid w:val="00981893"/>
    <w:rsid w:val="00A1687D"/>
    <w:rsid w:val="00A43E52"/>
    <w:rsid w:val="00A4678D"/>
    <w:rsid w:val="00A778C7"/>
    <w:rsid w:val="00AA3D9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256"/>
    <w:rsid w:val="00CC2357"/>
    <w:rsid w:val="00CF071A"/>
    <w:rsid w:val="00D058B8"/>
    <w:rsid w:val="00D46F6F"/>
    <w:rsid w:val="00D56C11"/>
    <w:rsid w:val="00D834A0"/>
    <w:rsid w:val="00D872DF"/>
    <w:rsid w:val="00D91E21"/>
    <w:rsid w:val="00DA7FCD"/>
    <w:rsid w:val="00E365E1"/>
    <w:rsid w:val="00E820A4"/>
    <w:rsid w:val="00E973A9"/>
    <w:rsid w:val="00EA45F8"/>
    <w:rsid w:val="00EB006A"/>
    <w:rsid w:val="00EB4772"/>
    <w:rsid w:val="00ED169E"/>
    <w:rsid w:val="00ED4235"/>
    <w:rsid w:val="00F04346"/>
    <w:rsid w:val="00F075DC"/>
    <w:rsid w:val="00F149E9"/>
    <w:rsid w:val="00F4218D"/>
    <w:rsid w:val="00F5134D"/>
    <w:rsid w:val="00F7100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C8E62"/>
  <w15:chartTrackingRefBased/>
  <w15:docId w15:val="{FAA2AB10-7585-40DB-9D66-519661ABA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46F6F"/>
    <w:pPr>
      <w:spacing w:after="240"/>
      <w:ind w:left="567" w:hanging="567"/>
    </w:pPr>
  </w:style>
  <w:style w:type="paragraph" w:customStyle="1" w:styleId="EPComma">
    <w:name w:val="EPComma"/>
    <w:basedOn w:val="Normal"/>
    <w:link w:val="EPCommaChar"/>
    <w:rsid w:val="00D46F6F"/>
    <w:pPr>
      <w:spacing w:before="480" w:after="240"/>
    </w:pPr>
  </w:style>
  <w:style w:type="character" w:customStyle="1" w:styleId="EPCommaChar">
    <w:name w:val="EPComma Char"/>
    <w:basedOn w:val="DefaultParagraphFont"/>
    <w:link w:val="EPComma"/>
    <w:rsid w:val="00D46F6F"/>
    <w:rPr>
      <w:sz w:val="24"/>
      <w:lang w:val="da-DK"/>
    </w:rPr>
  </w:style>
  <w:style w:type="character" w:customStyle="1" w:styleId="NormalHanging12aChar">
    <w:name w:val="NormalHanging12a Char"/>
    <w:basedOn w:val="DefaultParagraphFont"/>
    <w:link w:val="NormalHanging12a"/>
    <w:locked/>
    <w:rsid w:val="00D46F6F"/>
    <w:rPr>
      <w:sz w:val="24"/>
      <w:lang w:val="da-DK"/>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D46F6F"/>
    <w:pPr>
      <w:widowControl/>
      <w:spacing w:after="160" w:line="240" w:lineRule="exact"/>
    </w:pPr>
    <w:rPr>
      <w:sz w:val="20"/>
      <w:vertAlign w:val="superscript"/>
      <w:lang w:val="en-GB"/>
    </w:rPr>
  </w:style>
  <w:style w:type="character" w:styleId="Hyperlink">
    <w:name w:val="Hyperlink"/>
    <w:basedOn w:val="DefaultParagraphFont"/>
    <w:uiPriority w:val="99"/>
    <w:unhideWhenUsed/>
    <w:rsid w:val="00D46F6F"/>
    <w:rPr>
      <w:color w:val="0000FF"/>
      <w:u w:val="single"/>
    </w:rPr>
  </w:style>
  <w:style w:type="character" w:customStyle="1" w:styleId="highlight-diff">
    <w:name w:val="highlight-diff"/>
    <w:basedOn w:val="DefaultParagraphFont"/>
    <w:rsid w:val="00D46F6F"/>
  </w:style>
  <w:style w:type="character" w:styleId="Strong">
    <w:name w:val="Strong"/>
    <w:basedOn w:val="DefaultParagraphFont"/>
    <w:uiPriority w:val="22"/>
    <w:qFormat/>
    <w:rsid w:val="00D46F6F"/>
    <w:rPr>
      <w:b/>
      <w:bCs/>
    </w:rPr>
  </w:style>
  <w:style w:type="paragraph" w:styleId="Revision">
    <w:name w:val="Revision"/>
    <w:hidden/>
    <w:uiPriority w:val="99"/>
    <w:semiHidden/>
    <w:rsid w:val="004D50A5"/>
    <w:rPr>
      <w:sz w:val="24"/>
      <w:lang w:val="da-DK"/>
    </w:rPr>
  </w:style>
  <w:style w:type="character" w:styleId="UnresolvedMention">
    <w:name w:val="Unresolved Mention"/>
    <w:basedOn w:val="DefaultParagraphFont"/>
    <w:uiPriority w:val="99"/>
    <w:semiHidden/>
    <w:unhideWhenUsed/>
    <w:rsid w:val="00AA3D99"/>
    <w:rPr>
      <w:color w:val="605E5C"/>
      <w:shd w:val="clear" w:color="auto" w:fill="E1DFDD"/>
    </w:rPr>
  </w:style>
  <w:style w:type="character" w:styleId="FollowedHyperlink">
    <w:name w:val="FollowedHyperlink"/>
    <w:basedOn w:val="DefaultParagraphFont"/>
    <w:rsid w:val="007073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1925/oj" TargetMode="External"/><Relationship Id="rId2" Type="http://schemas.openxmlformats.org/officeDocument/2006/relationships/hyperlink" Target="https://www.zdg.md/en/kremlins-digital-army-an-undercover-investigation-its-paid-let-me-tell-you-its-paid-directly-from-moscow/" TargetMode="External"/><Relationship Id="rId1" Type="http://schemas.openxmlformats.org/officeDocument/2006/relationships/hyperlink" Target="http://data.europa.eu/eli/agree_internation/2014/492/oj" TargetMode="External"/><Relationship Id="rId6" Type="http://schemas.openxmlformats.org/officeDocument/2006/relationships/hyperlink" Target="https://www.thetablet.co.uk/news/bartholomew-accuses-russian-church-of-ethno-nationalist-heresy/" TargetMode="External"/><Relationship Id="rId5" Type="http://schemas.openxmlformats.org/officeDocument/2006/relationships/hyperlink" Target="https://pace.coe.int/en/files/33808/html" TargetMode="External"/><Relationship Id="rId4"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2841</Words>
  <Characters>18249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2025-09-10T13:37:00Z</dcterms:created>
  <dcterms:modified xsi:type="dcterms:W3CDTF">2025-09-10T13:37:00Z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P10_TA-PROV(2025)0191_B10-0355_2025_</vt:lpwstr>
  </property>
  <property fmtid="{D5CDD505-2E9C-101B-9397-08002B2CF9AE}" pid="4" name="&lt;Type&gt;">
    <vt:lpwstr>RR</vt:lpwstr>
  </property>
</Properties>
</file>