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1DBD" w14:paraId="65319478" w14:textId="77777777" w:rsidTr="0010095E">
        <w:trPr>
          <w:trHeight w:hRule="exact" w:val="1418"/>
        </w:trPr>
        <w:tc>
          <w:tcPr>
            <w:tcW w:w="6804" w:type="dxa"/>
            <w:shd w:val="clear" w:color="auto" w:fill="auto"/>
            <w:vAlign w:val="center"/>
          </w:tcPr>
          <w:p w14:paraId="20AFFB02" w14:textId="77777777" w:rsidR="00751A4A" w:rsidRPr="00BA1DBD" w:rsidRDefault="00146BBC" w:rsidP="0010095E">
            <w:pPr>
              <w:pStyle w:val="EPName"/>
            </w:pPr>
            <w:r w:rsidRPr="00BA1DBD">
              <w:t>Parlamento Europeo</w:t>
            </w:r>
          </w:p>
          <w:p w14:paraId="1A3D337A" w14:textId="77777777" w:rsidR="00751A4A" w:rsidRPr="00BA1DBD" w:rsidRDefault="005F1B17" w:rsidP="005F1B17">
            <w:pPr>
              <w:pStyle w:val="EPTerm"/>
              <w:rPr>
                <w:rStyle w:val="HideTWBExt"/>
                <w:noProof w:val="0"/>
                <w:vanish w:val="0"/>
                <w:color w:val="auto"/>
              </w:rPr>
            </w:pPr>
            <w:r w:rsidRPr="00BA1DBD">
              <w:t>2024</w:t>
            </w:r>
            <w:r w:rsidR="00817416" w:rsidRPr="00BA1DBD">
              <w:t>-202</w:t>
            </w:r>
            <w:r w:rsidRPr="00BA1DBD">
              <w:t>9</w:t>
            </w:r>
          </w:p>
        </w:tc>
        <w:tc>
          <w:tcPr>
            <w:tcW w:w="2268" w:type="dxa"/>
            <w:shd w:val="clear" w:color="auto" w:fill="auto"/>
          </w:tcPr>
          <w:p w14:paraId="38EC8831" w14:textId="77777777" w:rsidR="00751A4A" w:rsidRPr="00BA1DBD" w:rsidRDefault="00187494" w:rsidP="0010095E">
            <w:pPr>
              <w:pStyle w:val="EPLogo"/>
            </w:pPr>
            <w:r w:rsidRPr="00BA1DBD">
              <w:rPr>
                <w:noProof/>
              </w:rPr>
              <w:drawing>
                <wp:inline distT="0" distB="0" distL="0" distR="0" wp14:anchorId="26663B38" wp14:editId="3AFA91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19A32D" w14:textId="77777777" w:rsidR="00D058B8" w:rsidRPr="00BA1DBD" w:rsidRDefault="00D058B8" w:rsidP="004C5D52">
      <w:pPr>
        <w:pStyle w:val="LineTop"/>
      </w:pPr>
    </w:p>
    <w:p w14:paraId="0495B830" w14:textId="77777777" w:rsidR="00680577" w:rsidRPr="00BA1DBD" w:rsidRDefault="00146BBC" w:rsidP="00680577">
      <w:pPr>
        <w:pStyle w:val="EPBodyTA1"/>
      </w:pPr>
      <w:r w:rsidRPr="00BA1DBD">
        <w:t>TEXTOS APROBADOS</w:t>
      </w:r>
    </w:p>
    <w:p w14:paraId="7EC7BDCF" w14:textId="77777777" w:rsidR="00D058B8" w:rsidRPr="00BA1DBD" w:rsidRDefault="00D058B8" w:rsidP="00D058B8">
      <w:pPr>
        <w:pStyle w:val="LineBottom"/>
      </w:pPr>
    </w:p>
    <w:p w14:paraId="4FC9AD21" w14:textId="14BC06CA" w:rsidR="00146BBC" w:rsidRPr="00BA1DBD" w:rsidRDefault="00146BBC" w:rsidP="00146BBC">
      <w:pPr>
        <w:pStyle w:val="ATHeading1"/>
      </w:pPr>
      <w:bookmarkStart w:id="0" w:name="TANumber"/>
      <w:r w:rsidRPr="00BA1DBD">
        <w:t>P10_TA(2025)0</w:t>
      </w:r>
      <w:r w:rsidR="00E61FA3">
        <w:t>191</w:t>
      </w:r>
      <w:bookmarkEnd w:id="0"/>
    </w:p>
    <w:p w14:paraId="07039971" w14:textId="77777777" w:rsidR="00146BBC" w:rsidRPr="00BA1DBD" w:rsidRDefault="00146BBC" w:rsidP="00146BBC">
      <w:pPr>
        <w:pStyle w:val="ATHeading2"/>
      </w:pPr>
      <w:bookmarkStart w:id="1" w:name="title"/>
      <w:r w:rsidRPr="00BA1DBD">
        <w:t>Refuerzo de la resiliencia de Moldavia frente a las amenazas híbridas y las injerencias malintencionadas de Rusia</w:t>
      </w:r>
      <w:bookmarkEnd w:id="1"/>
    </w:p>
    <w:p w14:paraId="30223E59" w14:textId="77777777" w:rsidR="00146BBC" w:rsidRPr="00BA1DBD" w:rsidRDefault="00146BBC" w:rsidP="00146BBC">
      <w:pPr>
        <w:rPr>
          <w:i/>
          <w:vanish/>
        </w:rPr>
      </w:pPr>
      <w:r w:rsidRPr="00BA1DBD">
        <w:rPr>
          <w:i/>
        </w:rPr>
        <w:fldChar w:fldCharType="begin"/>
      </w:r>
      <w:r w:rsidRPr="00BA1DBD">
        <w:rPr>
          <w:i/>
        </w:rPr>
        <w:instrText xml:space="preserve"> TC"(</w:instrText>
      </w:r>
      <w:bookmarkStart w:id="2" w:name="DocNumber"/>
      <w:r w:rsidRPr="00BA1DBD">
        <w:rPr>
          <w:i/>
        </w:rPr>
        <w:instrText>B10-0355, 0357, 0356, 0359 y 0361/2025</w:instrText>
      </w:r>
      <w:bookmarkEnd w:id="2"/>
      <w:r w:rsidRPr="00BA1DBD">
        <w:rPr>
          <w:i/>
        </w:rPr>
        <w:instrText xml:space="preserve">)"\l3 \n&gt; \* MERGEFORMAT </w:instrText>
      </w:r>
      <w:r w:rsidRPr="00BA1DBD">
        <w:rPr>
          <w:i/>
        </w:rPr>
        <w:fldChar w:fldCharType="end"/>
      </w:r>
    </w:p>
    <w:p w14:paraId="2CBE9BF3" w14:textId="77777777" w:rsidR="00146BBC" w:rsidRPr="00BA1DBD" w:rsidRDefault="00146BBC" w:rsidP="00146BBC">
      <w:pPr>
        <w:rPr>
          <w:vanish/>
        </w:rPr>
      </w:pPr>
      <w:bookmarkStart w:id="3" w:name="PE"/>
      <w:r w:rsidRPr="00BA1DBD">
        <w:rPr>
          <w:vanish/>
        </w:rPr>
        <w:t>PE776.179</w:t>
      </w:r>
      <w:bookmarkEnd w:id="3"/>
    </w:p>
    <w:p w14:paraId="277174EC" w14:textId="77777777" w:rsidR="00146BBC" w:rsidRPr="00BA1DBD" w:rsidRDefault="00146BBC" w:rsidP="00146BBC">
      <w:pPr>
        <w:pStyle w:val="ATHeading3"/>
      </w:pPr>
      <w:bookmarkStart w:id="4" w:name="Sujet"/>
      <w:r w:rsidRPr="00BA1DBD">
        <w:t>Resolución del Parlamento Europeo, de 10 de septiembre de 2025, sobre el refuerzo de la resiliencia de Moldavia frente a las amenazas híbridas y las injerencias malintencionadas de Rusia</w:t>
      </w:r>
      <w:bookmarkEnd w:id="4"/>
      <w:r w:rsidRPr="00BA1DBD">
        <w:t xml:space="preserve"> </w:t>
      </w:r>
      <w:bookmarkStart w:id="5" w:name="References"/>
      <w:r w:rsidRPr="00BA1DBD">
        <w:t>(2025/2811(RSP))</w:t>
      </w:r>
      <w:bookmarkEnd w:id="5"/>
    </w:p>
    <w:p w14:paraId="469F4BB0" w14:textId="77777777" w:rsidR="00A04927" w:rsidRPr="00BA1DBD" w:rsidRDefault="00A04927" w:rsidP="00A04927">
      <w:pPr>
        <w:pStyle w:val="EPComma"/>
        <w:widowControl/>
      </w:pPr>
      <w:bookmarkStart w:id="6" w:name="TextBodyBegin"/>
      <w:bookmarkEnd w:id="6"/>
      <w:r w:rsidRPr="00BA1DBD">
        <w:rPr>
          <w:i/>
          <w:iCs/>
        </w:rPr>
        <w:t>El Parlamento Europeo</w:t>
      </w:r>
      <w:r w:rsidRPr="00BA1DBD">
        <w:t>,</w:t>
      </w:r>
    </w:p>
    <w:p w14:paraId="6827837D" w14:textId="77777777" w:rsidR="00A04927" w:rsidRPr="00BA1DBD" w:rsidRDefault="00A04927" w:rsidP="00A04927">
      <w:pPr>
        <w:pStyle w:val="NormalHanging12a"/>
        <w:widowControl/>
      </w:pPr>
      <w:r w:rsidRPr="00BA1DBD">
        <w:t>–</w:t>
      </w:r>
      <w:r w:rsidRPr="00BA1DBD">
        <w:tab/>
        <w:t>Vistas sus anteriores Resoluciones sobre Moldavia, en particular su Resolución, de 18 de junio de 2025, sobre los Informes de 2023 y 2024 de la Comisión sobre Moldavia</w:t>
      </w:r>
      <w:r w:rsidRPr="00BA1DBD">
        <w:rPr>
          <w:vertAlign w:val="superscript"/>
        </w:rPr>
        <w:footnoteReference w:id="1"/>
      </w:r>
      <w:r w:rsidRPr="00BA1DBD">
        <w:t xml:space="preserve"> y su Resolución, de 9 de octubre de 2024, sobre el refuerzo de la resiliencia de Moldavia frente a la injerencia rusa ante la perspectiva de las próximas elecciones presidenciales y referéndum constitucional sobre la integración en la Unión</w:t>
      </w:r>
      <w:r w:rsidRPr="00BA1DBD">
        <w:rPr>
          <w:vertAlign w:val="superscript"/>
        </w:rPr>
        <w:footnoteReference w:id="2"/>
      </w:r>
      <w:r w:rsidRPr="00BA1DBD">
        <w:t>,</w:t>
      </w:r>
    </w:p>
    <w:p w14:paraId="4EEC4978" w14:textId="77777777" w:rsidR="00A04927" w:rsidRPr="00BA1DBD" w:rsidRDefault="00A04927" w:rsidP="00A04927">
      <w:pPr>
        <w:pStyle w:val="NormalHanging12a"/>
        <w:widowControl/>
      </w:pPr>
      <w:r w:rsidRPr="00BA1DBD">
        <w:t>–</w:t>
      </w:r>
      <w:r w:rsidRPr="00BA1DBD">
        <w:tab/>
        <w:t>Visto el Acuerdo de Asociación entre la Unión Europea y la Comunidad Europea de la Energía Atómica y sus Estados miembros, por una parte, y la República de Moldavia, por otra</w:t>
      </w:r>
      <w:r w:rsidRPr="00BA1DBD">
        <w:rPr>
          <w:vertAlign w:val="superscript"/>
        </w:rPr>
        <w:footnoteReference w:id="3"/>
      </w:r>
      <w:r w:rsidRPr="00BA1DBD">
        <w:t>, que incluye una zona de libre comercio de alcance amplio y profundo,</w:t>
      </w:r>
    </w:p>
    <w:p w14:paraId="59CB727C" w14:textId="77777777" w:rsidR="00A04927" w:rsidRPr="00BA1DBD" w:rsidRDefault="00A04927" w:rsidP="00A04927">
      <w:pPr>
        <w:pStyle w:val="NormalHanging12a"/>
        <w:widowControl/>
      </w:pPr>
      <w:r w:rsidRPr="00BA1DBD">
        <w:t>–</w:t>
      </w:r>
      <w:r w:rsidRPr="00BA1DBD">
        <w:tab/>
        <w:t>Vistas las Conclusiones del Consejo Europeo de 27 de junio de 2025 sobre Moldavia,</w:t>
      </w:r>
    </w:p>
    <w:p w14:paraId="6CF3DC7B" w14:textId="77777777" w:rsidR="00A04927" w:rsidRPr="00BA1DBD" w:rsidRDefault="00A04927" w:rsidP="00A04927">
      <w:pPr>
        <w:pStyle w:val="NormalHanging12a"/>
        <w:widowControl/>
      </w:pPr>
      <w:r w:rsidRPr="00BA1DBD">
        <w:t>–</w:t>
      </w:r>
      <w:r w:rsidRPr="00BA1DBD">
        <w:tab/>
        <w:t>Vistas la visita de tres jefes de Estado o de Gobierno de la Unión (de Francia, Alemania y Polonia) a Moldavia el 27 de agosto de 2025 y la visita del presidente de Rumanía a Moldavia el 31 de agosto de 2025,</w:t>
      </w:r>
    </w:p>
    <w:p w14:paraId="625E47ED" w14:textId="77777777" w:rsidR="00A04927" w:rsidRPr="00BA1DBD" w:rsidRDefault="00A04927" w:rsidP="00A04927">
      <w:pPr>
        <w:pStyle w:val="NormalHanging12a"/>
        <w:widowControl/>
      </w:pPr>
      <w:r w:rsidRPr="00BA1DBD">
        <w:t>–</w:t>
      </w:r>
      <w:r w:rsidRPr="00BA1DBD">
        <w:tab/>
        <w:t>Vista la visita del presidente de la República de Moldavia ante el Parlamento Europeo el 9 de septiembre de 2025,</w:t>
      </w:r>
    </w:p>
    <w:p w14:paraId="55FA4901" w14:textId="77777777" w:rsidR="00A04927" w:rsidRPr="00BA1DBD" w:rsidRDefault="00A04927" w:rsidP="00A04927">
      <w:pPr>
        <w:pStyle w:val="NormalHanging12a"/>
        <w:widowControl/>
      </w:pPr>
      <w:r w:rsidRPr="00BA1DBD">
        <w:t>–</w:t>
      </w:r>
      <w:r w:rsidRPr="00BA1DBD">
        <w:tab/>
        <w:t>Vista la Declaración conjunta tras la primera cumbre UE</w:t>
      </w:r>
      <w:r w:rsidRPr="00BA1DBD">
        <w:noBreakHyphen/>
        <w:t>República de Moldavia de 4 de julio de 2025,</w:t>
      </w:r>
    </w:p>
    <w:p w14:paraId="7DCF9981" w14:textId="77777777" w:rsidR="00A04927" w:rsidRPr="00BA1DBD" w:rsidRDefault="00A04927" w:rsidP="00A04927">
      <w:pPr>
        <w:pStyle w:val="NormalHanging12a"/>
        <w:widowControl/>
      </w:pPr>
      <w:r w:rsidRPr="00BA1DBD">
        <w:t>–</w:t>
      </w:r>
      <w:r w:rsidRPr="00BA1DBD">
        <w:tab/>
        <w:t>Vista la visita de la comisaria de Ampliación a Moldavia el 9 de mayo de 2025 (Día de Europa),</w:t>
      </w:r>
    </w:p>
    <w:p w14:paraId="2040EA84" w14:textId="77777777" w:rsidR="00A04927" w:rsidRPr="00BA1DBD" w:rsidRDefault="00A04927" w:rsidP="00A04927">
      <w:pPr>
        <w:pStyle w:val="NormalHanging12a"/>
        <w:widowControl/>
      </w:pPr>
      <w:r w:rsidRPr="00BA1DBD">
        <w:lastRenderedPageBreak/>
        <w:t>–</w:t>
      </w:r>
      <w:r w:rsidRPr="00BA1DBD">
        <w:tab/>
        <w:t>Visto el artículo 136, apartados 2 y 4, del Reglamento interno,</w:t>
      </w:r>
    </w:p>
    <w:p w14:paraId="75719F25" w14:textId="77777777" w:rsidR="00A04927" w:rsidRPr="00BA1DBD" w:rsidRDefault="00A04927" w:rsidP="00A04927">
      <w:pPr>
        <w:pStyle w:val="NormalHanging12a"/>
        <w:widowControl/>
      </w:pPr>
      <w:r w:rsidRPr="00BA1DBD">
        <w:t>A.</w:t>
      </w:r>
      <w:r w:rsidRPr="00BA1DBD">
        <w:tab/>
        <w:t>Considerando que, el 28 de septiembre de 2025, la República de Moldavia celebrará unas elecciones parlamentarias que determinarán la continuación de la consolidación democrática del país y sus nuevos avances hacia la adhesión a la Unión, así como su futuro como democracia libre y soberana dentro de la Unión; que estas elecciones parlamentarias se celebran en un contexto empañado por la continua injerencia rusa y los esfuerzos por desestabilizar el panorama político y los procesos electorales democráticos del país;</w:t>
      </w:r>
    </w:p>
    <w:p w14:paraId="22F33C70" w14:textId="77777777" w:rsidR="00A04927" w:rsidRPr="00BA1DBD" w:rsidRDefault="00A04927" w:rsidP="00A04927">
      <w:pPr>
        <w:pStyle w:val="NormalHanging12a"/>
        <w:widowControl/>
      </w:pPr>
      <w:r w:rsidRPr="00BA1DBD">
        <w:t>B.</w:t>
      </w:r>
      <w:r w:rsidRPr="00BA1DBD">
        <w:tab/>
        <w:t>Considerando que Moldavia celebró un referéndum el 20 de octubre de 2024 cuyo resultado confirmó que la adhesión a la Unión quedaría consagrada en la Constitución de Moldavia, a pesar del nivel sin precedentes de injerencia manipuladora por parte de Rusia con el objetivo de desestabilizar el país, que incluyó la financiación ilícita de agentes políticos, campañas de desinformación y ciberataques;</w:t>
      </w:r>
    </w:p>
    <w:p w14:paraId="6862610A" w14:textId="77777777" w:rsidR="00A04927" w:rsidRPr="00BA1DBD" w:rsidRDefault="00A04927" w:rsidP="00A04927">
      <w:pPr>
        <w:pStyle w:val="NormalHanging12a"/>
        <w:widowControl/>
        <w:rPr>
          <w:i/>
          <w:iCs/>
        </w:rPr>
      </w:pPr>
      <w:r w:rsidRPr="00BA1DBD">
        <w:t>C.</w:t>
      </w:r>
      <w:r w:rsidRPr="00BA1DBD">
        <w:tab/>
        <w:t>Considerando que existen numerosos informes sobre nuevos e intensificados intentos de desinformación, desestabilización e injerencia por parte de Rusia y los agentes subsidiarios rusos con el objetivo de desbaratar el proceso de reforma democrática e integración europea de Moldavia, reafirmar el control político sobre este país y seguir perfeccionando las tácticas híbridas contra Moldavia, Ucrania y otros países europeos, como recientemente ha sucedido en Rumanía;</w:t>
      </w:r>
    </w:p>
    <w:p w14:paraId="213199FF" w14:textId="77777777" w:rsidR="00A04927" w:rsidRPr="00BA1DBD" w:rsidRDefault="00A04927" w:rsidP="00A04927">
      <w:pPr>
        <w:pStyle w:val="NormalHanging12a"/>
        <w:widowControl/>
      </w:pPr>
      <w:r w:rsidRPr="00BA1DBD">
        <w:t>D.</w:t>
      </w:r>
      <w:r w:rsidRPr="00BA1DBD">
        <w:tab/>
        <w:t xml:space="preserve">Considerando que, tras la reunión del Consejo Supremo de Seguridad celebrada el 30 de julio de 2025, la presidenta Maia </w:t>
      </w:r>
      <w:proofErr w:type="spellStart"/>
      <w:r w:rsidRPr="00BA1DBD">
        <w:t>Sandu</w:t>
      </w:r>
      <w:proofErr w:type="spellEnd"/>
      <w:r w:rsidRPr="00BA1DBD">
        <w:t xml:space="preserve"> presentó las conclusiones de las instituciones especializadas de Moldavia en relación con los métodos de guerra híbrida, en las que se identificaba el uso de diez instrumentos principales de injerencia extranjera en los procesos políticos y electorales de Moldavia;</w:t>
      </w:r>
    </w:p>
    <w:p w14:paraId="06ED8B8E" w14:textId="77777777" w:rsidR="00A04927" w:rsidRPr="00BA1DBD" w:rsidRDefault="00A04927" w:rsidP="00A04927">
      <w:pPr>
        <w:pStyle w:val="NormalHanging12a"/>
        <w:widowControl/>
      </w:pPr>
      <w:r w:rsidRPr="00BA1DBD">
        <w:t>E.</w:t>
      </w:r>
      <w:r w:rsidRPr="00BA1DBD">
        <w:tab/>
        <w:t>Considerando que, el 15 de julio de 2025, la Unión impuso medidas restrictivas contra</w:t>
      </w:r>
      <w:r w:rsidRPr="00BA1DBD">
        <w:rPr>
          <w:rStyle w:val="Strong"/>
          <w:color w:val="000000"/>
        </w:rPr>
        <w:t xml:space="preserve"> </w:t>
      </w:r>
      <w:r w:rsidRPr="005D706A">
        <w:rPr>
          <w:rStyle w:val="Strong"/>
          <w:b w:val="0"/>
          <w:color w:val="000000"/>
        </w:rPr>
        <w:t xml:space="preserve">siete personas </w:t>
      </w:r>
      <w:r w:rsidRPr="005D706A">
        <w:rPr>
          <w:b/>
        </w:rPr>
        <w:t xml:space="preserve">y </w:t>
      </w:r>
      <w:r w:rsidRPr="005D706A">
        <w:rPr>
          <w:rStyle w:val="Strong"/>
          <w:b w:val="0"/>
          <w:color w:val="000000"/>
        </w:rPr>
        <w:t>tres entidades</w:t>
      </w:r>
      <w:r w:rsidRPr="00BA1DBD">
        <w:rPr>
          <w:rStyle w:val="Strong"/>
          <w:color w:val="000000"/>
        </w:rPr>
        <w:t xml:space="preserve"> </w:t>
      </w:r>
      <w:r w:rsidRPr="00BA1DBD">
        <w:t>responsables de acciones destinadas a desestabilizar, menoscabar o amenazar la soberanía y la independencia de Moldavia, así como la democracia, el Estado de Derecho y la estabilidad en este país; que estas medidas restrictivas se dirigen contra colaboradores cercanos de Ilan Shor y del partido político ilegalizado ȘOR, que han participado activamente en programas de compra de votos y de soborno a políticos corruptos;</w:t>
      </w:r>
    </w:p>
    <w:p w14:paraId="620F77BD" w14:textId="77777777" w:rsidR="00A04927" w:rsidRDefault="00A04927" w:rsidP="00A04927">
      <w:pPr>
        <w:pStyle w:val="NormalHanging12a"/>
        <w:widowControl/>
      </w:pPr>
      <w:r w:rsidRPr="00BA1DBD">
        <w:t>F.</w:t>
      </w:r>
      <w:r w:rsidRPr="00BA1DBD">
        <w:tab/>
        <w:t>Considerando que los medios de comunicación independientes y la sociedad civil de Moldavia desempeñan un papel crucial a la hora de sacar a la luz la desinformación, reforzar la resiliencia y defender los valores democráticos; que la República de Moldavia ha conseguido consolidar significativamente su democracia, proseguir su trayectoria de reformas y desarrollar sus relaciones con la Unión; que las mejoras en el sistema democrático del país se han reflejado en sus progresos en diversos indicadores internacionales; que Moldavia ha realizado avances notables en lo que respecta a las reformas judiciales, incluida la investigación y la reestructuración del poder judicial, el refuerzo de su independencia y la mejora de la normativa contra la corrupción; que la confianza pública en las instituciones democráticas es esencial para la estabilidad y la resiliencia de Moldavia frente a las injerencias malintencionadas;</w:t>
      </w:r>
    </w:p>
    <w:p w14:paraId="48A4CBBF" w14:textId="36776129" w:rsidR="00A02BFA" w:rsidRPr="00BA1DBD" w:rsidRDefault="00A02BFA" w:rsidP="00A04927">
      <w:pPr>
        <w:pStyle w:val="NormalHanging12a"/>
        <w:widowControl/>
      </w:pPr>
      <w:r>
        <w:t>G.</w:t>
      </w:r>
      <w:r>
        <w:tab/>
      </w:r>
      <w:r w:rsidRPr="00981D48">
        <w:rPr>
          <w:bCs/>
          <w:iCs/>
        </w:rPr>
        <w:t xml:space="preserve">Considerando que una investigación periodística reciente, basada en la infiltración de un periodista encubierto en la red del Partido ȘOR en 2024, reveló que se habían creado cientos de cuentas falsas, gestionadas por activistas del bloque político de la Victoria y </w:t>
      </w:r>
      <w:r w:rsidRPr="00981D48">
        <w:rPr>
          <w:bCs/>
          <w:iCs/>
        </w:rPr>
        <w:lastRenderedPageBreak/>
        <w:t xml:space="preserve">controladas por Ilan Shor desde Moscú, para difundir propaganda rusa en TikTok y Facebook; que este contenido antieuropeo se ajusta plenamente a los discursos del Kremlin y fue objeto de un seguimiento y una coordinación sistemáticos a través de grupos y canales secretos de </w:t>
      </w:r>
      <w:proofErr w:type="spellStart"/>
      <w:r w:rsidRPr="00981D48">
        <w:rPr>
          <w:bCs/>
          <w:iCs/>
        </w:rPr>
        <w:t>Telegram</w:t>
      </w:r>
      <w:proofErr w:type="spellEnd"/>
      <w:r>
        <w:rPr>
          <w:rStyle w:val="FootnoteReference"/>
          <w:bCs/>
          <w:iCs/>
        </w:rPr>
        <w:footnoteReference w:id="4"/>
      </w:r>
      <w:r w:rsidRPr="00941DB3">
        <w:rPr>
          <w:b/>
          <w:i/>
        </w:rPr>
        <w:t>;</w:t>
      </w:r>
    </w:p>
    <w:p w14:paraId="06716D7F" w14:textId="6274A86A" w:rsidR="00A04927" w:rsidRPr="00BA1DBD" w:rsidRDefault="00336FBE" w:rsidP="00A04927">
      <w:pPr>
        <w:pStyle w:val="NormalHanging12a"/>
        <w:widowControl/>
      </w:pPr>
      <w:r>
        <w:t>H</w:t>
      </w:r>
      <w:r w:rsidR="00A04927" w:rsidRPr="00BA1DBD">
        <w:t>.</w:t>
      </w:r>
      <w:r w:rsidR="00A04927" w:rsidRPr="00BA1DBD">
        <w:tab/>
        <w:t>Considerando que es importante demostrar públicamente una solidaridad inquebrantable con el pueblo de Moldavia, que se ha visto gravemente afectado por el impacto de la guerra de agresión de Rusia contra Ucrania, así como por las continuas y selectivas amenazas híbridas rusas destinadas a desestabilizar políticamente el país, socavar su prosperidad económica y debilitar la cohesión social;</w:t>
      </w:r>
    </w:p>
    <w:p w14:paraId="488260D3" w14:textId="306DDCA0" w:rsidR="00A04927" w:rsidRPr="00BA1DBD" w:rsidRDefault="00336FBE" w:rsidP="00A04927">
      <w:pPr>
        <w:pStyle w:val="NormalHanging12a"/>
        <w:widowControl/>
      </w:pPr>
      <w:r>
        <w:t>I</w:t>
      </w:r>
      <w:r w:rsidR="00A04927" w:rsidRPr="00BA1DBD">
        <w:t>.</w:t>
      </w:r>
      <w:r w:rsidR="00A04927" w:rsidRPr="00BA1DBD">
        <w:tab/>
        <w:t>Considerando que, según estimaciones moldavas, Rusia ya ha invertido más de 200 millones EUR, lo que equivale a más del 1 % del PIB de Moldavia, en operaciones de propaganda e información en la República de Moldavia;</w:t>
      </w:r>
    </w:p>
    <w:p w14:paraId="4CC967A0" w14:textId="01B5B21B" w:rsidR="00A04927" w:rsidRPr="00BA1DBD" w:rsidRDefault="00336FBE" w:rsidP="00A04927">
      <w:pPr>
        <w:pStyle w:val="NormalHanging12a"/>
        <w:widowControl/>
      </w:pPr>
      <w:r>
        <w:t>J</w:t>
      </w:r>
      <w:r w:rsidR="00A04927" w:rsidRPr="00BA1DBD">
        <w:t>.</w:t>
      </w:r>
      <w:r w:rsidR="00A04927" w:rsidRPr="00BA1DBD">
        <w:tab/>
        <w:t>Considerando que la participación de una delegación del Parlamento Europeo en la misión internacional de observación de elecciones de la Oficina de Instituciones Democráticas y Derechos Humanos (OIDDH) de la Organización para la Seguridad y la Cooperación en Europa (OSCE) para las elecciones parlamentarias moldavas del 28 de septiembre de 2025 demuestra el compromiso del Parlamento de apoyar la integridad de los procesos electorales y de reforzar las instituciones democráticas en Moldavia;</w:t>
      </w:r>
    </w:p>
    <w:p w14:paraId="65995152" w14:textId="327E7054" w:rsidR="00A04927" w:rsidRPr="00BA1DBD" w:rsidRDefault="00336FBE" w:rsidP="00A04927">
      <w:pPr>
        <w:pStyle w:val="NormalHanging12a"/>
        <w:widowControl/>
      </w:pPr>
      <w:r>
        <w:t>K</w:t>
      </w:r>
      <w:r w:rsidR="00A04927" w:rsidRPr="00BA1DBD">
        <w:t>.</w:t>
      </w:r>
      <w:r w:rsidR="00A04927" w:rsidRPr="00BA1DBD">
        <w:tab/>
        <w:t>Considerando que en las Conclusiones del Consejo Europeo de junio de 2025 se reafirmó el pleno apoyo a Moldavia en su senda hacia la adhesión a la Unión y se invitó al Consejo a dar los próximos pasos en el proceso de adhesión; que la ampliación de la Unión se basa en una condicionalidad estricta y en el principio de que cada país candidato es evaluado en función de sus propios méritos y del progreso de las reformas;</w:t>
      </w:r>
    </w:p>
    <w:p w14:paraId="45D19BB8" w14:textId="77777777" w:rsidR="00A04927" w:rsidRPr="00BA1DBD" w:rsidRDefault="00A04927" w:rsidP="00A04927">
      <w:pPr>
        <w:pStyle w:val="NormalHanging12a"/>
        <w:widowControl/>
      </w:pPr>
      <w:r w:rsidRPr="00BA1DBD">
        <w:t>1.</w:t>
      </w:r>
      <w:r w:rsidRPr="00BA1DBD">
        <w:tab/>
        <w:t>Se solidariza con el pueblo de la República de Moldavia y reitera su pleno apoyo a la independencia, la soberanía y la integridad territorial de este país, así como a sus esfuerzos por defender la integridad de sus procesos democráticos, la soberanía de sus decisiones en materia de política exterior y las perspectivas socioeconómicas de su pueblo; pide, por tanto, a Rusia que respete la independencia, la soberanía y la integridad territorial de Moldavia y ponga fin a sus intentos de socavar el orden constitucional y las instituciones democráticas de Moldavia;</w:t>
      </w:r>
    </w:p>
    <w:p w14:paraId="154FAF06" w14:textId="77777777" w:rsidR="00A04927" w:rsidRPr="00BA1DBD" w:rsidRDefault="00A04927" w:rsidP="00A04927">
      <w:pPr>
        <w:pStyle w:val="NormalHanging12a"/>
        <w:widowControl/>
        <w:rPr>
          <w:szCs w:val="24"/>
        </w:rPr>
      </w:pPr>
      <w:r w:rsidRPr="00BA1DBD">
        <w:t>2.</w:t>
      </w:r>
      <w:r w:rsidRPr="00BA1DBD">
        <w:tab/>
        <w:t>Condena los reiterados intentos por parte de la Federación de Rusia, oligarcas prorrusos y agentes subsidiarios locales patrocinados por Rusia de desestabilizar Moldavia, sembrar divisiones dentro de la sociedad moldava y frustrar la democracia y los avances del país hacia la adhesión a la Unión mediante ataques híbridos, la manipulación del suministro de energía para lograr resultados políticos, la financiación ilícita de agentes políticos y las campañas de desinformación, manipulación e intimidación dirigidas contra organizaciones de la sociedad civil y medios de comunicación independientes;</w:t>
      </w:r>
    </w:p>
    <w:p w14:paraId="2CFA301B" w14:textId="77777777" w:rsidR="00A04927" w:rsidRPr="00BA1DBD" w:rsidRDefault="00A04927" w:rsidP="00A04927">
      <w:pPr>
        <w:pStyle w:val="NormalHanging12a"/>
        <w:widowControl/>
        <w:rPr>
          <w:szCs w:val="24"/>
        </w:rPr>
      </w:pPr>
      <w:r w:rsidRPr="00BA1DBD">
        <w:t>3.</w:t>
      </w:r>
      <w:r w:rsidRPr="00BA1DBD">
        <w:tab/>
        <w:t>Condena la intensificación de las operaciones híbridas y los intentos de injerencia de Rusia antes de las elecciones parlamentarias del 28 de septiembre de 2025, cuyo objetivo claramente es desestabilizar el país y revertir su rumbo democrático y sus decisiones soberanas, en particular en relación con la futura adhesión a la Unión;</w:t>
      </w:r>
    </w:p>
    <w:p w14:paraId="151434C2" w14:textId="77777777" w:rsidR="00A04927" w:rsidRPr="00BA1DBD" w:rsidRDefault="00A04927" w:rsidP="00A04927">
      <w:pPr>
        <w:pStyle w:val="NormalHanging12a"/>
        <w:widowControl/>
        <w:rPr>
          <w:szCs w:val="24"/>
          <w:shd w:val="clear" w:color="auto" w:fill="FFFFFF"/>
        </w:rPr>
      </w:pPr>
      <w:r w:rsidRPr="00BA1DBD">
        <w:lastRenderedPageBreak/>
        <w:t>4.</w:t>
      </w:r>
      <w:r w:rsidRPr="00BA1DBD">
        <w:tab/>
      </w:r>
      <w:r w:rsidRPr="00BA1DBD">
        <w:rPr>
          <w:shd w:val="clear" w:color="auto" w:fill="FFFFFF"/>
        </w:rPr>
        <w:t>Elogia el compromiso ejemplar de Moldavia y sus constantes avances en las reformas relacionadas con la adhesión a la Unión —a pesar de los importantes retos internos y externos, como la guerra de agresión a gran escala de Rusia contra Ucrania y las selectivas amenazas híbridas rusas contra Moldavia—, lo que ha permitido que las negociaciones de adhesión comenzaran en junio de 2024</w:t>
      </w:r>
      <w:r w:rsidRPr="00BA1DBD">
        <w:rPr>
          <w:rStyle w:val="highlight-diff"/>
          <w:color w:val="000000"/>
          <w:shd w:val="clear" w:color="auto" w:fill="FFFFFF"/>
        </w:rPr>
        <w:t>, tan solo seis meses después de la correspondiente Decisión del Consejo Europeo, de 14 de diciembre de 2023, y menos de dos años después de la solicitud de adhesión a la Unión de Moldavia, de 3 de marzo de 2022</w:t>
      </w:r>
      <w:r w:rsidRPr="00BA1DBD">
        <w:rPr>
          <w:shd w:val="clear" w:color="auto" w:fill="FFFFFF"/>
        </w:rPr>
        <w:t xml:space="preserve">; </w:t>
      </w:r>
      <w:r w:rsidRPr="00BA1DBD">
        <w:rPr>
          <w:rStyle w:val="highlight-diff"/>
          <w:color w:val="000000"/>
          <w:shd w:val="clear" w:color="auto" w:fill="FFFFFF"/>
        </w:rPr>
        <w:t>pide al Consejo y a la Comisión que defiendan el principio basado en los méritos evaluando individualmente a cada país candidato, garantizando que los avances en las etapas de adhesión, incluida la apertura de capítulos de negociación, vengan determinados por sus propios logros y circunstancias;</w:t>
      </w:r>
      <w:r w:rsidRPr="00BA1DBD">
        <w:t xml:space="preserve"> </w:t>
      </w:r>
      <w:r w:rsidRPr="00BA1DBD">
        <w:rPr>
          <w:shd w:val="clear" w:color="auto" w:fill="FFFFFF"/>
        </w:rPr>
        <w:t>reafirma su apoyo inquebrantable a las perspectivas de adhesión de Moldavia a la Unión; insta, además, al Consejo a que abra rápidamente las negociaciones de adhesión sobre el grupo temático 1 (Fundamentos básicos), en reconocimiento del importante progreso logrado por Moldavia en la implementación de reformas cruciales;</w:t>
      </w:r>
    </w:p>
    <w:p w14:paraId="4338ABC0" w14:textId="77777777" w:rsidR="00A04927" w:rsidRPr="00BA1DBD" w:rsidRDefault="00A04927" w:rsidP="00A04927">
      <w:pPr>
        <w:pStyle w:val="NormalHanging12a"/>
        <w:widowControl/>
        <w:rPr>
          <w:szCs w:val="24"/>
        </w:rPr>
      </w:pPr>
      <w:r w:rsidRPr="00BA1DBD">
        <w:rPr>
          <w:shd w:val="clear" w:color="auto" w:fill="FFFFFF"/>
        </w:rPr>
        <w:t>5.</w:t>
      </w:r>
      <w:r w:rsidRPr="00BA1DBD">
        <w:rPr>
          <w:shd w:val="clear" w:color="auto" w:fill="FFFFFF"/>
        </w:rPr>
        <w:tab/>
        <w:t>Pide a la Unión que siga apoyando a la República de Moldavia a la hora de garantizar la celebración de elecciones libres, justas y transparentes; subraya el papel clave de los observadores internacionales no solo en la supervisión del proceso electoral, sino también en el seguimiento y la documentación de las injerencias extranjeras malintencionadas, en particular la desinformación, la financiación ilícita y la coordinación de operaciones cibernéticas o de influencia en la información;</w:t>
      </w:r>
    </w:p>
    <w:p w14:paraId="7021C435" w14:textId="77777777" w:rsidR="00A04927" w:rsidRPr="00BA1DBD" w:rsidRDefault="00A04927" w:rsidP="00A04927">
      <w:pPr>
        <w:pStyle w:val="NormalHanging12a"/>
        <w:widowControl/>
      </w:pPr>
      <w:r w:rsidRPr="00BA1DBD">
        <w:t>6.</w:t>
      </w:r>
      <w:r w:rsidRPr="00BA1DBD">
        <w:tab/>
        <w:t>Manifiesta su firme convicción de que la capacidad de Moldavia para consolidar sus avances actuales en las reformas relacionadas con la adhesión a la Unión y de mantener el ambicioso ritmo para convertirse en Estado miembro requerirá el apoyo firme y legítimo de su Parlamento;</w:t>
      </w:r>
    </w:p>
    <w:p w14:paraId="5A710ED4" w14:textId="77777777" w:rsidR="00A04927" w:rsidRPr="00BA1DBD" w:rsidRDefault="00A04927" w:rsidP="00A04927">
      <w:pPr>
        <w:pStyle w:val="NormalHanging12a"/>
        <w:widowControl/>
      </w:pPr>
      <w:r w:rsidRPr="00BA1DBD">
        <w:t>7.</w:t>
      </w:r>
      <w:r w:rsidRPr="00BA1DBD">
        <w:tab/>
        <w:t>Toma nota con satisfacción de los esfuerzos de la Unión por prestar apoyo político a Moldavia al más alto nivel, en particular la primera cumbre UE</w:t>
      </w:r>
      <w:r w:rsidRPr="00BA1DBD">
        <w:noBreakHyphen/>
        <w:t>Moldavia celebrada en Chisináu el 4 de julio de 2025, la visita de los jefes de Estado o de Gobierno de la Unión (de Francia, Alemania y Polonia) a Moldavia el 27 de agosto de 2025 y la visita del presidente de Rumanía a Moldavia el 31 de agosto de 2025, que han servido para reafirmar la perspectiva clara de adhesión de Moldavia a la Unión sobre la base del mérito y el respeto de los principios democráticos;</w:t>
      </w:r>
    </w:p>
    <w:p w14:paraId="3E52B24F" w14:textId="77777777" w:rsidR="00A04927" w:rsidRPr="00BA1DBD" w:rsidRDefault="00A04927" w:rsidP="00A04927">
      <w:pPr>
        <w:pStyle w:val="NormalHanging12a"/>
        <w:widowControl/>
        <w:rPr>
          <w:rStyle w:val="NormalHanging12aChar"/>
          <w:color w:val="000000"/>
          <w:szCs w:val="24"/>
        </w:rPr>
      </w:pPr>
      <w:r w:rsidRPr="00BA1DBD">
        <w:t>8.</w:t>
      </w:r>
      <w:r w:rsidRPr="00BA1DBD">
        <w:tab/>
      </w:r>
      <w:r w:rsidRPr="00BA1DBD">
        <w:rPr>
          <w:rStyle w:val="NormalHanging12aChar"/>
          <w:color w:val="000000"/>
        </w:rPr>
        <w:t xml:space="preserve">Reitera su llamamiento a la Unión para que siga acompañando su apoyo político con un apoyo financiero y técnico cada vez mayor a los esfuerzos del Gobierno moldavo por contrarrestar las injerencias extranjeras en los procesos democráticos del país, también mediante la adopción de más sanciones —como las adoptadas el 15 de julio de 2025—, la concesión de apoyo adicional a la Misión de Cooperación de la Unión Europea en Moldavia, el intercambio de información sobre flujos financieros sospechosos, incluidas las criptomonedas, así como sobre redes de financiación opacas o ilegales, y el intercambio de conocimientos especializados en materia de manipulación de información e injerencia por parte de agentes extranjeros, lucha contra las amenazas híbridas y fortalecimiento de la </w:t>
      </w:r>
      <w:bookmarkStart w:id="7" w:name="_Hlk194942091"/>
      <w:r w:rsidRPr="00BA1DBD">
        <w:rPr>
          <w:rStyle w:val="NormalHanging12aChar"/>
          <w:color w:val="000000"/>
        </w:rPr>
        <w:t>resiliencia; pide nuevamente a las autoridades moldavas y a la Unión que aumenten su apoyo a los medios de comunicación independientes y a la sociedad civil prodemocrática, con el fin de permitir que los periodistas a escala nacional y regional contrarresten la manipulación de información e injerencia por parte de agentes extranjeros y de reforzar la alfabetización digital;</w:t>
      </w:r>
      <w:bookmarkEnd w:id="7"/>
      <w:r w:rsidRPr="00BA1DBD">
        <w:rPr>
          <w:rStyle w:val="NormalHanging12aChar"/>
          <w:color w:val="000000"/>
        </w:rPr>
        <w:t xml:space="preserve"> acoge con satisfacción el anuncio de la Comisión de crear un nuevo centro regional del Observatorio Europeo de los Medios de Comunicación Digitales (EDMO) para apoyar a Moldavia y Ucrania en </w:t>
      </w:r>
      <w:r w:rsidRPr="00BA1DBD">
        <w:rPr>
          <w:rStyle w:val="NormalHanging12aChar"/>
          <w:color w:val="000000"/>
        </w:rPr>
        <w:lastRenderedPageBreak/>
        <w:t xml:space="preserve">la lucha contra la desinformación; insta a las principales plataformas en línea, en particular Meta, Google, </w:t>
      </w:r>
      <w:proofErr w:type="spellStart"/>
      <w:r w:rsidRPr="00BA1DBD">
        <w:rPr>
          <w:rStyle w:val="NormalHanging12aChar"/>
          <w:color w:val="000000"/>
        </w:rPr>
        <w:t>Telegram</w:t>
      </w:r>
      <w:proofErr w:type="spellEnd"/>
      <w:r w:rsidRPr="00BA1DBD">
        <w:rPr>
          <w:rStyle w:val="NormalHanging12aChar"/>
          <w:color w:val="000000"/>
        </w:rPr>
        <w:t xml:space="preserve">, TikTok, Microsoft y </w:t>
      </w:r>
      <w:proofErr w:type="spellStart"/>
      <w:r w:rsidRPr="00BA1DBD">
        <w:rPr>
          <w:rStyle w:val="NormalHanging12aChar"/>
          <w:color w:val="000000"/>
        </w:rPr>
        <w:t>Rakuten</w:t>
      </w:r>
      <w:proofErr w:type="spellEnd"/>
      <w:r w:rsidRPr="00BA1DBD">
        <w:rPr>
          <w:rStyle w:val="NormalHanging12aChar"/>
          <w:color w:val="000000"/>
        </w:rPr>
        <w:t>, a que cooperen estrechamente con las autoridades moldavas, la sociedad civil y el nuevo centro del EDMO; pide a Moldavia que adapte sin demora su legislación al Reglamento de Mercados Digitales</w:t>
      </w:r>
      <w:r w:rsidRPr="00BA1DBD">
        <w:rPr>
          <w:rStyle w:val="FootnoteReference"/>
          <w:color w:val="000000"/>
        </w:rPr>
        <w:footnoteReference w:id="5"/>
      </w:r>
      <w:r w:rsidRPr="00BA1DBD">
        <w:rPr>
          <w:rStyle w:val="NormalHanging12aChar"/>
          <w:color w:val="000000"/>
        </w:rPr>
        <w:t xml:space="preserve"> y al Reglamento de Servicios Digitales</w:t>
      </w:r>
      <w:r w:rsidRPr="00BA1DBD">
        <w:rPr>
          <w:rStyle w:val="FootnoteReference"/>
          <w:color w:val="000000"/>
        </w:rPr>
        <w:footnoteReference w:id="6"/>
      </w:r>
      <w:r w:rsidRPr="00BA1DBD">
        <w:rPr>
          <w:rStyle w:val="NormalHanging12aChar"/>
          <w:color w:val="000000"/>
        </w:rPr>
        <w:t xml:space="preserve"> de la Unión; pide a la Comisión que ofrezca un apoyo específico a Moldavia a este respecto;</w:t>
      </w:r>
    </w:p>
    <w:p w14:paraId="058F4BA2" w14:textId="77777777" w:rsidR="00A04927" w:rsidRPr="00BA1DBD" w:rsidRDefault="00A04927" w:rsidP="00A04927">
      <w:pPr>
        <w:pStyle w:val="NormalHanging12a"/>
        <w:widowControl/>
        <w:rPr>
          <w:szCs w:val="24"/>
        </w:rPr>
      </w:pPr>
      <w:r w:rsidRPr="00BA1DBD">
        <w:t>9.</w:t>
      </w:r>
      <w:r w:rsidRPr="00BA1DBD">
        <w:tab/>
        <w:t>Anima a las autoridades moldavas a que aprovechen plenamente la experiencia de la Misión de Cooperación de la Unión Europea en Moldavia para contrarrestar cualquier injerencia electoral reiterada de cara a las elecciones parlamentarias del 28 de septiembre de 2025; anima al Servicio Europeo de Acción Exterior y a la Comisión a que utilicen todos los instrumentos de la Unión disponibles para apoyar a Moldavia en la lucha contra las amenazas híbridas, también mediante el equipo de respuesta rápida contra amenazas híbridas, el equipo de respuesta telemática rápida y la Reserva de Ciberseguridad; acoge con satisfacción los esfuerzos del Centro de Comunicaciones Estratégicas y Lucha contra la Desinformación de Moldavia para coordinar la lucha contra las injerencias extranjeras entre las instituciones moldavas, así como los esfuerzos de la Agencia Nacional para la Ciberseguridad y el Instituto Nacional de Innovación en Ciberseguridad, y pide a la Unión que les conceda un apoyo mayor; reitera la importancia de mejorar el intercambio de información y la cooperación en materia de inteligencia sobre amenazas a la seguridad entre Moldavia y la Unión y sus Estados miembros; pide a la Unión que extraiga conclusiones de la experiencia adquirida en Moldavia que puedan aplicarse para proteger los procesos electorales y las instituciones democráticas de la propia Unión;</w:t>
      </w:r>
    </w:p>
    <w:p w14:paraId="65552B8A" w14:textId="77777777" w:rsidR="00A04927" w:rsidRPr="00BA1DBD" w:rsidRDefault="00A04927" w:rsidP="00A04927">
      <w:pPr>
        <w:pStyle w:val="NormalHanging12a"/>
        <w:widowControl/>
        <w:rPr>
          <w:szCs w:val="24"/>
        </w:rPr>
      </w:pPr>
      <w:r w:rsidRPr="00BA1DBD">
        <w:t>10.</w:t>
      </w:r>
      <w:r w:rsidRPr="00BA1DBD">
        <w:tab/>
        <w:t>Toma nota de la alineación constante de Moldavia con las posiciones de la Unión en materia de política exterior y de seguridad común, de la puesta en marcha de su asociación en materia de seguridad y defensa con la Unión desde 2024 y de su nueva estrategia nacional de defensa para el período 2024-2034; pide, por tanto, a los Estados miembros que aumenten la financiación destinada a Moldavia a través del Fondo Europeo de Apoyo a la Paz, en particular a la luz de las reiteradas violaciones del espacio aéreo moldavo por parte de drones y misiles rusos, y que incluyan a Moldavia en la adquisición conjunta de equipos de defensa en el marco del Programa para la Industria de Defensa Europea; destaca el papel de Moldavia en la seguridad y la estabilidad de la frontera oriental de la Unión y de la región del mar Negro, en un contexto de crisis humanitaria y energética provocadas por la guerra de agresión rusa contra Ucrania;</w:t>
      </w:r>
    </w:p>
    <w:p w14:paraId="0F7434FD" w14:textId="77777777" w:rsidR="00A04927" w:rsidRPr="00BA1DBD" w:rsidRDefault="00A04927" w:rsidP="00A04927">
      <w:pPr>
        <w:pStyle w:val="NormalHanging12a"/>
        <w:widowControl/>
      </w:pPr>
      <w:r w:rsidRPr="00BA1DBD">
        <w:t>11.</w:t>
      </w:r>
      <w:r w:rsidRPr="00BA1DBD">
        <w:tab/>
        <w:t xml:space="preserve">Pide a la Federación de Rusia que retire sus equipos, municiones y fuerzas militares de la región de </w:t>
      </w:r>
      <w:proofErr w:type="spellStart"/>
      <w:r w:rsidRPr="00BA1DBD">
        <w:t>Transnistria</w:t>
      </w:r>
      <w:proofErr w:type="spellEnd"/>
      <w:r w:rsidRPr="00BA1DBD">
        <w:t xml:space="preserve"> y que apoye una resolución pacífica del conflicto de conformidad con el Derecho internacional y respetando la soberanía y la integridad territorial de Moldavia;</w:t>
      </w:r>
    </w:p>
    <w:p w14:paraId="782177F1" w14:textId="37A81B0A" w:rsidR="00A04927" w:rsidRPr="00BA1DBD" w:rsidRDefault="00A04927" w:rsidP="00A04927">
      <w:pPr>
        <w:pStyle w:val="NormalHanging12a"/>
        <w:widowControl/>
        <w:rPr>
          <w:szCs w:val="24"/>
        </w:rPr>
      </w:pPr>
      <w:r w:rsidRPr="00BA1DBD">
        <w:lastRenderedPageBreak/>
        <w:t>12.</w:t>
      </w:r>
      <w:r w:rsidRPr="00BA1DBD">
        <w:tab/>
        <w:t>Insta a las autoridades y a la sociedad civil de Moldavia y a la Unión a que mejoren la comunicación estratégica, refuten y combatan los discursos falsos promovidos por Rusia sobre la Unión y sus políticas y pongan de relieve los beneficios concretos a corto y largo plazo de la adhesión a la Unión para las personas de toda Moldavia</w:t>
      </w:r>
      <w:bookmarkStart w:id="8" w:name="_Hlk196923727"/>
      <w:r w:rsidRPr="00BA1DBD">
        <w:t xml:space="preserve">, prestando especial atención a la comunicación en regiones como </w:t>
      </w:r>
      <w:proofErr w:type="spellStart"/>
      <w:r w:rsidRPr="00BA1DBD">
        <w:t>Gagauzia</w:t>
      </w:r>
      <w:proofErr w:type="spellEnd"/>
      <w:r w:rsidRPr="00BA1DBD">
        <w:t xml:space="preserve"> y en comunidades socioeconómicamente desfavorecidas de las zonas rurales;</w:t>
      </w:r>
      <w:bookmarkEnd w:id="8"/>
      <w:r w:rsidRPr="00BA1DBD">
        <w:t xml:space="preserve"> expresa su disposición a seguir apoyando al Parlamento de Moldavia a través de actividades en favor de la democracia mutuamente acordadas; recomienda, por tanto, que se haga pleno uso de la Oficina de Enlace del Parlamento Europeo en Chisináu para difundir información, combatir la desinformación y fomentar la participación ciudadana, contribuyendo de este modo a reforzar la resiliencia democrática de Moldavia; expresa su profunda preocupación por la amplia campaña rusa de explotación de la homofobia, incluidas las intimidaciones y las agresiones físicas, y pide a la Comisión, a los Estados miembros y a Moldavia que inviertan en la resiliencia de la sociedad moldava abogando por la igualdad para todos, independientemente de la orientación sexual o la identidad de género;</w:t>
      </w:r>
    </w:p>
    <w:p w14:paraId="370354EF" w14:textId="2CC06124" w:rsidR="00A04927" w:rsidRDefault="00A04927" w:rsidP="00A04927">
      <w:pPr>
        <w:pStyle w:val="NormalHanging12a"/>
        <w:widowControl/>
      </w:pPr>
      <w:r w:rsidRPr="00BA1DBD">
        <w:t>13.</w:t>
      </w:r>
      <w:r w:rsidRPr="00BA1DBD">
        <w:tab/>
        <w:t>Observa que la estrategia de seguridad nacional de Rusia, aprobada por el presidente Putin el 31 de diciembre de 2015, sobre la base de la doctrina militar publicada el 25 de diciembre de 2014, defiende explícitamente los denominados valores espirituales y morales tradicionales rusos frente a la influencia percibida de Occidente, lo que demuestra la instrumentalización rusa de dichos valores y de sus instituciones con fines estratégicos; expresa su preocupación por la instrumentalización por parte de Rusia de los denominados valores tradicionales rusos y subraya que uno de los principales canales de propaganda rusa en Moldavia es la metrópolis de Chisináu y toda Moldavia, afiliada a Moscú y sujeta a la Iglesia ortodoxa rusa;</w:t>
      </w:r>
      <w:r w:rsidR="00105A5D">
        <w:t xml:space="preserve"> </w:t>
      </w:r>
      <w:r w:rsidR="00105A5D" w:rsidRPr="00981D48">
        <w:rPr>
          <w:bCs/>
          <w:iCs/>
        </w:rPr>
        <w:t xml:space="preserve">subraya que, en abril de 2024, la Asamblea Parlamentaria del Consejo de Europa reconoció a la Iglesia ortodoxa rusa como instrumento de propaganda del Kremlin y que, en agosto de 2024, el patriarca ecuménico de Constantinopla la tachó de militarista, </w:t>
      </w:r>
      <w:proofErr w:type="spellStart"/>
      <w:r w:rsidR="00105A5D" w:rsidRPr="00981D48">
        <w:rPr>
          <w:bCs/>
          <w:iCs/>
        </w:rPr>
        <w:t>etnonacionalista</w:t>
      </w:r>
      <w:proofErr w:type="spellEnd"/>
      <w:r w:rsidR="00105A5D" w:rsidRPr="00981D48">
        <w:rPr>
          <w:bCs/>
          <w:iCs/>
        </w:rPr>
        <w:t xml:space="preserve"> y herética;</w:t>
      </w:r>
      <w:r w:rsidRPr="00BA1DBD">
        <w:t xml:space="preserve"> condena la intimidación del clero de la metrópolis ortodoxa de Besarabia por parte de agentes subsidiarios rusos</w:t>
      </w:r>
      <w:r w:rsidR="007D286A">
        <w:rPr>
          <w:rStyle w:val="FootnoteReference"/>
        </w:rPr>
        <w:footnoteReference w:id="7"/>
      </w:r>
      <w:r w:rsidRPr="00BA1DBD">
        <w:t>;</w:t>
      </w:r>
    </w:p>
    <w:p w14:paraId="5D5AD83B" w14:textId="0B53097B" w:rsidR="00105A5D" w:rsidRPr="00BA1DBD" w:rsidRDefault="00105A5D" w:rsidP="00A04927">
      <w:pPr>
        <w:pStyle w:val="NormalHanging12a"/>
        <w:widowControl/>
      </w:pPr>
      <w:r>
        <w:t>14.</w:t>
      </w:r>
      <w:r>
        <w:tab/>
      </w:r>
      <w:r w:rsidRPr="00981D48">
        <w:rPr>
          <w:bCs/>
          <w:iCs/>
        </w:rPr>
        <w:t>Reconoce a la metrópolis ortodoxa de Besarabia como víctima de la opresión soviética; observa que, desde su abolición abusiva por parte de las autoridades soviéticas, la metrópolis ortodoxa de Besarabia no fue reconocida oficialmente hasta la decisión adoptada por el Tribunal Europeo de Derechos Humanos en 2002;</w:t>
      </w:r>
    </w:p>
    <w:p w14:paraId="15DE1C62" w14:textId="472214EA" w:rsidR="00A04927" w:rsidRPr="00BA1DBD" w:rsidRDefault="00336FBE" w:rsidP="00A04927">
      <w:pPr>
        <w:pStyle w:val="NormalHanging12a"/>
        <w:widowControl/>
        <w:rPr>
          <w:szCs w:val="24"/>
        </w:rPr>
      </w:pPr>
      <w:r>
        <w:t>15</w:t>
      </w:r>
      <w:r w:rsidR="00A04927" w:rsidRPr="00BA1DBD">
        <w:t>.</w:t>
      </w:r>
      <w:r w:rsidR="00A04927" w:rsidRPr="00BA1DBD">
        <w:tab/>
        <w:t>Constata la importante contribución de las organizaciones de la sociedad civil a la lucha contra la desinformación y la influencia malintencionada de los agentes políticos contrarios a las reformas y los agentes subsidiarios de Rusia, así como a la defensa de los derechos humanos, la promoción de la transparencia y el seguimiento de la gobernanza y los avances en las reformas democráticas y relacionadas con la adhesión a la Unión;</w:t>
      </w:r>
    </w:p>
    <w:p w14:paraId="04F3A0FD" w14:textId="01893D63" w:rsidR="00A04927" w:rsidRPr="00BA1DBD" w:rsidRDefault="00336FBE" w:rsidP="00A04927">
      <w:pPr>
        <w:pStyle w:val="NormalHanging12a"/>
        <w:widowControl/>
        <w:rPr>
          <w:szCs w:val="24"/>
        </w:rPr>
      </w:pPr>
      <w:r>
        <w:t>16</w:t>
      </w:r>
      <w:r w:rsidR="00A04927" w:rsidRPr="00BA1DBD">
        <w:t>.</w:t>
      </w:r>
      <w:r w:rsidR="00A04927" w:rsidRPr="00BA1DBD">
        <w:tab/>
        <w:t xml:space="preserve">Subraya que una reforma integral del sistema judicial y la lucha contra la corrupción son cruciales, tanto para la resiliencia de Moldavia frente a las injerencias extranjeras y las amenazas híbridas como para el éxito de las reformas democráticas y relacionadas con la adhesión a la Unión; reconoce los continuos esfuerzos de Moldavia por construir un sistema judicial independiente, imparcial, responsable y profesional y por completar </w:t>
      </w:r>
      <w:r w:rsidR="00A04927" w:rsidRPr="00BA1DBD">
        <w:lastRenderedPageBreak/>
        <w:t>el proceso de investigación previa para finales de 2026; destaca la necesidad de garantizar una mayor coordinación entre todas las instituciones clave judiciales y de lucha contra la corrupción con el fin de aplicar plenamente las reformas integrales en materia de Estado de Derecho, de lograr resultados convincentes en términos de enjuiciamiento efectivo de los casos de corrupción, respetando al mismo tiempo las garantías procesales y el derecho a un juicio justo, y de mantener la confianza pública en las instituciones democráticas y en el proceso de reforma; pide, por tanto, al futuro Gobierno que mantenga el nivel actual de ambición y complete las reformas relacionadas con el Estado de Derecho;</w:t>
      </w:r>
    </w:p>
    <w:p w14:paraId="1173C508" w14:textId="0904B36B" w:rsidR="00A04927" w:rsidRDefault="00336FBE" w:rsidP="00A04927">
      <w:pPr>
        <w:pStyle w:val="NormalHanging12a"/>
        <w:widowControl/>
      </w:pPr>
      <w:r>
        <w:t>17</w:t>
      </w:r>
      <w:r w:rsidR="00A04927" w:rsidRPr="00BA1DBD">
        <w:t>.</w:t>
      </w:r>
      <w:r w:rsidR="00A04927" w:rsidRPr="00BA1DBD">
        <w:tab/>
        <w:t>Subraya la importancia fundamental de la independencia energética y la conectividad para aumentar la resiliencia frente a las amenazas híbridas rusas en el sector de la energía y pide, por tanto, que el Plan de Crecimiento se aplique con mayor rapidez; condena la continua instrumentalización del suministro energético por parte de Rusia y acoge con satisfacción los avances realizados por Moldavia en materia de diversificación de sus fuentes de energía, despliegue de energías renovables y sistemas de almacenamiento de energía, reducción de la dependencia del gas ruso e integración en el mercado de la energía de la Unión;</w:t>
      </w:r>
    </w:p>
    <w:p w14:paraId="64578F7D" w14:textId="2110F0E4" w:rsidR="00DB24B7" w:rsidRPr="00DB24B7" w:rsidRDefault="00336FBE" w:rsidP="00A04927">
      <w:pPr>
        <w:pStyle w:val="NormalHanging12a"/>
        <w:widowControl/>
        <w:rPr>
          <w:bCs/>
          <w:iCs/>
          <w:szCs w:val="24"/>
        </w:rPr>
      </w:pPr>
      <w:r>
        <w:t>18</w:t>
      </w:r>
      <w:r w:rsidR="00DB24B7">
        <w:t>.</w:t>
      </w:r>
      <w:r w:rsidR="00DB24B7">
        <w:tab/>
      </w:r>
      <w:r w:rsidR="00DB24B7" w:rsidRPr="00981D48">
        <w:rPr>
          <w:bCs/>
          <w:iCs/>
        </w:rPr>
        <w:t>Elogia a la República de Moldavia por los importantes avances que ha realizado en la eliminación progresiva de las fuentes de energía rusas, la aceleración de la descarbonización, la digitalización de su combinación energética y la integración en el mercado de la energía de la Unión; pide nuevamente a la Unión y a los Estados miembros que sigan apoyando la seguridad energética de Moldavia, así como la construcción y la financiación de nuevas interconexiones eléctricas con los países vecinos, y que sigan promoviendo la eficiencia energética y desplegando energías renovables y sistemas de almacenamiento de energía de conformidad con los objetivos establecidos en su plan nacional integrado de energía y clima;</w:t>
      </w:r>
    </w:p>
    <w:p w14:paraId="215A8373" w14:textId="08B72E0A" w:rsidR="00A04927" w:rsidRPr="00BA1DBD" w:rsidRDefault="00336FBE" w:rsidP="00A04927">
      <w:pPr>
        <w:pStyle w:val="NormalHanging12a"/>
        <w:widowControl/>
        <w:rPr>
          <w:szCs w:val="24"/>
        </w:rPr>
      </w:pPr>
      <w:r>
        <w:t>19</w:t>
      </w:r>
      <w:r w:rsidR="00A04927" w:rsidRPr="00BA1DBD">
        <w:t>.</w:t>
      </w:r>
      <w:r w:rsidR="00A04927" w:rsidRPr="00BA1DBD">
        <w:tab/>
        <w:t>Acoge con satisfacción la adopción sin contratiempos del Plan de Crecimiento para Moldavia, dotado con 1 900 millones EUR, lo que representa un nivel de apoyo sin precedentes destinado a impulsar la economía moldava y a avanzar en el camino del país hacia la adhesión a la Unión acelerando reformas clave en sectores como la energía, el medio ambiente, el sector digital, el transporte y otros; se felicita por el desembolso del tramo de prefinanciación de 270 millones EUR de los</w:t>
      </w:r>
      <w:r w:rsidR="007D286A">
        <w:t> </w:t>
      </w:r>
      <w:r w:rsidR="00A04927" w:rsidRPr="00BA1DBD">
        <w:t>1 900 millones EUR del Plan de Crecimiento y pide la rápida liberación del primer tramo ordinario para respaldar reformas clave en las infraestructuras, el capital humano, el desarrollo empresarial y las transiciones digital y ecológica; insta a la Unión y a Moldavia a que aceleren la integración gradual del país en el mercado único de la Unión con el fin de aportar beneficios socioeconómicos tangibles incluso antes de la adhesión oficial a la Unión; acoge con satisfacción el reciente acuerdo para revisar y actualizar las disposiciones comerciales de la zona de libre comercio de alcance amplio y profundo entre la Unión y Moldavia, que proporcionará a las exportaciones agrícolas moldavas que aún no se han liberalizado un mayor acceso al mercado; apoya la inclusión de Moldavia en el instrumento de preadhesión en el marco del próximo marco financiero plurianual; elogia la Decisión del Consejo, de 25 de julio de 2025, de integrar a Moldavia en la zona de «en itinerancia como en casa» a partir del 1 de enero de 2026, iniciativa que llega tras la adopción de una decisión similar para Ucrania el 14 de julio de 2025;</w:t>
      </w:r>
    </w:p>
    <w:p w14:paraId="28718774" w14:textId="532480AD" w:rsidR="00BA1DBD" w:rsidRPr="00BA1DBD" w:rsidRDefault="00336FBE" w:rsidP="00BA1DBD">
      <w:pPr>
        <w:pStyle w:val="NormalHanging12a"/>
        <w:widowControl/>
      </w:pPr>
      <w:r>
        <w:t>20</w:t>
      </w:r>
      <w:r w:rsidR="00A04927" w:rsidRPr="00BA1DBD">
        <w:t>.</w:t>
      </w:r>
      <w:r w:rsidR="00A04927" w:rsidRPr="00BA1DBD">
        <w:tab/>
        <w:t xml:space="preserve">Encarga a su presidenta que transmita la presente Resolución a la vicepresidenta de la Comisión / alta representante de la Unión para Asuntos Exteriores y Política de </w:t>
      </w:r>
      <w:r w:rsidR="00A04927" w:rsidRPr="00BA1DBD">
        <w:lastRenderedPageBreak/>
        <w:t>Seguridad, al Consejo, a la Comisión, a los Gobiernos y los Parlamentos de los Estados miembros, al Consejo de Europa, a la Organización para la Seguridad y la Cooperación en Europa, y a la presidenta, el Gobierno y el Parlamento de Moldavia.</w:t>
      </w:r>
    </w:p>
    <w:sectPr w:rsidR="00BA1DBD" w:rsidRPr="00BA1DBD" w:rsidSect="00BA1DB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7EA76" w14:textId="77777777" w:rsidR="00146BBC" w:rsidRPr="00BA1DBD" w:rsidRDefault="00146BBC">
      <w:r w:rsidRPr="00BA1DBD">
        <w:separator/>
      </w:r>
    </w:p>
  </w:endnote>
  <w:endnote w:type="continuationSeparator" w:id="0">
    <w:p w14:paraId="20089422" w14:textId="77777777" w:rsidR="00146BBC" w:rsidRPr="00BA1DBD" w:rsidRDefault="00146BBC">
      <w:r w:rsidRPr="00BA1D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147F1" w14:textId="77777777" w:rsidR="00146BBC" w:rsidRPr="00BA1DBD" w:rsidRDefault="00146BBC">
      <w:r w:rsidRPr="00BA1DBD">
        <w:separator/>
      </w:r>
    </w:p>
  </w:footnote>
  <w:footnote w:type="continuationSeparator" w:id="0">
    <w:p w14:paraId="59BCEECC" w14:textId="77777777" w:rsidR="00146BBC" w:rsidRPr="00BA1DBD" w:rsidRDefault="00146BBC">
      <w:r w:rsidRPr="00BA1DBD">
        <w:continuationSeparator/>
      </w:r>
    </w:p>
  </w:footnote>
  <w:footnote w:id="1">
    <w:p w14:paraId="7451A9F6" w14:textId="77777777" w:rsidR="00A04927" w:rsidRPr="007D286A" w:rsidRDefault="00A04927" w:rsidP="00BA1DBD">
      <w:pPr>
        <w:pStyle w:val="FootnoteText"/>
        <w:ind w:left="567" w:hanging="567"/>
        <w:rPr>
          <w:sz w:val="24"/>
          <w:lang w:val="pt-PT"/>
        </w:rPr>
      </w:pPr>
      <w:r w:rsidRPr="00BA1DBD">
        <w:rPr>
          <w:rStyle w:val="FootnoteReference"/>
          <w:sz w:val="24"/>
          <w:lang w:val="es-ES_tradnl"/>
        </w:rPr>
        <w:footnoteRef/>
      </w:r>
      <w:r w:rsidR="00BA1DBD" w:rsidRPr="007D286A">
        <w:rPr>
          <w:sz w:val="24"/>
          <w:lang w:val="pt-PT"/>
        </w:rPr>
        <w:t xml:space="preserve"> </w:t>
      </w:r>
      <w:r w:rsidR="00BA1DBD" w:rsidRPr="007D286A">
        <w:rPr>
          <w:sz w:val="24"/>
          <w:lang w:val="pt-PT"/>
        </w:rPr>
        <w:tab/>
      </w:r>
      <w:r w:rsidRPr="007D286A">
        <w:rPr>
          <w:sz w:val="24"/>
          <w:lang w:val="pt-PT"/>
        </w:rPr>
        <w:t xml:space="preserve">Textos </w:t>
      </w:r>
      <w:proofErr w:type="spellStart"/>
      <w:r w:rsidRPr="007D286A">
        <w:rPr>
          <w:sz w:val="24"/>
          <w:lang w:val="pt-PT"/>
        </w:rPr>
        <w:t>Aprobados</w:t>
      </w:r>
      <w:proofErr w:type="spellEnd"/>
      <w:r w:rsidRPr="007D286A">
        <w:rPr>
          <w:sz w:val="24"/>
          <w:lang w:val="pt-PT"/>
        </w:rPr>
        <w:t>, P10_TA(2025)0131.</w:t>
      </w:r>
    </w:p>
  </w:footnote>
  <w:footnote w:id="2">
    <w:p w14:paraId="7BF234B4" w14:textId="77777777" w:rsidR="00A04927" w:rsidRPr="007D286A" w:rsidRDefault="00A04927" w:rsidP="00BA1DBD">
      <w:pPr>
        <w:pStyle w:val="FootnoteText"/>
        <w:ind w:left="567" w:hanging="567"/>
        <w:rPr>
          <w:sz w:val="24"/>
          <w:lang w:val="pt-PT"/>
        </w:rPr>
      </w:pPr>
      <w:r w:rsidRPr="00BA1DBD">
        <w:rPr>
          <w:rStyle w:val="FootnoteReference"/>
          <w:sz w:val="24"/>
          <w:lang w:val="es-ES_tradnl"/>
        </w:rPr>
        <w:footnoteRef/>
      </w:r>
      <w:r w:rsidR="00BA1DBD" w:rsidRPr="007D286A">
        <w:rPr>
          <w:sz w:val="24"/>
          <w:lang w:val="pt-PT"/>
        </w:rPr>
        <w:t xml:space="preserve"> </w:t>
      </w:r>
      <w:r w:rsidR="00BA1DBD" w:rsidRPr="007D286A">
        <w:rPr>
          <w:sz w:val="24"/>
          <w:lang w:val="pt-PT"/>
        </w:rPr>
        <w:tab/>
      </w:r>
      <w:r w:rsidRPr="007D286A">
        <w:rPr>
          <w:sz w:val="24"/>
          <w:lang w:val="pt-PT"/>
        </w:rPr>
        <w:t>DO C, C/2025/204, 14.1.2025, ELI: http://data.europa.eu/eli/C/2025/204/oj.</w:t>
      </w:r>
    </w:p>
  </w:footnote>
  <w:footnote w:id="3">
    <w:p w14:paraId="15DCE4CA" w14:textId="77777777" w:rsidR="00A04927" w:rsidRPr="007D286A" w:rsidRDefault="00A04927" w:rsidP="00BA1DBD">
      <w:pPr>
        <w:pStyle w:val="FootnoteText"/>
        <w:ind w:left="567" w:hanging="567"/>
        <w:rPr>
          <w:sz w:val="24"/>
          <w:lang w:val="pt-PT"/>
        </w:rPr>
      </w:pPr>
      <w:r w:rsidRPr="00BA1DBD">
        <w:rPr>
          <w:rStyle w:val="FootnoteReference"/>
          <w:sz w:val="24"/>
          <w:lang w:val="es-ES_tradnl"/>
        </w:rPr>
        <w:footnoteRef/>
      </w:r>
      <w:r w:rsidR="00BA1DBD" w:rsidRPr="007D286A">
        <w:rPr>
          <w:sz w:val="24"/>
          <w:lang w:val="pt-PT"/>
        </w:rPr>
        <w:t xml:space="preserve"> </w:t>
      </w:r>
      <w:r w:rsidR="00BA1DBD" w:rsidRPr="007D286A">
        <w:rPr>
          <w:sz w:val="24"/>
          <w:lang w:val="pt-PT"/>
        </w:rPr>
        <w:tab/>
      </w:r>
      <w:r w:rsidRPr="007D286A">
        <w:rPr>
          <w:sz w:val="24"/>
          <w:lang w:val="pt-PT"/>
        </w:rPr>
        <w:t>DO L 260 de 30.8.2014, p. 4, ELI: </w:t>
      </w:r>
      <w:hyperlink r:id="rId1" w:tooltip="Da acceso a este documento a través de su URI ELI." w:history="1">
        <w:r w:rsidRPr="007D286A">
          <w:rPr>
            <w:rStyle w:val="Hyperlink"/>
            <w:sz w:val="24"/>
            <w:lang w:val="pt-PT"/>
          </w:rPr>
          <w:t>http://data.europa.eu/eli/agree_internation/2014/492/oj</w:t>
        </w:r>
      </w:hyperlink>
      <w:r w:rsidRPr="007D286A">
        <w:rPr>
          <w:sz w:val="24"/>
          <w:lang w:val="pt-PT"/>
        </w:rPr>
        <w:t>.</w:t>
      </w:r>
    </w:p>
  </w:footnote>
  <w:footnote w:id="4">
    <w:p w14:paraId="1CD723C2" w14:textId="090D5F58" w:rsidR="00A02BFA" w:rsidRPr="00981D48" w:rsidRDefault="00A02BFA" w:rsidP="00981D48">
      <w:pPr>
        <w:pStyle w:val="FootnoteText"/>
        <w:ind w:left="567" w:hanging="567"/>
        <w:rPr>
          <w:bCs/>
          <w:iCs/>
          <w:sz w:val="24"/>
          <w:szCs w:val="24"/>
          <w:lang w:val="ca-ES"/>
        </w:rPr>
      </w:pPr>
      <w:r>
        <w:rPr>
          <w:rStyle w:val="FootnoteReference"/>
        </w:rPr>
        <w:footnoteRef/>
      </w:r>
      <w:r w:rsidRPr="007D286A">
        <w:rPr>
          <w:lang w:val="pt-PT"/>
        </w:rPr>
        <w:t xml:space="preserve"> </w:t>
      </w:r>
      <w:r w:rsidRPr="007D286A">
        <w:rPr>
          <w:lang w:val="pt-PT"/>
        </w:rPr>
        <w:tab/>
      </w:r>
      <w:hyperlink r:id="rId2" w:history="1">
        <w:r w:rsidRPr="007D286A">
          <w:rPr>
            <w:rStyle w:val="Hyperlink"/>
            <w:bCs/>
            <w:iCs/>
            <w:sz w:val="24"/>
            <w:szCs w:val="24"/>
            <w:lang w:val="pt-PT"/>
          </w:rPr>
          <w:t>https:/www.zdg.md/en/kremlins-digital-army-an-undercover-investigation-its-paid-let-me-tell-you-its-paid-directly-from-moscow/</w:t>
        </w:r>
      </w:hyperlink>
      <w:r w:rsidRPr="007D286A">
        <w:rPr>
          <w:bCs/>
          <w:iCs/>
          <w:sz w:val="24"/>
          <w:szCs w:val="24"/>
          <w:lang w:val="pt-PT"/>
        </w:rPr>
        <w:t>.</w:t>
      </w:r>
    </w:p>
  </w:footnote>
  <w:footnote w:id="5">
    <w:p w14:paraId="5641D58D" w14:textId="52B791B8" w:rsidR="00A04927" w:rsidRPr="00BA1DBD" w:rsidRDefault="00A04927" w:rsidP="00BA1DBD">
      <w:pPr>
        <w:pStyle w:val="FootnoteText"/>
        <w:ind w:left="567" w:hanging="567"/>
        <w:rPr>
          <w:sz w:val="24"/>
          <w:lang w:val="es-ES_tradnl"/>
        </w:rPr>
      </w:pPr>
      <w:r w:rsidRPr="00BA1DBD">
        <w:rPr>
          <w:rStyle w:val="FootnoteReference"/>
          <w:sz w:val="24"/>
          <w:lang w:val="es-ES_tradnl"/>
        </w:rPr>
        <w:footnoteRef/>
      </w:r>
      <w:r w:rsidR="00BA1DBD" w:rsidRPr="00BA1DBD">
        <w:rPr>
          <w:sz w:val="24"/>
          <w:lang w:val="es-ES_tradnl"/>
        </w:rPr>
        <w:t xml:space="preserve"> </w:t>
      </w:r>
      <w:r w:rsidR="00BA1DBD" w:rsidRPr="00BA1DBD">
        <w:rPr>
          <w:sz w:val="24"/>
          <w:lang w:val="es-ES_tradnl"/>
        </w:rPr>
        <w:tab/>
      </w:r>
      <w:r w:rsidRPr="00BA1DBD">
        <w:rPr>
          <w:sz w:val="24"/>
          <w:lang w:val="es-ES_tradnl"/>
        </w:rPr>
        <w:t xml:space="preserve">Reglamento (UE) 2022/1925 del Parlamento Europeo y del Consejo, de 14 de septiembre de 2022, sobre mercados disputables y equitativos en el sector digital y por el que se modifican las Directivas (UE) 2019/1937 y (UE) 2020/1828 (DO L 265 de 12.10.2022, p. 1, ELI: </w:t>
      </w:r>
      <w:hyperlink r:id="rId3" w:history="1">
        <w:r w:rsidRPr="002D7DB4">
          <w:rPr>
            <w:rStyle w:val="Hyperlink"/>
            <w:sz w:val="24"/>
            <w:lang w:val="es-ES_tradnl"/>
          </w:rPr>
          <w:t>http://data.europa.eu/eli/reg/2022/1925/oj</w:t>
        </w:r>
      </w:hyperlink>
      <w:r w:rsidRPr="00BA1DBD">
        <w:rPr>
          <w:sz w:val="24"/>
          <w:lang w:val="es-ES_tradnl"/>
        </w:rPr>
        <w:t>).</w:t>
      </w:r>
    </w:p>
  </w:footnote>
  <w:footnote w:id="6">
    <w:p w14:paraId="36AA5698" w14:textId="1FC9E10C" w:rsidR="00A04927" w:rsidRPr="00BA1DBD" w:rsidRDefault="00A04927" w:rsidP="00BA1DBD">
      <w:pPr>
        <w:pStyle w:val="FootnoteText"/>
        <w:ind w:left="567" w:hanging="567"/>
        <w:rPr>
          <w:sz w:val="24"/>
          <w:lang w:val="es-ES_tradnl"/>
        </w:rPr>
      </w:pPr>
      <w:r w:rsidRPr="00BA1DBD">
        <w:rPr>
          <w:rStyle w:val="FootnoteReference"/>
          <w:sz w:val="24"/>
          <w:lang w:val="es-ES_tradnl"/>
        </w:rPr>
        <w:footnoteRef/>
      </w:r>
      <w:r w:rsidR="00BA1DBD" w:rsidRPr="00BA1DBD">
        <w:rPr>
          <w:sz w:val="24"/>
          <w:lang w:val="es-ES_tradnl"/>
        </w:rPr>
        <w:t xml:space="preserve"> </w:t>
      </w:r>
      <w:r w:rsidR="00BA1DBD" w:rsidRPr="00BA1DBD">
        <w:rPr>
          <w:sz w:val="24"/>
          <w:lang w:val="es-ES_tradnl"/>
        </w:rPr>
        <w:tab/>
      </w:r>
      <w:r w:rsidRPr="00BA1DBD">
        <w:rPr>
          <w:sz w:val="24"/>
          <w:lang w:val="es-ES_tradnl"/>
        </w:rPr>
        <w:t xml:space="preserve">Reglamento (UE) 2022/2065 del Parlamento Europeo y del Consejo, de 19 de octubre de 2022, relativo a un mercado único de servicios digitales y por el que se modifica la Directiva 2000/31/CE (DO L 277 de 27.10.2022, p. 1, ELI: </w:t>
      </w:r>
      <w:hyperlink r:id="rId4" w:history="1">
        <w:r w:rsidRPr="002D7DB4">
          <w:rPr>
            <w:rStyle w:val="Hyperlink"/>
            <w:sz w:val="24"/>
            <w:lang w:val="es-ES_tradnl"/>
          </w:rPr>
          <w:t>http://data.europa.eu/eli/reg/2022/2065/oj</w:t>
        </w:r>
      </w:hyperlink>
      <w:r w:rsidRPr="00BA1DBD">
        <w:rPr>
          <w:sz w:val="24"/>
          <w:lang w:val="es-ES_tradnl"/>
        </w:rPr>
        <w:t>).</w:t>
      </w:r>
    </w:p>
  </w:footnote>
  <w:footnote w:id="7">
    <w:p w14:paraId="6B5B5FF7" w14:textId="04A9134E" w:rsidR="007D286A" w:rsidRPr="007D286A" w:rsidRDefault="007D286A">
      <w:pPr>
        <w:pStyle w:val="FootnoteText"/>
        <w:rPr>
          <w:lang w:val="es-ES_tradnl"/>
        </w:rPr>
      </w:pPr>
      <w:r>
        <w:rPr>
          <w:rStyle w:val="FootnoteReference"/>
        </w:rPr>
        <w:footnoteRef/>
      </w:r>
      <w:r w:rsidRPr="007D286A">
        <w:rPr>
          <w:lang w:val="es-ES_tradnl"/>
        </w:rPr>
        <w:t xml:space="preserve"> </w:t>
      </w:r>
      <w:r>
        <w:rPr>
          <w:lang w:val="es-ES_tradnl"/>
        </w:rPr>
        <w:tab/>
      </w:r>
      <w:hyperlink r:id="rId5" w:history="1">
        <w:r w:rsidRPr="00B01FD3">
          <w:rPr>
            <w:rStyle w:val="Hyperlink"/>
            <w:sz w:val="24"/>
            <w:szCs w:val="24"/>
            <w:lang w:val="es-ES_tradnl"/>
          </w:rPr>
          <w:t>https://pace.coe.int/en/files/33808/html</w:t>
        </w:r>
      </w:hyperlink>
      <w:r w:rsidRPr="007D286A">
        <w:rPr>
          <w:sz w:val="24"/>
          <w:szCs w:val="24"/>
          <w:lang w:val="es-ES_tradnl"/>
        </w:rPr>
        <w:t xml:space="preserve">, </w:t>
      </w:r>
      <w:hyperlink r:id="rId6" w:history="1">
        <w:r w:rsidRPr="007D286A">
          <w:rPr>
            <w:rStyle w:val="Hyperlink"/>
            <w:sz w:val="24"/>
            <w:szCs w:val="24"/>
            <w:lang w:val="es-ES_tradnl"/>
          </w:rPr>
          <w:t>https://www.thetablet.co.uk/news/bartholomew-accuses-russian-church-of-ethno-nationalist-heresy/</w:t>
        </w:r>
      </w:hyperlink>
      <w:r w:rsidRPr="007D286A">
        <w:rPr>
          <w:sz w:val="24"/>
          <w:szCs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4680576">
    <w:abstractNumId w:val="9"/>
  </w:num>
  <w:num w:numId="2" w16cid:durableId="2084402287">
    <w:abstractNumId w:val="9"/>
  </w:num>
  <w:num w:numId="3" w16cid:durableId="2137404535">
    <w:abstractNumId w:val="7"/>
  </w:num>
  <w:num w:numId="4" w16cid:durableId="1524174829">
    <w:abstractNumId w:val="7"/>
  </w:num>
  <w:num w:numId="5" w16cid:durableId="1222714516">
    <w:abstractNumId w:val="6"/>
  </w:num>
  <w:num w:numId="6" w16cid:durableId="2021199883">
    <w:abstractNumId w:val="6"/>
  </w:num>
  <w:num w:numId="7" w16cid:durableId="547185764">
    <w:abstractNumId w:val="5"/>
  </w:num>
  <w:num w:numId="8" w16cid:durableId="2089615628">
    <w:abstractNumId w:val="5"/>
  </w:num>
  <w:num w:numId="9" w16cid:durableId="1387333655">
    <w:abstractNumId w:val="4"/>
  </w:num>
  <w:num w:numId="10" w16cid:durableId="1491825937">
    <w:abstractNumId w:val="4"/>
  </w:num>
  <w:num w:numId="11" w16cid:durableId="1841044531">
    <w:abstractNumId w:val="8"/>
  </w:num>
  <w:num w:numId="12" w16cid:durableId="1047030846">
    <w:abstractNumId w:val="8"/>
  </w:num>
  <w:num w:numId="13" w16cid:durableId="1409112991">
    <w:abstractNumId w:val="3"/>
  </w:num>
  <w:num w:numId="14" w16cid:durableId="96558534">
    <w:abstractNumId w:val="3"/>
  </w:num>
  <w:num w:numId="15" w16cid:durableId="1348023496">
    <w:abstractNumId w:val="2"/>
  </w:num>
  <w:num w:numId="16" w16cid:durableId="964656944">
    <w:abstractNumId w:val="2"/>
  </w:num>
  <w:num w:numId="17" w16cid:durableId="1680306906">
    <w:abstractNumId w:val="1"/>
  </w:num>
  <w:num w:numId="18" w16cid:durableId="473446521">
    <w:abstractNumId w:val="1"/>
  </w:num>
  <w:num w:numId="19" w16cid:durableId="221211574">
    <w:abstractNumId w:val="0"/>
  </w:num>
  <w:num w:numId="20" w16cid:durableId="2127432642">
    <w:abstractNumId w:val="0"/>
  </w:num>
  <w:num w:numId="21" w16cid:durableId="66464133">
    <w:abstractNumId w:val="9"/>
  </w:num>
  <w:num w:numId="22" w16cid:durableId="2089229041">
    <w:abstractNumId w:val="7"/>
  </w:num>
  <w:num w:numId="23" w16cid:durableId="548878017">
    <w:abstractNumId w:val="6"/>
  </w:num>
  <w:num w:numId="24" w16cid:durableId="334499186">
    <w:abstractNumId w:val="5"/>
  </w:num>
  <w:num w:numId="25" w16cid:durableId="1408838662">
    <w:abstractNumId w:val="4"/>
  </w:num>
  <w:num w:numId="26" w16cid:durableId="71657835">
    <w:abstractNumId w:val="8"/>
  </w:num>
  <w:num w:numId="27" w16cid:durableId="1671329650">
    <w:abstractNumId w:val="3"/>
  </w:num>
  <w:num w:numId="28" w16cid:durableId="686099586">
    <w:abstractNumId w:val="2"/>
  </w:num>
  <w:num w:numId="29" w16cid:durableId="1451703558">
    <w:abstractNumId w:val="1"/>
  </w:num>
  <w:num w:numId="30" w16cid:durableId="546331411">
    <w:abstractNumId w:val="0"/>
  </w:num>
  <w:num w:numId="31" w16cid:durableId="2031834367">
    <w:abstractNumId w:val="9"/>
  </w:num>
  <w:num w:numId="32" w16cid:durableId="2072658021">
    <w:abstractNumId w:val="7"/>
  </w:num>
  <w:num w:numId="33" w16cid:durableId="592325664">
    <w:abstractNumId w:val="6"/>
  </w:num>
  <w:num w:numId="34" w16cid:durableId="2137288388">
    <w:abstractNumId w:val="5"/>
  </w:num>
  <w:num w:numId="35" w16cid:durableId="1770849924">
    <w:abstractNumId w:val="4"/>
  </w:num>
  <w:num w:numId="36" w16cid:durableId="1174104473">
    <w:abstractNumId w:val="8"/>
  </w:num>
  <w:num w:numId="37" w16cid:durableId="1195000490">
    <w:abstractNumId w:val="3"/>
  </w:num>
  <w:num w:numId="38" w16cid:durableId="753939731">
    <w:abstractNumId w:val="2"/>
  </w:num>
  <w:num w:numId="39" w16cid:durableId="1584758744">
    <w:abstractNumId w:val="1"/>
  </w:num>
  <w:num w:numId="40" w16cid:durableId="90905419">
    <w:abstractNumId w:val="0"/>
  </w:num>
  <w:num w:numId="41" w16cid:durableId="115373499">
    <w:abstractNumId w:val="10"/>
  </w:num>
  <w:num w:numId="42" w16cid:durableId="814492519">
    <w:abstractNumId w:val="10"/>
  </w:num>
  <w:num w:numId="43" w16cid:durableId="927226618">
    <w:abstractNumId w:val="10"/>
  </w:num>
  <w:num w:numId="44" w16cid:durableId="666553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55, 0357, 0356, 0359 y 0361/2025"/>
    <w:docVar w:name="dvlangue" w:val="ES"/>
    <w:docVar w:name="dvnumam" w:val="0"/>
    <w:docVar w:name="dvpe" w:val="776.179"/>
    <w:docVar w:name="dvtitre" w:val="Resolución del Parlamento Europeo, de 10 de septiembre de 2025, sobre el refuerzo de la resiliencia de Moldavia frente a las amenazas híbridas y las injerencias malintencionadas de Rusia(2025/2811(RSP))"/>
  </w:docVars>
  <w:rsids>
    <w:rsidRoot w:val="00146BBC"/>
    <w:rsid w:val="00002272"/>
    <w:rsid w:val="00031F12"/>
    <w:rsid w:val="00064002"/>
    <w:rsid w:val="000677B9"/>
    <w:rsid w:val="000831BA"/>
    <w:rsid w:val="000A42CC"/>
    <w:rsid w:val="000E7DD9"/>
    <w:rsid w:val="0010095E"/>
    <w:rsid w:val="00105A5D"/>
    <w:rsid w:val="00125B37"/>
    <w:rsid w:val="00146BBC"/>
    <w:rsid w:val="00187494"/>
    <w:rsid w:val="001F32AE"/>
    <w:rsid w:val="002767FF"/>
    <w:rsid w:val="002B18FE"/>
    <w:rsid w:val="002B5493"/>
    <w:rsid w:val="002D7DB4"/>
    <w:rsid w:val="002F49F5"/>
    <w:rsid w:val="00310F73"/>
    <w:rsid w:val="00336FBE"/>
    <w:rsid w:val="00343214"/>
    <w:rsid w:val="00361C00"/>
    <w:rsid w:val="00395FA1"/>
    <w:rsid w:val="003E15D4"/>
    <w:rsid w:val="00411CCE"/>
    <w:rsid w:val="004159BB"/>
    <w:rsid w:val="0041666E"/>
    <w:rsid w:val="00421060"/>
    <w:rsid w:val="00471C19"/>
    <w:rsid w:val="004867E3"/>
    <w:rsid w:val="00494A28"/>
    <w:rsid w:val="004C0004"/>
    <w:rsid w:val="004C5D52"/>
    <w:rsid w:val="0050519A"/>
    <w:rsid w:val="005072A1"/>
    <w:rsid w:val="00514517"/>
    <w:rsid w:val="00545827"/>
    <w:rsid w:val="0054705E"/>
    <w:rsid w:val="00560270"/>
    <w:rsid w:val="005C2568"/>
    <w:rsid w:val="005D706A"/>
    <w:rsid w:val="005F1B17"/>
    <w:rsid w:val="006037C0"/>
    <w:rsid w:val="006631B6"/>
    <w:rsid w:val="00680577"/>
    <w:rsid w:val="006F74FA"/>
    <w:rsid w:val="00731ADD"/>
    <w:rsid w:val="00734777"/>
    <w:rsid w:val="00747932"/>
    <w:rsid w:val="00751A4A"/>
    <w:rsid w:val="00756632"/>
    <w:rsid w:val="00762C74"/>
    <w:rsid w:val="00786EC0"/>
    <w:rsid w:val="007D1690"/>
    <w:rsid w:val="007D286A"/>
    <w:rsid w:val="007E22AD"/>
    <w:rsid w:val="00817416"/>
    <w:rsid w:val="00842779"/>
    <w:rsid w:val="00865F67"/>
    <w:rsid w:val="00881A7B"/>
    <w:rsid w:val="008840E5"/>
    <w:rsid w:val="00887B3E"/>
    <w:rsid w:val="008C2AC6"/>
    <w:rsid w:val="00930C23"/>
    <w:rsid w:val="0093193B"/>
    <w:rsid w:val="009509D8"/>
    <w:rsid w:val="00950B64"/>
    <w:rsid w:val="00981893"/>
    <w:rsid w:val="00981D48"/>
    <w:rsid w:val="009B3822"/>
    <w:rsid w:val="00A02BFA"/>
    <w:rsid w:val="00A04927"/>
    <w:rsid w:val="00A1687D"/>
    <w:rsid w:val="00A43E52"/>
    <w:rsid w:val="00A4678D"/>
    <w:rsid w:val="00A778C7"/>
    <w:rsid w:val="00AB441E"/>
    <w:rsid w:val="00AB6293"/>
    <w:rsid w:val="00AE0928"/>
    <w:rsid w:val="00AF3B82"/>
    <w:rsid w:val="00B12E95"/>
    <w:rsid w:val="00B22876"/>
    <w:rsid w:val="00B558F0"/>
    <w:rsid w:val="00BA1DBD"/>
    <w:rsid w:val="00BD48FE"/>
    <w:rsid w:val="00BD7BD8"/>
    <w:rsid w:val="00BE6ADC"/>
    <w:rsid w:val="00C05BFE"/>
    <w:rsid w:val="00C23CD4"/>
    <w:rsid w:val="00C533F6"/>
    <w:rsid w:val="00C61C0C"/>
    <w:rsid w:val="00C941CB"/>
    <w:rsid w:val="00CC2357"/>
    <w:rsid w:val="00CF071A"/>
    <w:rsid w:val="00D058B8"/>
    <w:rsid w:val="00D56C11"/>
    <w:rsid w:val="00D834A0"/>
    <w:rsid w:val="00D872DF"/>
    <w:rsid w:val="00D91E21"/>
    <w:rsid w:val="00DA7FCD"/>
    <w:rsid w:val="00DB24B7"/>
    <w:rsid w:val="00E365E1"/>
    <w:rsid w:val="00E567F0"/>
    <w:rsid w:val="00E61FA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67DD2"/>
  <w15:chartTrackingRefBased/>
  <w15:docId w15:val="{8DECD903-6A16-4003-8834-8A04E7E2E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04927"/>
    <w:pPr>
      <w:spacing w:after="240"/>
      <w:ind w:left="567" w:hanging="567"/>
    </w:pPr>
  </w:style>
  <w:style w:type="paragraph" w:customStyle="1" w:styleId="EPComma">
    <w:name w:val="EPComma"/>
    <w:basedOn w:val="Normal"/>
    <w:link w:val="EPCommaChar"/>
    <w:rsid w:val="00A04927"/>
    <w:pPr>
      <w:spacing w:before="480" w:after="240"/>
    </w:pPr>
  </w:style>
  <w:style w:type="character" w:customStyle="1" w:styleId="EPCommaChar">
    <w:name w:val="EPComma Char"/>
    <w:basedOn w:val="DefaultParagraphFont"/>
    <w:link w:val="EPComma"/>
    <w:rsid w:val="00A04927"/>
    <w:rPr>
      <w:sz w:val="24"/>
      <w:lang w:val="es-ES_tradnl"/>
    </w:rPr>
  </w:style>
  <w:style w:type="character" w:customStyle="1" w:styleId="NormalHanging12aChar">
    <w:name w:val="NormalHanging12a Char"/>
    <w:basedOn w:val="DefaultParagraphFont"/>
    <w:link w:val="NormalHanging12a"/>
    <w:locked/>
    <w:rsid w:val="00A04927"/>
    <w:rPr>
      <w:sz w:val="24"/>
      <w:lang w:val="es-ES_tradnl"/>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A04927"/>
    <w:pPr>
      <w:widowControl/>
      <w:spacing w:after="160" w:line="240" w:lineRule="exact"/>
    </w:pPr>
    <w:rPr>
      <w:sz w:val="20"/>
      <w:vertAlign w:val="superscript"/>
      <w:lang w:val="en-GB"/>
    </w:rPr>
  </w:style>
  <w:style w:type="character" w:styleId="Hyperlink">
    <w:name w:val="Hyperlink"/>
    <w:basedOn w:val="DefaultParagraphFont"/>
    <w:uiPriority w:val="99"/>
    <w:unhideWhenUsed/>
    <w:rsid w:val="00A04927"/>
    <w:rPr>
      <w:color w:val="0000FF"/>
      <w:u w:val="single"/>
    </w:rPr>
  </w:style>
  <w:style w:type="character" w:customStyle="1" w:styleId="highlight-diff">
    <w:name w:val="highlight-diff"/>
    <w:basedOn w:val="DefaultParagraphFont"/>
    <w:rsid w:val="00A04927"/>
  </w:style>
  <w:style w:type="character" w:styleId="Strong">
    <w:name w:val="Strong"/>
    <w:basedOn w:val="DefaultParagraphFont"/>
    <w:uiPriority w:val="22"/>
    <w:qFormat/>
    <w:rsid w:val="00A04927"/>
    <w:rPr>
      <w:b/>
      <w:bCs/>
    </w:rPr>
  </w:style>
  <w:style w:type="paragraph" w:styleId="BalloonText">
    <w:name w:val="Balloon Text"/>
    <w:basedOn w:val="Normal"/>
    <w:link w:val="BalloonTextChar"/>
    <w:rsid w:val="00310F73"/>
    <w:rPr>
      <w:rFonts w:ascii="Segoe UI" w:hAnsi="Segoe UI" w:cs="Segoe UI"/>
      <w:sz w:val="18"/>
      <w:szCs w:val="18"/>
    </w:rPr>
  </w:style>
  <w:style w:type="character" w:customStyle="1" w:styleId="BalloonTextChar">
    <w:name w:val="Balloon Text Char"/>
    <w:basedOn w:val="DefaultParagraphFont"/>
    <w:link w:val="BalloonText"/>
    <w:rsid w:val="00310F73"/>
    <w:rPr>
      <w:rFonts w:ascii="Segoe UI" w:hAnsi="Segoe UI" w:cs="Segoe UI"/>
      <w:sz w:val="18"/>
      <w:szCs w:val="18"/>
      <w:lang w:val="es-ES_tradnl"/>
    </w:rPr>
  </w:style>
  <w:style w:type="paragraph" w:styleId="Revision">
    <w:name w:val="Revision"/>
    <w:hidden/>
    <w:uiPriority w:val="99"/>
    <w:semiHidden/>
    <w:rsid w:val="00E61FA3"/>
    <w:rPr>
      <w:sz w:val="24"/>
      <w:lang w:val="es-ES_tradnl"/>
    </w:rPr>
  </w:style>
  <w:style w:type="character" w:styleId="UnresolvedMention">
    <w:name w:val="Unresolved Mention"/>
    <w:basedOn w:val="DefaultParagraphFont"/>
    <w:uiPriority w:val="99"/>
    <w:semiHidden/>
    <w:unhideWhenUsed/>
    <w:rsid w:val="002D7DB4"/>
    <w:rPr>
      <w:color w:val="605E5C"/>
      <w:shd w:val="clear" w:color="auto" w:fill="E1DFDD"/>
    </w:rPr>
  </w:style>
  <w:style w:type="character" w:styleId="CommentReference">
    <w:name w:val="annotation reference"/>
    <w:basedOn w:val="DefaultParagraphFont"/>
    <w:rsid w:val="00105A5D"/>
    <w:rPr>
      <w:sz w:val="16"/>
      <w:szCs w:val="16"/>
    </w:rPr>
  </w:style>
  <w:style w:type="paragraph" w:styleId="CommentText">
    <w:name w:val="annotation text"/>
    <w:basedOn w:val="Normal"/>
    <w:link w:val="CommentTextChar"/>
    <w:rsid w:val="00105A5D"/>
    <w:rPr>
      <w:sz w:val="20"/>
    </w:rPr>
  </w:style>
  <w:style w:type="character" w:customStyle="1" w:styleId="CommentTextChar">
    <w:name w:val="Comment Text Char"/>
    <w:basedOn w:val="DefaultParagraphFont"/>
    <w:link w:val="CommentText"/>
    <w:rsid w:val="00105A5D"/>
    <w:rPr>
      <w:lang w:val="es-ES_tradnl"/>
    </w:rPr>
  </w:style>
  <w:style w:type="paragraph" w:styleId="CommentSubject">
    <w:name w:val="annotation subject"/>
    <w:basedOn w:val="CommentText"/>
    <w:next w:val="CommentText"/>
    <w:link w:val="CommentSubjectChar"/>
    <w:rsid w:val="00105A5D"/>
    <w:rPr>
      <w:b/>
      <w:bCs/>
    </w:rPr>
  </w:style>
  <w:style w:type="character" w:customStyle="1" w:styleId="CommentSubjectChar">
    <w:name w:val="Comment Subject Char"/>
    <w:basedOn w:val="CommentTextChar"/>
    <w:link w:val="CommentSubject"/>
    <w:rsid w:val="00105A5D"/>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1925/oj" TargetMode="External"/><Relationship Id="rId2" Type="http://schemas.openxmlformats.org/officeDocument/2006/relationships/hyperlink" Target="1%20bis%20https:/www.zdg.md/en/kremlins-digital-army-an-undercover-investigation-its-paid-let-me-tell-you-its-paid-directly-from-moscow/" TargetMode="External"/><Relationship Id="rId1" Type="http://schemas.openxmlformats.org/officeDocument/2006/relationships/hyperlink" Target="http://data.europa.eu/eli/agree_internation/2014/492/oj" TargetMode="External"/><Relationship Id="rId6" Type="http://schemas.openxmlformats.org/officeDocument/2006/relationships/hyperlink" Target="https://www.thetablet.co.uk/news/bartholomew-accuses-russian-church-of-ethno-nationalist-heresy/" TargetMode="External"/><Relationship Id="rId5" Type="http://schemas.openxmlformats.org/officeDocument/2006/relationships/hyperlink" Target="https://pace.coe.int/en/files/33808/html" TargetMode="External"/><Relationship Id="rId4"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A1777-F860-4991-BFEA-6D520D13B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3700</Words>
  <Characters>19654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DE LEON ESPINOSA Maria Inmaculada</cp:lastModifiedBy>
  <cp:revision>2</cp:revision>
  <cp:lastPrinted>2004-11-19T15:42:00Z</cp:lastPrinted>
  <dcterms:created xsi:type="dcterms:W3CDTF">2025-10-10T09:56:00Z</dcterms:created>
  <dcterms:modified xsi:type="dcterms:W3CDTF">2025-10-10T09:56:00Z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B10-0355, 0357, 0356, 0359 y 0361/2025</vt:lpwstr>
  </property>
  <property fmtid="{D5CDD505-2E9C-101B-9397-08002B2CF9AE}" pid="4" name="&lt;Type&gt;">
    <vt:lpwstr>RR</vt:lpwstr>
  </property>
</Properties>
</file>