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B06E4" w14:paraId="6A2EC296" w14:textId="77777777" w:rsidTr="0010095E">
        <w:trPr>
          <w:trHeight w:hRule="exact" w:val="1418"/>
        </w:trPr>
        <w:tc>
          <w:tcPr>
            <w:tcW w:w="6804" w:type="dxa"/>
            <w:shd w:val="clear" w:color="auto" w:fill="auto"/>
            <w:vAlign w:val="center"/>
          </w:tcPr>
          <w:p w14:paraId="0E65F8C9" w14:textId="77777777" w:rsidR="00751A4A" w:rsidRPr="002B06E4" w:rsidRDefault="00751AB3" w:rsidP="00B70B70">
            <w:pPr>
              <w:pStyle w:val="EPName"/>
              <w:widowControl/>
            </w:pPr>
            <w:r w:rsidRPr="002B06E4">
              <w:t>Euroopan parlamentti</w:t>
            </w:r>
          </w:p>
          <w:p w14:paraId="7905F0B6" w14:textId="77777777" w:rsidR="00751A4A" w:rsidRPr="002B06E4" w:rsidRDefault="005F1B17" w:rsidP="00B70B70">
            <w:pPr>
              <w:pStyle w:val="EPTerm"/>
              <w:widowControl/>
              <w:rPr>
                <w:rStyle w:val="HideTWBExt"/>
                <w:noProof w:val="0"/>
                <w:vanish w:val="0"/>
                <w:color w:val="auto"/>
              </w:rPr>
            </w:pPr>
            <w:proofErr w:type="gramStart"/>
            <w:r w:rsidRPr="002B06E4">
              <w:t>2024</w:t>
            </w:r>
            <w:r w:rsidR="00817416" w:rsidRPr="002B06E4">
              <w:t>-202</w:t>
            </w:r>
            <w:r w:rsidRPr="002B06E4">
              <w:t>9</w:t>
            </w:r>
            <w:proofErr w:type="gramEnd"/>
          </w:p>
        </w:tc>
        <w:tc>
          <w:tcPr>
            <w:tcW w:w="2268" w:type="dxa"/>
            <w:shd w:val="clear" w:color="auto" w:fill="auto"/>
          </w:tcPr>
          <w:p w14:paraId="73F07112" w14:textId="77777777" w:rsidR="00751A4A" w:rsidRPr="002B06E4" w:rsidRDefault="00187494" w:rsidP="00B70B70">
            <w:pPr>
              <w:pStyle w:val="EPLogo"/>
              <w:widowControl/>
            </w:pPr>
            <w:r w:rsidRPr="002B06E4">
              <w:rPr>
                <w:noProof/>
                <w:lang w:eastAsia="ja-JP"/>
              </w:rPr>
              <w:drawing>
                <wp:inline distT="0" distB="0" distL="0" distR="0" wp14:anchorId="07660E0E" wp14:editId="7135E32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EEBE8DC" w14:textId="77777777" w:rsidR="00D058B8" w:rsidRPr="002B06E4" w:rsidRDefault="00D058B8" w:rsidP="00B70B70">
      <w:pPr>
        <w:pStyle w:val="LineTop"/>
        <w:widowControl/>
      </w:pPr>
    </w:p>
    <w:p w14:paraId="5B50F6C5" w14:textId="77777777" w:rsidR="00680577" w:rsidRPr="002B06E4" w:rsidRDefault="00751AB3" w:rsidP="00B70B70">
      <w:pPr>
        <w:pStyle w:val="EPBodyTA1"/>
        <w:widowControl/>
      </w:pPr>
      <w:r w:rsidRPr="002B06E4">
        <w:t>HYVÄKSYTYT TEKSTIT</w:t>
      </w:r>
    </w:p>
    <w:p w14:paraId="4C17BBE8" w14:textId="77777777" w:rsidR="00D058B8" w:rsidRPr="002B06E4" w:rsidRDefault="00D058B8" w:rsidP="00B70B70">
      <w:pPr>
        <w:pStyle w:val="LineBottom"/>
        <w:widowControl/>
      </w:pPr>
    </w:p>
    <w:p w14:paraId="4590930A" w14:textId="481911B3" w:rsidR="00751AB3" w:rsidRPr="002B06E4" w:rsidRDefault="00751AB3" w:rsidP="00B70B70">
      <w:pPr>
        <w:pStyle w:val="ATHeading1"/>
      </w:pPr>
      <w:bookmarkStart w:id="0" w:name="TANumber"/>
      <w:r w:rsidRPr="002B06E4">
        <w:t>P10_</w:t>
      </w:r>
      <w:proofErr w:type="gramStart"/>
      <w:r w:rsidRPr="002B06E4">
        <w:t>TA(</w:t>
      </w:r>
      <w:proofErr w:type="gramEnd"/>
      <w:r w:rsidRPr="002B06E4">
        <w:t>2025)0</w:t>
      </w:r>
      <w:r w:rsidR="00730A94" w:rsidRPr="002B06E4">
        <w:t>191</w:t>
      </w:r>
      <w:bookmarkEnd w:id="0"/>
    </w:p>
    <w:p w14:paraId="5665C5B7" w14:textId="77777777" w:rsidR="00751AB3" w:rsidRPr="002B06E4" w:rsidRDefault="00751AB3" w:rsidP="00B70B70">
      <w:pPr>
        <w:pStyle w:val="ATHeading2"/>
      </w:pPr>
      <w:bookmarkStart w:id="1" w:name="title"/>
      <w:r w:rsidRPr="002B06E4">
        <w:t>Moldovan häiriönsietokyvyn vahvistaminen Venäjän hybridiuhkien ja pahantahtoisen sekaantumisen torjumiseksi</w:t>
      </w:r>
      <w:bookmarkEnd w:id="1"/>
    </w:p>
    <w:p w14:paraId="195EEA94" w14:textId="00CFE79F" w:rsidR="00751AB3" w:rsidRPr="002B06E4" w:rsidRDefault="00751AB3" w:rsidP="00B70B70">
      <w:pPr>
        <w:widowControl/>
        <w:rPr>
          <w:i/>
          <w:vanish/>
        </w:rPr>
      </w:pPr>
      <w:r w:rsidRPr="002B06E4">
        <w:rPr>
          <w:i/>
        </w:rPr>
        <w:fldChar w:fldCharType="begin"/>
      </w:r>
      <w:r w:rsidRPr="002B06E4">
        <w:rPr>
          <w:i/>
        </w:rPr>
        <w:instrText xml:space="preserve"> TC"(</w:instrText>
      </w:r>
      <w:bookmarkStart w:id="2" w:name="DocNumber"/>
      <w:r w:rsidRPr="002B06E4">
        <w:rPr>
          <w:i/>
        </w:rPr>
        <w:instrText>B10-0355</w:instrText>
      </w:r>
      <w:r w:rsidR="00B70B70" w:rsidRPr="002B06E4">
        <w:rPr>
          <w:i/>
        </w:rPr>
        <w:instrText>, 0357, 0356, 0359 ja 0361</w:instrText>
      </w:r>
      <w:r w:rsidRPr="002B06E4">
        <w:rPr>
          <w:i/>
        </w:rPr>
        <w:instrText>/2025</w:instrText>
      </w:r>
      <w:bookmarkEnd w:id="2"/>
      <w:r w:rsidRPr="002B06E4">
        <w:rPr>
          <w:i/>
        </w:rPr>
        <w:instrText xml:space="preserve">)"\l3 \n&gt; \* MERGEFORMAT </w:instrText>
      </w:r>
      <w:r w:rsidRPr="002B06E4">
        <w:rPr>
          <w:i/>
        </w:rPr>
        <w:fldChar w:fldCharType="end"/>
      </w:r>
    </w:p>
    <w:p w14:paraId="6959F539" w14:textId="77777777" w:rsidR="00751AB3" w:rsidRPr="002B06E4" w:rsidRDefault="00751AB3" w:rsidP="00B70B70">
      <w:pPr>
        <w:widowControl/>
        <w:rPr>
          <w:vanish/>
        </w:rPr>
      </w:pPr>
      <w:bookmarkStart w:id="3" w:name="PE"/>
      <w:r w:rsidRPr="002B06E4">
        <w:rPr>
          <w:vanish/>
        </w:rPr>
        <w:t>PE776.179</w:t>
      </w:r>
      <w:bookmarkEnd w:id="3"/>
    </w:p>
    <w:p w14:paraId="3B217428" w14:textId="77777777" w:rsidR="00751AB3" w:rsidRPr="002B06E4" w:rsidRDefault="00751AB3" w:rsidP="00B70B70">
      <w:pPr>
        <w:pStyle w:val="ATHeading3"/>
      </w:pPr>
      <w:bookmarkStart w:id="4" w:name="Sujet"/>
      <w:r w:rsidRPr="002B06E4">
        <w:t>Euroopan parlamentin päätöslauselma 10. syyskuuta 2025 Moldovan häiriönsietokyvyn vahvistamisesta Venäjän hybridiuhkien ja pahantahtoisen sekaantumisen torjumiseksi</w:t>
      </w:r>
      <w:bookmarkEnd w:id="4"/>
      <w:r w:rsidRPr="002B06E4">
        <w:t xml:space="preserve"> </w:t>
      </w:r>
      <w:bookmarkStart w:id="5" w:name="References"/>
      <w:r w:rsidRPr="002B06E4">
        <w:t>(2025/2811(RSP))</w:t>
      </w:r>
      <w:bookmarkEnd w:id="5"/>
    </w:p>
    <w:p w14:paraId="5B403995" w14:textId="77777777" w:rsidR="000166EF" w:rsidRPr="002B06E4" w:rsidRDefault="000166EF" w:rsidP="00B70B70">
      <w:pPr>
        <w:pStyle w:val="EPComma"/>
        <w:widowControl/>
      </w:pPr>
      <w:bookmarkStart w:id="6" w:name="TextBodyBegin"/>
      <w:bookmarkEnd w:id="6"/>
      <w:r w:rsidRPr="002B06E4">
        <w:rPr>
          <w:i/>
          <w:iCs/>
        </w:rPr>
        <w:t>Euroopan parlamentti</w:t>
      </w:r>
      <w:r w:rsidRPr="002B06E4">
        <w:t>, joka</w:t>
      </w:r>
    </w:p>
    <w:p w14:paraId="49EDEE35" w14:textId="77777777" w:rsidR="000166EF" w:rsidRPr="002B06E4" w:rsidRDefault="000166EF" w:rsidP="00B70B70">
      <w:pPr>
        <w:pStyle w:val="NormalHanging12a"/>
        <w:widowControl/>
      </w:pPr>
      <w:r w:rsidRPr="002B06E4">
        <w:t>–</w:t>
      </w:r>
      <w:r w:rsidRPr="002B06E4">
        <w:tab/>
        <w:t>ottaa huomioon aiemmat päätöslauselmansa Moldovasta ja erityisesti 18. kesäkuuta 2025 antamansa päätöslauselman Moldovaa koskevista komission vuosien 2023 ja 2024 kertomuksista</w:t>
      </w:r>
      <w:r w:rsidRPr="002B06E4">
        <w:rPr>
          <w:rStyle w:val="FootnoteReference"/>
        </w:rPr>
        <w:footnoteReference w:id="1"/>
      </w:r>
      <w:r w:rsidRPr="002B06E4">
        <w:t xml:space="preserve"> ja 9. lokakuuta 2024 antamansa päätöslauselman Moldovan häiriönsietokyvyn vahvistamisesta Venäjän sekaantumisen torjumiseksi ennen pian järjestettäviä presidentinvaaleja ja perustuslakikansanäänestystä EU:hun yhdentymisestä</w:t>
      </w:r>
      <w:r w:rsidRPr="002B06E4">
        <w:rPr>
          <w:rStyle w:val="FootnoteReference"/>
        </w:rPr>
        <w:footnoteReference w:id="2"/>
      </w:r>
      <w:r w:rsidRPr="002B06E4">
        <w:t>,</w:t>
      </w:r>
    </w:p>
    <w:p w14:paraId="47D8425E" w14:textId="77777777" w:rsidR="000166EF" w:rsidRPr="002B06E4" w:rsidRDefault="000166EF" w:rsidP="00B70B70">
      <w:pPr>
        <w:pStyle w:val="NormalHanging12a"/>
        <w:widowControl/>
      </w:pPr>
      <w:r w:rsidRPr="002B06E4">
        <w:t>–</w:t>
      </w:r>
      <w:r w:rsidRPr="002B06E4">
        <w:tab/>
        <w:t>ottaa huomioon Euroopan unionin, Euroopan atomienergiayhteisön ja niiden jäsenvaltioiden sekä Moldovan tasavallan välisen assosiaatiosopimuksen</w:t>
      </w:r>
      <w:r w:rsidRPr="002B06E4">
        <w:rPr>
          <w:rStyle w:val="FootnoteReference"/>
        </w:rPr>
        <w:footnoteReference w:id="3"/>
      </w:r>
      <w:r w:rsidRPr="002B06E4">
        <w:t>, johon sisältyy pitkälle menevä ja laaja-alainen vapaakauppa-alue,</w:t>
      </w:r>
    </w:p>
    <w:p w14:paraId="4E76E531" w14:textId="77777777" w:rsidR="000166EF" w:rsidRPr="002B06E4" w:rsidRDefault="000166EF" w:rsidP="00B70B70">
      <w:pPr>
        <w:pStyle w:val="NormalHanging12a"/>
        <w:widowControl/>
      </w:pPr>
      <w:r w:rsidRPr="002B06E4">
        <w:t>–</w:t>
      </w:r>
      <w:r w:rsidRPr="002B06E4">
        <w:tab/>
        <w:t>ottaa huomioon 27. kesäkuuta 2025 annetut Eurooppa-neuvoston päätelmät Moldovasta,</w:t>
      </w:r>
    </w:p>
    <w:p w14:paraId="424368DC" w14:textId="77777777" w:rsidR="000166EF" w:rsidRPr="002B06E4" w:rsidRDefault="000166EF" w:rsidP="00B70B70">
      <w:pPr>
        <w:pStyle w:val="NormalHanging12a"/>
        <w:widowControl/>
      </w:pPr>
      <w:r w:rsidRPr="002B06E4">
        <w:t>–</w:t>
      </w:r>
      <w:r w:rsidRPr="002B06E4">
        <w:tab/>
        <w:t>ottaa huomioon kolmen EU:n valtion- tai hallitusten johtajan (Ranskan, Saksan ja Puolan) vierailun Moldovaan 27. elokuuta 2025 ja Romanian presidentin vierailun Moldovaan 31. elokuuta 2025,</w:t>
      </w:r>
    </w:p>
    <w:p w14:paraId="2F1A9484" w14:textId="77777777" w:rsidR="000166EF" w:rsidRPr="002B06E4" w:rsidRDefault="000166EF" w:rsidP="00B70B70">
      <w:pPr>
        <w:pStyle w:val="NormalHanging12a"/>
        <w:widowControl/>
      </w:pPr>
      <w:r w:rsidRPr="002B06E4">
        <w:t>–</w:t>
      </w:r>
      <w:r w:rsidRPr="002B06E4">
        <w:tab/>
        <w:t>ottaa huomioon Moldovan tasavallan presidentin vierailun Euroopan parlamenttiin 9. syyskuuta 2025,</w:t>
      </w:r>
    </w:p>
    <w:p w14:paraId="29C06891" w14:textId="77777777" w:rsidR="000166EF" w:rsidRPr="002B06E4" w:rsidRDefault="000166EF" w:rsidP="00B70B70">
      <w:pPr>
        <w:pStyle w:val="NormalHanging12a"/>
        <w:widowControl/>
      </w:pPr>
      <w:r w:rsidRPr="002B06E4">
        <w:t>–</w:t>
      </w:r>
      <w:r w:rsidRPr="002B06E4">
        <w:tab/>
        <w:t>ottaa huomioon 4. heinäkuuta 2025 pidetyn Moldovan tasavallan ensimmäisen EU-huippukokouksen päätteeksi annetun yhteisen julkilausuman,</w:t>
      </w:r>
    </w:p>
    <w:p w14:paraId="557849A2" w14:textId="77777777" w:rsidR="000166EF" w:rsidRPr="002B06E4" w:rsidRDefault="000166EF" w:rsidP="00B70B70">
      <w:pPr>
        <w:pStyle w:val="NormalHanging12a"/>
        <w:widowControl/>
      </w:pPr>
      <w:r w:rsidRPr="002B06E4">
        <w:lastRenderedPageBreak/>
        <w:t>–</w:t>
      </w:r>
      <w:r w:rsidRPr="002B06E4">
        <w:tab/>
        <w:t>ottaa huomioon laajentumisasioista vastaavan komission jäsenen vierailun Moldovaan 9. toukokuuta 2025 (Eurooppa-päivä),</w:t>
      </w:r>
    </w:p>
    <w:p w14:paraId="02ADA638" w14:textId="77777777" w:rsidR="000166EF" w:rsidRPr="002B06E4" w:rsidRDefault="000166EF" w:rsidP="00B70B70">
      <w:pPr>
        <w:pStyle w:val="NormalHanging12a"/>
        <w:widowControl/>
      </w:pPr>
      <w:r w:rsidRPr="002B06E4">
        <w:t>–</w:t>
      </w:r>
      <w:r w:rsidRPr="002B06E4">
        <w:tab/>
        <w:t>ottaa huomioon työjärjestyksen 136 artiklan 2 ja 4 kohdan,</w:t>
      </w:r>
    </w:p>
    <w:p w14:paraId="5ACE6811" w14:textId="77777777" w:rsidR="000166EF" w:rsidRPr="002B06E4" w:rsidRDefault="000166EF" w:rsidP="00B70B70">
      <w:pPr>
        <w:pStyle w:val="NormalHanging12a"/>
        <w:widowControl/>
      </w:pPr>
      <w:r w:rsidRPr="002B06E4">
        <w:t>A.</w:t>
      </w:r>
      <w:r w:rsidRPr="002B06E4">
        <w:tab/>
        <w:t>ottaa huomioon, että Moldovan tasavallassa järjestetään parlamenttivaalit 28. syyskuuta 2025, ja toteaa, että nämä vaalit ovat ratkaisevan tärkeät maan demokratian vahvistumisen ja EU-jäsenyyden edistymisen jatkumisen kannalta ja määrittävät sen tulevaisuuden vapaana ja suvereenina demokratiana osana EU:ta; ottaa huomioon, että parlamenttivaalit järjestetään tilanteessa, jossa Venäjä jatkaa sekaantumistaan ja pyrkii horjuttamaan maan poliittista toimintaympäristöä ja demokraattisia vaaliprosesseja;</w:t>
      </w:r>
    </w:p>
    <w:p w14:paraId="3B7B3716" w14:textId="77777777" w:rsidR="000166EF" w:rsidRPr="002B06E4" w:rsidRDefault="000166EF" w:rsidP="00B70B70">
      <w:pPr>
        <w:pStyle w:val="NormalHanging12a"/>
        <w:widowControl/>
      </w:pPr>
      <w:r w:rsidRPr="002B06E4">
        <w:t>B.</w:t>
      </w:r>
      <w:r w:rsidRPr="002B06E4">
        <w:tab/>
        <w:t>ottaa huomioon, että Moldovassa järjestettiin 20. lokakuuta 2024 kansanäänestys, jonka tuloksena vahvistettiin, että liittyminen EU:hun suojattaisiin Moldovan perustuslaissa, huolimatta siitä, että Venäjä yrittää horjuttaa maan vakautta ennennäkemättömän voimakkaalla manipuloivalla sekaantumisella, kuten poliittisten toimijoiden laittomalla rahoituksella, disinformaatiokampanjoilla ja kyberhyökkäyksillä;</w:t>
      </w:r>
    </w:p>
    <w:p w14:paraId="00FD087C" w14:textId="77777777" w:rsidR="000166EF" w:rsidRPr="002B06E4" w:rsidRDefault="000166EF" w:rsidP="00B70B70">
      <w:pPr>
        <w:pStyle w:val="NormalHanging12a"/>
        <w:widowControl/>
        <w:rPr>
          <w:i/>
          <w:iCs/>
        </w:rPr>
      </w:pPr>
      <w:r w:rsidRPr="002B06E4">
        <w:t>C.</w:t>
      </w:r>
      <w:r w:rsidRPr="002B06E4">
        <w:tab/>
        <w:t>ottaa huomioon, että lukuisissa raporteissa kerrotaan Venäjän ja Venäjän sijaistoimijoiden jatkaneen ja voimistaneen yrityksiään disinformaation levittämiseksi ja vakauden horjuttamiseksi sekä maan asioihin sekaantumiseksi, ja toteaa, että tällä halutaan suistaa Moldovan demokraattiset uudistukset ja EU:hun yhdentymisprosessi raiteiltaan, kiristää maan poliittista valvontaa sekä hioa Moldovan, Ukrainan ja muiden Euroopan maiden vastaisia hybriditaktiikoita, kuten äskettäin Romaniassa;</w:t>
      </w:r>
    </w:p>
    <w:p w14:paraId="063B2716" w14:textId="77777777" w:rsidR="000166EF" w:rsidRPr="002B06E4" w:rsidRDefault="000166EF" w:rsidP="00B70B70">
      <w:pPr>
        <w:pStyle w:val="NormalHanging12a"/>
        <w:widowControl/>
      </w:pPr>
      <w:r w:rsidRPr="002B06E4">
        <w:t>D.</w:t>
      </w:r>
      <w:r w:rsidRPr="002B06E4">
        <w:tab/>
        <w:t xml:space="preserve">ottaa huomioon, että 30. heinäkuuta 2025 pidetyn ylimmän turvallisuusneuvoston kokouksen jälkeen presidentti Maia </w:t>
      </w:r>
      <w:proofErr w:type="spellStart"/>
      <w:r w:rsidRPr="002B06E4">
        <w:t>Sandu</w:t>
      </w:r>
      <w:proofErr w:type="spellEnd"/>
      <w:r w:rsidRPr="002B06E4">
        <w:t xml:space="preserve"> esitteli hybridisodankäynnin menetelmiä koskevat Moldovan erityisinstituutioiden havainnot, joissa yksilöitiin 10 pääasiallista välinettä, joita käytetään ulkomaisessa sekaantumisessa Moldovan poliittiseen prosessiin ja vaaliprosessiin;</w:t>
      </w:r>
    </w:p>
    <w:p w14:paraId="265726A6" w14:textId="77777777" w:rsidR="000166EF" w:rsidRPr="002B06E4" w:rsidRDefault="000166EF" w:rsidP="00B70B70">
      <w:pPr>
        <w:pStyle w:val="NormalHanging12a"/>
        <w:widowControl/>
      </w:pPr>
      <w:r w:rsidRPr="002B06E4">
        <w:t>E.</w:t>
      </w:r>
      <w:r w:rsidRPr="002B06E4">
        <w:tab/>
        <w:t xml:space="preserve">ottaa huomioon, että EU määräsi 15. heinäkuuta 2025 seuraamuksia seitsemälle yksityishenkilölle ja kolmelle yhteisölle, jotka ovat vastuussa Moldovan tasavallan suvereniteettia ja itsenäisyyttä sekä demokratiaa, oikeusvaltiota ja vakautta horjuttavista, heikentävistä tai uhkaavista toimista; toteaa näiden seuraamusten kohdistuvan Ilan </w:t>
      </w:r>
      <w:proofErr w:type="spellStart"/>
      <w:r w:rsidRPr="002B06E4">
        <w:t>Șorin</w:t>
      </w:r>
      <w:proofErr w:type="spellEnd"/>
      <w:r w:rsidRPr="002B06E4">
        <w:t xml:space="preserve"> ja kielletyn ȘOR-puolueen läheisiin liittolaisiin, henkilöihin, jotka ovat osallistuneet aktiivisesti äänten ostamista koskeviin järjestelyihin ja korruptoituneiden politiikkojen lahjontaan;</w:t>
      </w:r>
    </w:p>
    <w:p w14:paraId="7872815B" w14:textId="77777777" w:rsidR="000166EF" w:rsidRPr="002B06E4" w:rsidRDefault="000166EF" w:rsidP="00B70B70">
      <w:pPr>
        <w:pStyle w:val="NormalHanging12a"/>
        <w:widowControl/>
      </w:pPr>
      <w:r w:rsidRPr="002B06E4">
        <w:t>F.</w:t>
      </w:r>
      <w:r w:rsidRPr="002B06E4">
        <w:tab/>
        <w:t>ottaa huomioon, että Moldovan kansalaisyhteiskunnalla ja riippumattomilla tiedotusvälineillä on ratkaiseva rooli disinformaation paljastamisessa, häiriönsietokyvyn vahvistamisessa ja demokraattisten arvojen puolustamisessa; ottaa huomioon, että Moldovan tasavalta on onnistunut vahvistamaan merkittävästi demokratiaansa, etenemään uudistuspolullaan ja kehittämään suhteitaan EU:hun; toteaa, että parannukset Moldovan demokraattisessa järjestelmässä ovat näkyneet maan sijoituksen paranemisena useissa kansainvälisissä indekseissä; ottaa huomioon, että Moldova on edistynyt merkittävästi oikeuslaitosta koskevissa uudistuksissa, mukaan lukien tuomareiden taustaselvitykset sekä oikeuslaitoksen rakenneuudistus ja sen riippumattomuuden vahvistaminen ja korruption vastaisten säännösten parantaminen; ottaa huomioon, että kansalaisten luottamus demokraattisiin instituutioihin on olennaisen tärkeää Moldovan vakaudelle ja pahantahtoisen sekaantumisen torjumiselle;</w:t>
      </w:r>
    </w:p>
    <w:p w14:paraId="6D4926C0" w14:textId="41E51895" w:rsidR="005D3BD5" w:rsidRPr="002B06E4" w:rsidRDefault="002B06E4" w:rsidP="00B70B70">
      <w:pPr>
        <w:pStyle w:val="NormalHanging12a"/>
        <w:widowControl/>
      </w:pPr>
      <w:r w:rsidRPr="002B06E4">
        <w:lastRenderedPageBreak/>
        <w:t>G</w:t>
      </w:r>
      <w:r w:rsidR="005D3BD5" w:rsidRPr="002B06E4">
        <w:t>.</w:t>
      </w:r>
      <w:r w:rsidR="005D3BD5" w:rsidRPr="002B06E4">
        <w:tab/>
        <w:t xml:space="preserve">ottaa huomioon, että äskettäinen journalistinen tutkimus, joka perustui peitetoimittajan soluttautumiseen ȘOR-puolueen verkostoon vuodesta 2024 alkaen, paljasti, että Venäjän propagandan levittämiseksi </w:t>
      </w:r>
      <w:proofErr w:type="spellStart"/>
      <w:r w:rsidR="005D3BD5" w:rsidRPr="002B06E4">
        <w:t>TikTokissa</w:t>
      </w:r>
      <w:proofErr w:type="spellEnd"/>
      <w:r w:rsidR="005D3BD5" w:rsidRPr="002B06E4">
        <w:t xml:space="preserve"> ja Facebookissa oli perustettu satoja valetilejä, joita </w:t>
      </w:r>
      <w:proofErr w:type="spellStart"/>
      <w:r w:rsidR="005D3BD5" w:rsidRPr="002B06E4">
        <w:t>Victorie</w:t>
      </w:r>
      <w:proofErr w:type="spellEnd"/>
      <w:r w:rsidR="005D3BD5" w:rsidRPr="002B06E4">
        <w:t xml:space="preserve">-ryhmittymän aktivistit hallinnoivat Moskovasta käsin Ilan </w:t>
      </w:r>
      <w:proofErr w:type="spellStart"/>
      <w:r w:rsidR="005D3BD5" w:rsidRPr="002B06E4">
        <w:t>Șorin</w:t>
      </w:r>
      <w:proofErr w:type="spellEnd"/>
      <w:r w:rsidR="005D3BD5" w:rsidRPr="002B06E4">
        <w:t xml:space="preserve"> valvonnassa; ottaa huomioon, että tätä Eurooppa-vastaista sisältöä, joka on täysin linjassa Kremlin narratiivin kanssa, seurattiin ja koordinoitiin järjestelmällisesti salaisissa </w:t>
      </w:r>
      <w:proofErr w:type="spellStart"/>
      <w:r w:rsidR="005D3BD5" w:rsidRPr="002B06E4">
        <w:t>Telegram</w:t>
      </w:r>
      <w:proofErr w:type="spellEnd"/>
      <w:r w:rsidR="005D3BD5" w:rsidRPr="002B06E4">
        <w:t>-ryhmissä ja -kanavissa</w:t>
      </w:r>
      <w:r w:rsidR="005D3BD5" w:rsidRPr="002B06E4">
        <w:rPr>
          <w:rStyle w:val="FootnoteReference"/>
        </w:rPr>
        <w:footnoteReference w:id="4"/>
      </w:r>
      <w:r w:rsidR="005D3BD5" w:rsidRPr="002B06E4">
        <w:t xml:space="preserve">; </w:t>
      </w:r>
    </w:p>
    <w:p w14:paraId="5BD972CF" w14:textId="0CECE4FF" w:rsidR="000166EF" w:rsidRPr="002B06E4" w:rsidRDefault="002B06E4" w:rsidP="00B70B70">
      <w:pPr>
        <w:pStyle w:val="NormalHanging12a"/>
        <w:widowControl/>
      </w:pPr>
      <w:r w:rsidRPr="002B06E4">
        <w:t>H</w:t>
      </w:r>
      <w:r w:rsidR="000166EF" w:rsidRPr="002B06E4">
        <w:t>.</w:t>
      </w:r>
      <w:r w:rsidR="000166EF" w:rsidRPr="002B06E4">
        <w:tab/>
        <w:t>pitää tärkeänä osoittaa julkisesti horjumatonta solidaarisuutta Moldovan kansalle, joka on kärsinyt mittavasti Venäjän Ukrainaa vastaan käymästä hyökkäyssodasta ja Venäjän jatkuvista, kohdennetuista hybridiuhkista, joilla pyritään horjuttamaan maan poliittista vakautta ja heikentämään sen taloudellista vaurautta ja sosiaalista yhteenkuuluvuutta;</w:t>
      </w:r>
    </w:p>
    <w:p w14:paraId="40166343" w14:textId="7719CE72" w:rsidR="000166EF" w:rsidRPr="002B06E4" w:rsidRDefault="002B06E4" w:rsidP="00B70B70">
      <w:pPr>
        <w:pStyle w:val="NormalHanging12a"/>
        <w:widowControl/>
      </w:pPr>
      <w:r w:rsidRPr="002B06E4">
        <w:t>I</w:t>
      </w:r>
      <w:r w:rsidR="000166EF" w:rsidRPr="002B06E4">
        <w:t>.</w:t>
      </w:r>
      <w:r w:rsidR="000166EF" w:rsidRPr="002B06E4">
        <w:tab/>
        <w:t>ottaa huomioon, että Moldovan arvioiden mukaan Venäjä on investoinut propaganda- ja tiedotusoperaatioihin Moldovan tasavallassa jo yli 200 miljoonaa euroa, joka vastaa yli yhtä prosenttia Moldovan BKT:stä;</w:t>
      </w:r>
    </w:p>
    <w:p w14:paraId="35EAE90B" w14:textId="3411D404" w:rsidR="000166EF" w:rsidRPr="002B06E4" w:rsidRDefault="002B06E4" w:rsidP="00B70B70">
      <w:pPr>
        <w:pStyle w:val="NormalHanging12a"/>
        <w:widowControl/>
      </w:pPr>
      <w:r w:rsidRPr="002B06E4">
        <w:t>J</w:t>
      </w:r>
      <w:r w:rsidR="000166EF" w:rsidRPr="002B06E4">
        <w:t>.</w:t>
      </w:r>
      <w:r w:rsidR="000166EF" w:rsidRPr="002B06E4">
        <w:tab/>
        <w:t>ottaa huomioon, että Euroopan parlamentin valtuuskunnan osallistuminen Euroopan turvallisuus- ja yhteistyöjärjestön (Etyj) demokraattisten instituutioiden ja ihmisoikeuksien toimiston (ODIHR) kansainväliseen vaalitarkkailuvaltuuskuntaan 28. syyskuuta 2025 pidettävissä Moldovan parlamenttivaaleissa osoittaa, että parlamentti on sitoutunut tukemaan Moldovan vaaliprosessien loukkaamattomuutta ja vahvistamaan demokraattisia instituutioita;</w:t>
      </w:r>
    </w:p>
    <w:p w14:paraId="0FFB0D76" w14:textId="2AFF66CF" w:rsidR="000166EF" w:rsidRPr="002B06E4" w:rsidRDefault="002B06E4" w:rsidP="00B70B70">
      <w:pPr>
        <w:pStyle w:val="NormalHanging12a"/>
        <w:widowControl/>
      </w:pPr>
      <w:r w:rsidRPr="002B06E4">
        <w:t>K</w:t>
      </w:r>
      <w:r w:rsidR="000166EF" w:rsidRPr="002B06E4">
        <w:t>.</w:t>
      </w:r>
      <w:r w:rsidR="000166EF" w:rsidRPr="002B06E4">
        <w:tab/>
        <w:t>ottaa huomioon, että kesäkuussa 2025 kokoontuneen Eurooppa-neuvoston päätelmissä vahvistettiin täysi tuki Moldovan etenemiselle kohti EU-jäsenyyttä ja kehotettiin neuvostoa toteuttamaan liittymisprosessin seuraavat vaiheet; toteaa, että EU:n laajentuminen perustuu tiukkoihin ehtoihin ja periaatteeseen, jonka mukaan kutakin ehdokasmaata arvioidaan sen omien ansioiden ja uudistusten edistymisen perusteella;</w:t>
      </w:r>
    </w:p>
    <w:p w14:paraId="2D401FC4" w14:textId="77777777" w:rsidR="000166EF" w:rsidRPr="002B06E4" w:rsidRDefault="000166EF" w:rsidP="00B70B70">
      <w:pPr>
        <w:pStyle w:val="NormalHanging12a"/>
        <w:widowControl/>
      </w:pPr>
      <w:r w:rsidRPr="002B06E4">
        <w:t>1.</w:t>
      </w:r>
      <w:r w:rsidRPr="002B06E4">
        <w:tab/>
        <w:t>ilmaisee solidaarisuutensa Moldovan tasavallan kansaa kohtaan ja toistaa tukevansa vankkumatta Moldovan tasavallan itsenäisyyttä, suvereniteettia ja alueellista koskemattomuutta sekä sen pyrkimyksiä puolustaa demokraattisten prosessiensa luotettavuutta, ulkopoliittisten päätöstensä suvereniteettia ja kansansa sosioekonomisia mahdollisuuksia; kehottaa siksi Venäjää kunnioittamaan Moldovan itsenäisyyttä, suvereniteettia ja alueellista koskemattomuutta ja lopettamaan yrityksensä heikentää Moldovan perustuslaillista järjestystä ja demokraattisia instituutioita;</w:t>
      </w:r>
    </w:p>
    <w:p w14:paraId="100F6903" w14:textId="77777777" w:rsidR="000166EF" w:rsidRPr="002B06E4" w:rsidRDefault="000166EF" w:rsidP="00B70B70">
      <w:pPr>
        <w:pStyle w:val="NormalHanging12a"/>
        <w:widowControl/>
        <w:rPr>
          <w:szCs w:val="24"/>
        </w:rPr>
      </w:pPr>
      <w:r w:rsidRPr="002B06E4">
        <w:t>2.</w:t>
      </w:r>
      <w:r w:rsidRPr="002B06E4">
        <w:tab/>
        <w:t>tuomitsee Venäjän federaation, Venäjä-mielisten oligarkkien ja Venäjän tukemien paikallisten sijaistoimijoiden toistuvat yritykset horjuttaa Moldovan vakautta, kylvää eripuraa Moldovan yhteiskunnassa ja jarruttaa maan demokratiaa ja edistymistä kohti EU-jäsenyyttä hybridi-iskuilla, manipuloimalla energian toimituksia poliittisten tarkoitusperien saavuttamiseksi, rahoittamalla laittomasti poliittisia toimijoita sekä kohdistamalla disinformaatio-, manipulointi- ja pelottelukampanjoita kansalaisyhteiskunnan järjestöihin ja riippumattomiin tiedotusvälineisiin;</w:t>
      </w:r>
    </w:p>
    <w:p w14:paraId="3A3C6484" w14:textId="77777777" w:rsidR="000166EF" w:rsidRPr="002B06E4" w:rsidRDefault="000166EF" w:rsidP="00B70B70">
      <w:pPr>
        <w:pStyle w:val="NormalHanging12a"/>
        <w:widowControl/>
        <w:rPr>
          <w:szCs w:val="24"/>
        </w:rPr>
      </w:pPr>
      <w:r w:rsidRPr="002B06E4">
        <w:t>3.</w:t>
      </w:r>
      <w:r w:rsidRPr="002B06E4">
        <w:tab/>
        <w:t xml:space="preserve">tuomitsee Venäjän kiihtyvät hybridioperaatiot ja sekaantumisyritykset ennen 28. syyskuuta 2025 pidettäviä parlamenttivaaleja ja toteaa, että niillä pyritään selvästi </w:t>
      </w:r>
      <w:r w:rsidRPr="002B06E4">
        <w:lastRenderedPageBreak/>
        <w:t>horjuttamaan maan vakautta ja kääntämään sen demokraattinen suunta sekä vaikuttamaan sen suvereeneihin päätöksiin erityisesti tulevan EU-jäsenyyden osalta;</w:t>
      </w:r>
    </w:p>
    <w:p w14:paraId="39E90048" w14:textId="77777777" w:rsidR="000166EF" w:rsidRPr="002B06E4" w:rsidRDefault="000166EF" w:rsidP="00B70B70">
      <w:pPr>
        <w:pStyle w:val="NormalHanging12a"/>
        <w:widowControl/>
        <w:rPr>
          <w:szCs w:val="24"/>
        </w:rPr>
      </w:pPr>
      <w:r w:rsidRPr="002B06E4">
        <w:rPr>
          <w:szCs w:val="24"/>
        </w:rPr>
        <w:t>4.</w:t>
      </w:r>
      <w:r w:rsidRPr="002B06E4">
        <w:rPr>
          <w:szCs w:val="24"/>
        </w:rPr>
        <w:tab/>
        <w:t>antaa tunnustusta Moldovan esimerkilliselle sitoutumiselle ja vakaalle edistymiselle EU:hun liittymiseen liittyvissä uudistuksissa – huolimatta merkittävistä sisäisistä ja ulkoisista haasteista, kuten Venäjän täysimittainen hyökkäyssota Ukrainaa vastaan ja Venäjän Moldovaan kohdistamat hybridiuhkat – ja toteaa, että niiden ansiosta liittymisneuvottelut pystyttiin aloittamaan kesäkuussa 2024, vain kuusi kuukautta asiaa koskevan Eurooppa-neuvoston 14. joulukuuta 2023 tekemän päätöksen jälkeen ja alle kaksi vuotta siitä, kun Moldova jätti EU-jäsenyyshakemuksensa 3. maaliskuuta 2022; kehottaa neuvostoa ja komissiota noudattamaan omien ansioiden periaatetta arvioimalla kutakin ehdokasmaata erikseen ja varmistamalla, että edistyminen</w:t>
      </w:r>
      <w:r w:rsidRPr="002B06E4">
        <w:t xml:space="preserve"> liittymisprosessin </w:t>
      </w:r>
      <w:r w:rsidRPr="002B06E4">
        <w:rPr>
          <w:szCs w:val="24"/>
        </w:rPr>
        <w:t>vaiheissa, mukaan lukien neuvottelulukujen avaaminen, määräytyy maan omien saavutusten ja olosuhteiden perusteella; vahvistaa horjumattoman tukensa Moldovan EU-jäsenyysnäkymille; kehottaa lisäksi neuvostoa aloittamaan nopeasti liittymisneuvottelut temaattisesta kokonaisuudesta 1 (perusasiat) tunnustuksena siitä, että Moldova on edistynyt merkittävästi keskeisten uudistusten edistämisessä;</w:t>
      </w:r>
    </w:p>
    <w:p w14:paraId="3ABCAC50" w14:textId="77777777" w:rsidR="000166EF" w:rsidRPr="002B06E4" w:rsidRDefault="000166EF" w:rsidP="00B70B70">
      <w:pPr>
        <w:pStyle w:val="NormalHanging12a"/>
        <w:widowControl/>
        <w:rPr>
          <w:szCs w:val="24"/>
        </w:rPr>
      </w:pPr>
      <w:r w:rsidRPr="002B06E4">
        <w:rPr>
          <w:szCs w:val="24"/>
        </w:rPr>
        <w:t>5.</w:t>
      </w:r>
      <w:r w:rsidRPr="002B06E4">
        <w:rPr>
          <w:szCs w:val="24"/>
        </w:rPr>
        <w:tab/>
        <w:t>kehottaa EU:ta tukemaan edelleen Moldovan tasavaltaa vapaiden, oikeudenmukaisten ja avointen vaalien järjestämisessä; korostaa kansainvälisten tarkkailijoiden keskeistä roolia vaaliprosessin seurannan lisäksi myös vihamielisen ulkomaisen sekaantumisen, mukaan lukien disinformaatio, laiton rahoitus ja koordinoidut kyber- tai vaikutusoperaatiot, seurannassa ja dokumentoinnissa;</w:t>
      </w:r>
    </w:p>
    <w:p w14:paraId="732B50F3" w14:textId="77777777" w:rsidR="000166EF" w:rsidRPr="002B06E4" w:rsidRDefault="000166EF" w:rsidP="00B70B70">
      <w:pPr>
        <w:pStyle w:val="NormalHanging12a"/>
        <w:widowControl/>
      </w:pPr>
      <w:r w:rsidRPr="002B06E4">
        <w:rPr>
          <w:szCs w:val="24"/>
        </w:rPr>
        <w:t>6.</w:t>
      </w:r>
      <w:r w:rsidRPr="002B06E4">
        <w:rPr>
          <w:szCs w:val="24"/>
        </w:rPr>
        <w:tab/>
        <w:t>on vakaasti sitä mieltä, että Moldovan kyky vakiinnuttaa tämänhetkinen edistymisensä EU:hun liittymiseen tähtäävissä uudistuksissa ja pitää yllä kunnianhimoista tahtiaan kohti EU-jäsenyyttä edellyttää</w:t>
      </w:r>
      <w:r w:rsidRPr="002B06E4">
        <w:t xml:space="preserve"> vahvaa ja aitoa tukea sen parlamentilta;</w:t>
      </w:r>
    </w:p>
    <w:p w14:paraId="5FCD7CF3" w14:textId="77777777" w:rsidR="000166EF" w:rsidRPr="002B06E4" w:rsidRDefault="000166EF" w:rsidP="00B70B70">
      <w:pPr>
        <w:pStyle w:val="NormalHanging12a"/>
        <w:widowControl/>
      </w:pPr>
      <w:r w:rsidRPr="002B06E4">
        <w:t>7.</w:t>
      </w:r>
      <w:r w:rsidRPr="002B06E4">
        <w:tab/>
        <w:t xml:space="preserve">panee tyytyväisenä merkille EU:n pyrkimykset antaa Moldovalle korkeimman tason poliittista tukea, erityisesti kaikkien aikojen ensimmäisen EU:n ja Moldovan huippukokouksen </w:t>
      </w:r>
      <w:proofErr w:type="spellStart"/>
      <w:r w:rsidRPr="002B06E4">
        <w:t>Chișinăussa</w:t>
      </w:r>
      <w:proofErr w:type="spellEnd"/>
      <w:r w:rsidRPr="002B06E4">
        <w:t xml:space="preserve"> 4. heinäkuuta 2025, EU:n (Ranskan, Saksan ja Puolan) valtion- tai hallitusten johtajien vierailun Moldovaan 27. elokuuta 2025 ja Romanian presidentin vierailun Moldovaan 31. elokuuta 2025, ja toteaa, että näissä kaikissa EU painotti jälleen, että Moldovalla on todellinen näkymä liittymisestä omien ansioidensa perusteella ja demokratian periaatteita kunnioittaen;</w:t>
      </w:r>
    </w:p>
    <w:p w14:paraId="693F6E16" w14:textId="77777777" w:rsidR="000166EF" w:rsidRPr="002B06E4" w:rsidRDefault="000166EF" w:rsidP="00B70B70">
      <w:pPr>
        <w:pStyle w:val="NormalHanging12a"/>
        <w:widowControl/>
        <w:rPr>
          <w:rStyle w:val="NormalHanging12aChar"/>
          <w:szCs w:val="24"/>
        </w:rPr>
      </w:pPr>
      <w:r w:rsidRPr="002B06E4">
        <w:t>8.</w:t>
      </w:r>
      <w:r w:rsidRPr="002B06E4">
        <w:tab/>
      </w:r>
      <w:r w:rsidRPr="002B06E4">
        <w:rPr>
          <w:rStyle w:val="NormalHanging12aChar"/>
        </w:rPr>
        <w:t>kehottaa uudelleen EU:ta täydentämään jatkossakin poliittista tukeaan sillä, että annetaan Moldovan hallitukselle lisää taloudellista ja teknistä tukea toimiin, joilla se pyrkii torjumaan ulkomaista sekaantumista maan demokraattisiin prosesseihin, esimerkiksi laatimalla lisää 15. heinäkuuta 2025 esitetyn pakoteluettelon kaltaisia luetteloita, myöntämällä lisätukea Moldovassa toteutettavan EU:n kumppanuusoperaation (EUPM) toimeksiannolle, vaihtamalla tietoa epäilyttävistä rahavirroista, myös kryptovaluuttoina toteutuvista, sekä hämäristä tai laittomista rahoitusverkostoista, jakamalla ulkomaiseen tiedonmanipulointiin ja häirintään liittyvää asiantuntemusta, torjumalla hybridiuhkia ja vahvistamalla häiriönsietokykyä;</w:t>
      </w:r>
      <w:bookmarkStart w:id="7" w:name="_Hlk194942091"/>
      <w:r w:rsidRPr="002B06E4">
        <w:rPr>
          <w:rStyle w:val="NormalHanging12aChar"/>
        </w:rPr>
        <w:t xml:space="preserve"> kehottaa jälleen Moldovan viranomaisia ja EU:ta lisäämään tukeaan riippumattomille tiedotusvälineille ja demokratiamyönteiselle kansalaisyhteiskunnalle, jotta valtakunnallisella ja alueellisella tasolla työskentelevät toimittajat voivat torjua ulkomaista tiedonmanipulointia ja häirintää ja jotta digitaalinen lukutaito vahvistuu;</w:t>
      </w:r>
      <w:bookmarkEnd w:id="7"/>
      <w:r w:rsidRPr="002B06E4">
        <w:rPr>
          <w:rStyle w:val="NormalHanging12aChar"/>
        </w:rPr>
        <w:t xml:space="preserve"> pitää myönteisenä komission ilmoitusta eurooppalaisen digitaalisen median seurantafoorumin (EDMO) uuden alueellisen keskuksen perustamisesta Moldovan ja Ukrainan tukemiseksi disinformaation torjunnassa; kehottaa painokkaasti tärkeimpiä </w:t>
      </w:r>
      <w:r w:rsidRPr="002B06E4">
        <w:rPr>
          <w:rStyle w:val="NormalHanging12aChar"/>
        </w:rPr>
        <w:lastRenderedPageBreak/>
        <w:t xml:space="preserve">verkkoalustoja, erityisesti Metaa, Googlea, </w:t>
      </w:r>
      <w:proofErr w:type="spellStart"/>
      <w:r w:rsidRPr="002B06E4">
        <w:rPr>
          <w:rStyle w:val="NormalHanging12aChar"/>
        </w:rPr>
        <w:t>Telegramia</w:t>
      </w:r>
      <w:proofErr w:type="spellEnd"/>
      <w:r w:rsidRPr="002B06E4">
        <w:rPr>
          <w:rStyle w:val="NormalHanging12aChar"/>
        </w:rPr>
        <w:t xml:space="preserve">, </w:t>
      </w:r>
      <w:proofErr w:type="spellStart"/>
      <w:r w:rsidRPr="002B06E4">
        <w:rPr>
          <w:rStyle w:val="NormalHanging12aChar"/>
        </w:rPr>
        <w:t>Tiktokia</w:t>
      </w:r>
      <w:proofErr w:type="spellEnd"/>
      <w:r w:rsidRPr="002B06E4">
        <w:rPr>
          <w:rStyle w:val="NormalHanging12aChar"/>
        </w:rPr>
        <w:t xml:space="preserve">, Microsoftia ja </w:t>
      </w:r>
      <w:proofErr w:type="spellStart"/>
      <w:r w:rsidRPr="002B06E4">
        <w:rPr>
          <w:rStyle w:val="NormalHanging12aChar"/>
        </w:rPr>
        <w:t>Rakutenia</w:t>
      </w:r>
      <w:proofErr w:type="spellEnd"/>
      <w:r w:rsidRPr="002B06E4">
        <w:rPr>
          <w:rStyle w:val="NormalHanging12aChar"/>
        </w:rPr>
        <w:t>, tekemään tiivistä yhteistyötä Moldovan viranomaisten, kansalaisyhteiskunnan ja uuden EDMO-keskuksen kanssa; kehottaa Moldovaa mukauttamaan viipymättä lainsäädäntönsä EU:n digimarkkinasäädökseen</w:t>
      </w:r>
      <w:r w:rsidRPr="002B06E4">
        <w:rPr>
          <w:rStyle w:val="FootnoteReference"/>
        </w:rPr>
        <w:footnoteReference w:id="5"/>
      </w:r>
      <w:r w:rsidRPr="002B06E4">
        <w:rPr>
          <w:rStyle w:val="NormalHanging12aChar"/>
        </w:rPr>
        <w:t xml:space="preserve"> ja digipalvelusäädökseen</w:t>
      </w:r>
      <w:r w:rsidRPr="002B06E4">
        <w:rPr>
          <w:rStyle w:val="FootnoteReference"/>
        </w:rPr>
        <w:footnoteReference w:id="6"/>
      </w:r>
      <w:r w:rsidRPr="002B06E4">
        <w:rPr>
          <w:rStyle w:val="NormalHanging12aChar"/>
        </w:rPr>
        <w:t>; pyytää komissiota antamaan Moldovalle kohdennettua tukea tässä asiassa;</w:t>
      </w:r>
    </w:p>
    <w:p w14:paraId="416F2CD7" w14:textId="77777777" w:rsidR="000166EF" w:rsidRPr="002B06E4" w:rsidRDefault="000166EF" w:rsidP="00B70B70">
      <w:pPr>
        <w:pStyle w:val="NormalHanging12a"/>
        <w:widowControl/>
        <w:rPr>
          <w:szCs w:val="24"/>
        </w:rPr>
      </w:pPr>
      <w:r w:rsidRPr="002B06E4">
        <w:t>9.</w:t>
      </w:r>
      <w:r w:rsidRPr="002B06E4">
        <w:tab/>
        <w:t xml:space="preserve">kannustaa Moldovan viranomaisia hyödyntämään täysimääräisesti </w:t>
      </w:r>
      <w:proofErr w:type="spellStart"/>
      <w:r w:rsidRPr="002B06E4">
        <w:t>EUPM:n</w:t>
      </w:r>
      <w:proofErr w:type="spellEnd"/>
      <w:r w:rsidRPr="002B06E4">
        <w:t xml:space="preserve"> asiantuntemusta, jonka ansiosta voidaan torjua mahdollisesti jälleen tapahtuvaa sekaantumista vaaleihin ennen 28. syyskuuta 2025 pidettäviä parlamenttivaaleja; kannustaa Euroopan ulkosuhdehallintoa ja komissiota käyttämään kaikkia saatavilla olevia EU:n välineitä, myös hybridialan nopean toiminnan ryhmää, kyberalan nopean toiminnan ryhmää ja kyberturvallisuusreserviä, tukeakseen Moldovaa hybridiuhkien torjunnassa; suhtautuu myönteisesti Moldovan strategisen viestinnän ja disinformaation torjunnan keskuksen toimiin, joilla koordinoidaan ulkomaisen sekaantumisen torjuntaa Moldovan eri instituutioiden kesken, sekä kansallisen kyberturvallisuusviraston ja kansallisen kyberturvallisuusinnovaatioiden instituutin toimiin ja kehottaa EU:ta osoittamaan näille lisätukea; muistuttaa, että on tärkeää parantaa turvallisuusuhkia koskevaa tietojenvaihtoa ja tiedusteluyhteistyötä Moldovan sekä EU:n ja sen jäsenvaltioiden välillä; kehottaa EU:ta ottamaan opiksi Moldovassa saaduista kokemuksista, joita voidaan soveltaa EU:n omien vaaliprosessien ja demokraattisten instituutioiden suojelemiseen;</w:t>
      </w:r>
    </w:p>
    <w:p w14:paraId="61180EB1" w14:textId="77777777" w:rsidR="000166EF" w:rsidRPr="002B06E4" w:rsidRDefault="000166EF" w:rsidP="00B70B70">
      <w:pPr>
        <w:pStyle w:val="NormalHanging12a"/>
        <w:widowControl/>
        <w:rPr>
          <w:szCs w:val="24"/>
        </w:rPr>
      </w:pPr>
      <w:r w:rsidRPr="002B06E4">
        <w:t>10.</w:t>
      </w:r>
      <w:r w:rsidRPr="002B06E4">
        <w:tab/>
        <w:t xml:space="preserve">panee merkille, että Moldova on johdonmukaisesti omaksunut EU:n yhteisen ulko- ja turvallisuuspolitiikan kannat, toteuttanut turvallisuus- ja puolustuskumppanuutta EU:n kanssa vuodesta 2024 alkaen sekä laatinut uuden kansallisen puolustusstrategian vuosiksi 2024–2034; kehottaa siksi jäsenvaltioita lisäämään rahoitusta Moldovalle Euroopan rauhanrahaston kautta, kun otetaan myös huomioon, että Venäjän </w:t>
      </w:r>
      <w:proofErr w:type="spellStart"/>
      <w:r w:rsidRPr="002B06E4">
        <w:t>droonit</w:t>
      </w:r>
      <w:proofErr w:type="spellEnd"/>
      <w:r w:rsidRPr="002B06E4">
        <w:t xml:space="preserve"> ja ohjukset ovat toistuvasti loukanneet Moldovan ilmatilaa, sekä ottamaan Moldovan mukaan yhteisiin puolustushankintoihin Euroopan puolustusteollisuusohjelman kautta; korostaa Moldovan roolia EU:n itärajan ja Mustanmeren alueen turvallisuuden ja vakauden kannalta Venäjän Ukrainaa vastaan käymän hyökkäyssodan aiheuttamien humanitaarisen ja energiakriisin yhteydessä;</w:t>
      </w:r>
    </w:p>
    <w:p w14:paraId="72F88D4A" w14:textId="77777777" w:rsidR="000166EF" w:rsidRPr="002B06E4" w:rsidRDefault="000166EF" w:rsidP="00B70B70">
      <w:pPr>
        <w:pStyle w:val="NormalHanging12a"/>
        <w:widowControl/>
      </w:pPr>
      <w:r w:rsidRPr="002B06E4">
        <w:t>11.</w:t>
      </w:r>
      <w:r w:rsidRPr="002B06E4">
        <w:tab/>
        <w:t>vaatii Venäjän federaatiota vetämään sotilasjoukkonsa, -kalustonsa ja ampumatarvikkeensa Transnistrian alueelta ja tukemaan rauhanomaista konfliktinratkaisua kansainvälisen oikeuden ja Moldovan suvereniteetin ja alueellisen koskemattomuuden pohjalta;</w:t>
      </w:r>
    </w:p>
    <w:p w14:paraId="44514CCA" w14:textId="2317E65F" w:rsidR="000166EF" w:rsidRPr="002B06E4" w:rsidRDefault="000166EF" w:rsidP="00B70B70">
      <w:pPr>
        <w:pStyle w:val="NormalHanging12a"/>
        <w:widowControl/>
        <w:rPr>
          <w:szCs w:val="24"/>
        </w:rPr>
      </w:pPr>
      <w:r w:rsidRPr="002B06E4">
        <w:t>12.</w:t>
      </w:r>
      <w:r w:rsidRPr="002B06E4">
        <w:tab/>
        <w:t>kehottaa Moldovan viranomaisia ja kansalaisyhteiskuntaa sekä EU:ta tehostamaan strategista viestintää ja kumoamaan ja torjumaan Venäjän edistämiä vääriä narratiiveja, jotka koskevat EU:ta ja sen politiikkaa, sekä korostamaan EU:hun liittymisen konkreettisia lyhyen ja pitkän aikavälin hyötyjä kaikille moldovalaisille</w:t>
      </w:r>
      <w:bookmarkStart w:id="8" w:name="_Hlk196923727"/>
      <w:r w:rsidRPr="002B06E4">
        <w:t xml:space="preserve"> keskittyen erityisesti viestintään </w:t>
      </w:r>
      <w:proofErr w:type="spellStart"/>
      <w:r w:rsidRPr="002B06E4">
        <w:t>Gagauzian</w:t>
      </w:r>
      <w:proofErr w:type="spellEnd"/>
      <w:r w:rsidRPr="002B06E4">
        <w:t xml:space="preserve"> kaltaisilla alueilla ja sosioekonomisesti heikommassa </w:t>
      </w:r>
      <w:r w:rsidRPr="002B06E4">
        <w:lastRenderedPageBreak/>
        <w:t>asemassa olevissa maaseutuyhteisöissä</w:t>
      </w:r>
      <w:bookmarkEnd w:id="8"/>
      <w:r w:rsidRPr="002B06E4">
        <w:t xml:space="preserve">; on valmis jatkamaan Moldovan tasavallan parlamentin tukemista yhteisesti sovituilla demokratiatukitoimilla; suosittelee siksi, että Euroopan parlamentin </w:t>
      </w:r>
      <w:proofErr w:type="spellStart"/>
      <w:r w:rsidRPr="002B06E4">
        <w:t>Chișinăun</w:t>
      </w:r>
      <w:proofErr w:type="spellEnd"/>
      <w:r w:rsidRPr="002B06E4">
        <w:t xml:space="preserve"> yhteystoimistoa hyödynnetään täysimääräisesti tiedon levittämisessä, disinformaation torjunnassa ja kansalaisvaikuttamisen tukemisessa ja siten myös Moldovan demokraattisen selviytymiskyvyn vahvistamisessa; on erittäin huolissaan Venäjän laajasta homofobiaa lietsovasta kampanjasta, johon kuuluu pelottelua ja fyysisisiä hyökkäyksiä, ja kehottaa komissiota, jäsenvaltioita ja Moldovaa panostamaan Moldovan yhteiskunnan häiriönsietokykyyn ajamalla kaikkien yhtäläisen arvon asiaa, seksuaalisesta suuntautumisesta tai sukupuoli-identiteetistä riippumatta;</w:t>
      </w:r>
    </w:p>
    <w:p w14:paraId="7DFBB36D" w14:textId="4BF05B91" w:rsidR="000166EF" w:rsidRPr="002B06E4" w:rsidRDefault="000166EF" w:rsidP="00B70B70">
      <w:pPr>
        <w:pStyle w:val="NormalHanging12a"/>
        <w:widowControl/>
      </w:pPr>
      <w:r w:rsidRPr="002B06E4">
        <w:t>13.</w:t>
      </w:r>
      <w:r w:rsidRPr="002B06E4">
        <w:tab/>
        <w:t xml:space="preserve">toteaa, että presidentti Putinin 31. joulukuuta 2015 hyväksymässä Venäjän kansallisessa turvallisuusstrategiassa, joka perustuu 25. joulukuuta 2014 annettuun sotilasdoktriiniin, puolustetaan suorasanaisesti niin kutsuttuja perinteisiä venäläisiä hengellisiä ja moraalisia arvoja länsimaisiksi katsottuja vaikutteita vastaan, mikä osoittaa Venäjän tapaa välineellistää nämä arvot ja niihin liittyvät instituutiot strategisiin tarkoituksiin; on huolestunut Venäjän tavasta välineellistää niin kutsutut perinteiset venäläiset arvot ja tähdentää, että yksi tärkeimmistä Venäjän propagandan levittäjistä Moldovassa on Venäjän ortodoksisen kirkon alaisuuteen kuuluva </w:t>
      </w:r>
      <w:proofErr w:type="spellStart"/>
      <w:r w:rsidRPr="002B06E4">
        <w:t>Chișinăun</w:t>
      </w:r>
      <w:proofErr w:type="spellEnd"/>
      <w:r w:rsidRPr="002B06E4">
        <w:t xml:space="preserve"> ja koko Moldovan metropoliittakunta, jolla on kytköksiä Moskovaan; </w:t>
      </w:r>
      <w:r w:rsidR="007902CB" w:rsidRPr="002B06E4">
        <w:t xml:space="preserve">korostaa, että huhtikuussa 2024 Euroopan neuvoston parlamentaarinen yleiskokous katsoi Venäjän ortodoksisen kirkon Kremlin propagandan välineeksi ja elokuussa 2024 Konstantinopolin ekumeeninen patriarkka tuomitsi sen militaristisena, etnonationalistisena ja harhaoppina; </w:t>
      </w:r>
      <w:r w:rsidRPr="002B06E4">
        <w:t>pitää tuomittavana, että Venäjän sijaistoimijat ovat pelotelleet Bessarabian ortodoksisen kirkon metropoliittakunnan papistoa</w:t>
      </w:r>
      <w:r w:rsidR="007902CB" w:rsidRPr="002B06E4">
        <w:rPr>
          <w:rStyle w:val="FootnoteReference"/>
        </w:rPr>
        <w:footnoteReference w:id="7"/>
      </w:r>
      <w:r w:rsidRPr="002B06E4">
        <w:t>;</w:t>
      </w:r>
    </w:p>
    <w:p w14:paraId="47E48BD1" w14:textId="66ED95D0" w:rsidR="005D3BD5" w:rsidRPr="002B06E4" w:rsidRDefault="005D3BD5" w:rsidP="00B70B70">
      <w:pPr>
        <w:pStyle w:val="NormalHanging12a"/>
        <w:widowControl/>
      </w:pPr>
      <w:r w:rsidRPr="002B06E4">
        <w:t>1</w:t>
      </w:r>
      <w:r w:rsidR="001C2C9A" w:rsidRPr="002B06E4">
        <w:t>4</w:t>
      </w:r>
      <w:r w:rsidRPr="002B06E4">
        <w:t>.</w:t>
      </w:r>
      <w:r w:rsidRPr="002B06E4">
        <w:tab/>
        <w:t>tunnustaa Bessarabian ortodoksisen metropoliittakunnan aseman Neuvostoliiton sorron uhrina; toteaa, että neuvostoviranomaisten aikoinaan perusteetta lakkauttama Bessarabian ortodoksinen metropoliittakunta tunnustettiin virallisesti vasta vuonna 2002 Euroopan ihmisoikeustuomioistuimen tehtyä asiasta päätöksen;</w:t>
      </w:r>
    </w:p>
    <w:p w14:paraId="3C1F58D4" w14:textId="43993B75" w:rsidR="000166EF" w:rsidRPr="002B06E4" w:rsidRDefault="000166EF" w:rsidP="00B70B70">
      <w:pPr>
        <w:pStyle w:val="NormalHanging12a"/>
        <w:widowControl/>
        <w:rPr>
          <w:szCs w:val="24"/>
        </w:rPr>
      </w:pPr>
      <w:r w:rsidRPr="002B06E4">
        <w:t>1</w:t>
      </w:r>
      <w:r w:rsidR="001C2C9A" w:rsidRPr="002B06E4">
        <w:t>5</w:t>
      </w:r>
      <w:r w:rsidRPr="002B06E4">
        <w:t>.</w:t>
      </w:r>
      <w:r w:rsidRPr="002B06E4">
        <w:tab/>
        <w:t>panee merkille, että kansalaisyhteiskunnan järjestöt osallistuvat merkittävästi toimiin, joilla torjutaan disinformaatioita ja uudistusvastaisten poliittisten toimijoiden ja Venäjän sijaistoimijoiden pahantahtoista vaikuttamista, puolustetaan ihmisoikeuksia, edistetään avoimuutta ja seurataan demokraattisten ja EU:hun yhdentymiseen liittyvien uudistusten edistymistä;</w:t>
      </w:r>
    </w:p>
    <w:p w14:paraId="199F9D27" w14:textId="688ACABF" w:rsidR="000166EF" w:rsidRPr="002B06E4" w:rsidRDefault="000166EF" w:rsidP="00B70B70">
      <w:pPr>
        <w:pStyle w:val="NormalHanging12a"/>
        <w:widowControl/>
        <w:rPr>
          <w:szCs w:val="24"/>
        </w:rPr>
      </w:pPr>
      <w:r w:rsidRPr="002B06E4">
        <w:t>1</w:t>
      </w:r>
      <w:r w:rsidR="001C2C9A" w:rsidRPr="002B06E4">
        <w:t>6</w:t>
      </w:r>
      <w:r w:rsidRPr="002B06E4">
        <w:t>.</w:t>
      </w:r>
      <w:r w:rsidRPr="002B06E4">
        <w:tab/>
        <w:t xml:space="preserve">korostaa, että oikeusjärjestelmän kokonaisvaltainen uudistus ja korruption torjunta ovat ratkaisevan tärkeitä sekä Moldovan kyvylle torjua ulkomaista sekaantumista ja hybridiuhkia että demokraattisten ja EU-jäsenyyteen liittyvien uudistusten onnistumiselle; antaa tunnustusta Moldovan jatkuville pyrkimyksille rakentaa riippumaton, puolueeton, tilivelvollinen ja ammattimainen oikeusjärjestelmä ja saada taustaselvitysprosessi päätökseen vuoden 2026 loppuun mennessä; korostaa tarvetta tehostaa koordinointia kaikkien keskeisten korruptionvastaisten ja oikeusalan instituutioiden välillä, jotta voidaan toteuttaa kattavat oikeusvaltiouudistukset kokonaisuudessaan, saavuttaa vakuuttavia tuloksia korruptiotapausten tehokkaassa syytteeseenpanossa ja kunnioittaa samalla asianmukaista prosessia ja oikeutta oikeudenmukaiseen oikeudenkäyntiin ja säilyttää yleisön luottamus demokraattisiin </w:t>
      </w:r>
      <w:r w:rsidRPr="002B06E4">
        <w:lastRenderedPageBreak/>
        <w:t>instituutioihin ja uudistusprosessiin; kehottaa siksi tulevaa hallitusta säilyttämään nykyisen tavoitetason ja saattamaan oikeusvaltiouudistukset päätökseen;</w:t>
      </w:r>
    </w:p>
    <w:p w14:paraId="1B5C965F" w14:textId="2F90FA06" w:rsidR="000166EF" w:rsidRPr="002B06E4" w:rsidRDefault="000166EF" w:rsidP="00B70B70">
      <w:pPr>
        <w:pStyle w:val="NormalHanging12a"/>
        <w:widowControl/>
      </w:pPr>
      <w:r w:rsidRPr="002B06E4">
        <w:t>1</w:t>
      </w:r>
      <w:r w:rsidR="001C2C9A" w:rsidRPr="002B06E4">
        <w:t>7</w:t>
      </w:r>
      <w:r w:rsidRPr="002B06E4">
        <w:t>.</w:t>
      </w:r>
      <w:r w:rsidRPr="002B06E4">
        <w:tab/>
        <w:t>korostaa energiaomavaraisuuden ja energiayhteenliitäntöjen ratkaisevaa merkitystä, jotta voidaan parantaa kykyä selviytyä Venäjän hybridiuhkista energia-alalla, ja kiirehtii siksi kasvusuunnitelman täytäntöönpanoa; tuomitsee Venäjän tavan välineellistää jatkuvasti energian toimituksia ja pitää myönteisenä Moldovan edistystä energialähteidensä monipuolistamisessa sekä uusiutuvien energialähteiden ja energian varastointijärjestelmien käyttöönotossa, sillä toimet vähentävät riippuvuutta venäläisestä kaasusta ja yhdentävät maata EU:n energiamarkkinoihin;</w:t>
      </w:r>
    </w:p>
    <w:p w14:paraId="56253E9A" w14:textId="67D47C96" w:rsidR="005D3BD5" w:rsidRPr="002B06E4" w:rsidRDefault="005D3BD5" w:rsidP="00B70B70">
      <w:pPr>
        <w:pStyle w:val="NormalHanging12a"/>
        <w:widowControl/>
        <w:rPr>
          <w:szCs w:val="24"/>
        </w:rPr>
      </w:pPr>
      <w:r w:rsidRPr="002B06E4">
        <w:rPr>
          <w:szCs w:val="24"/>
        </w:rPr>
        <w:t>1</w:t>
      </w:r>
      <w:r w:rsidR="001C2C9A" w:rsidRPr="002B06E4">
        <w:rPr>
          <w:szCs w:val="24"/>
        </w:rPr>
        <w:t>8</w:t>
      </w:r>
      <w:r w:rsidRPr="002B06E4">
        <w:rPr>
          <w:szCs w:val="24"/>
        </w:rPr>
        <w:t>.</w:t>
      </w:r>
      <w:r w:rsidRPr="002B06E4">
        <w:rPr>
          <w:szCs w:val="24"/>
        </w:rPr>
        <w:tab/>
        <w:t xml:space="preserve">kehuu Moldovan tasavaltaa siitä, että se on edistynyt merkittävästi venäläisten energialähteiden asteittaisessa käytöstä poistamisessa, hiilestä irtautumisen ja energialähteiden yhdistelmänsä digitalisoinnin nopeuttamisessa ja yhdentymisessä EU:n energiamarkkinoille; kehottaa jälleen EU:ta ja jäsenvaltioita tukemaan edelleen Moldovan energiaturvallisuutta tukemalla ja rahoittamalla uusien sähköverkkojen </w:t>
      </w:r>
      <w:proofErr w:type="spellStart"/>
      <w:r w:rsidRPr="002B06E4">
        <w:rPr>
          <w:szCs w:val="24"/>
        </w:rPr>
        <w:t>yhteenliitäntöjen</w:t>
      </w:r>
      <w:proofErr w:type="spellEnd"/>
      <w:r w:rsidRPr="002B06E4">
        <w:rPr>
          <w:szCs w:val="24"/>
        </w:rPr>
        <w:t xml:space="preserve"> rakentamista naapurimaiden kanssa, edistämällä energiatehokkuutta ja ottamalla käyttöön uusiutuvia energialähteitä ja energian varastointijärjestelmiä maan kansallisessa energia- ja ilmastosuunnitelmassa vahvistettujen tavoitteiden mukaisesti;</w:t>
      </w:r>
    </w:p>
    <w:p w14:paraId="4A016CA3" w14:textId="5DBC8079" w:rsidR="000166EF" w:rsidRPr="002B06E4" w:rsidRDefault="000166EF" w:rsidP="00B70B70">
      <w:pPr>
        <w:pStyle w:val="NormalHanging12a"/>
        <w:widowControl/>
        <w:rPr>
          <w:szCs w:val="24"/>
        </w:rPr>
      </w:pPr>
      <w:r w:rsidRPr="002B06E4">
        <w:t>1</w:t>
      </w:r>
      <w:r w:rsidR="001C2C9A" w:rsidRPr="002B06E4">
        <w:t>9</w:t>
      </w:r>
      <w:r w:rsidRPr="002B06E4">
        <w:t>.</w:t>
      </w:r>
      <w:r w:rsidRPr="002B06E4">
        <w:tab/>
        <w:t>pitää myönteisenä Moldovan 1,9 miljardin euron kasvusuunnitelman mutkatonta hyväksymistä ja toteaa, että siinä nostetaan ennennäkemättömälle tasolle tuki, jolla vauhditetaan Moldovan taloutta ja edistetään maan EU-jäsenyyttä nopeuttamalla keskeisiä uudistuksia muun muassa energia-, ympäristö-, digitaali- ja liikennealalla; on tyytyväinen 270 miljoonan euron ennakkomaksuerän maksamiseen EU:n Moldovaa koskevasta 1,9 miljardin euron kasvusuunnitelmasta ja kehottaa vapauttamaan nopeasti ensimmäisen tavallisen maksuerän, jolla tuetaan keskeisiä uudistuksia infrastruktuurin, henkisen pääoman, liiketoiminnan kehittämisen sekä digitaalisen ja vihreän siirtymän aloilla; kehottaa EU:ta ja Moldovaa nopeuttamaan maan integraatiota EU:n sisämarkkinoihin asteittain, jotta voidaan saavuttaa konkreettista sosioekonomista hyötyä jo ennen virallista EU:hun liittymistä; pitää tervetulleena äskettäistä sopimusta EU:n ja Moldovan pitkälle menevän ja laaja-alaisen vapaakauppa-alueen kauppaa koskevien määräysten tarkistamisesta ja päivittämisestä, sillä se lisää sellaisten moldovalaisten maataloustuotteiden markkinoillepääsyä, joiden vientiä ei ole vielä vapautettu; kannattaa Moldovan ottamista liittymistä valmistelevaan välineeseen seuraavassa monivuotisessa rahoituskehyksessä; kehuu neuvoston 25. heinäkuuta 2025 tekemää päätöstä sisällyttää Moldova kotimaanhintaisten verkkovierailujen alueeseen 1. tammikuuta 2026 alkaen sen jälkeen, kun Ukrainaa koskeva vastaava päätös oli hyväksytty 14. heinäkuuta 2025;</w:t>
      </w:r>
    </w:p>
    <w:p w14:paraId="5AAEAEDF" w14:textId="23999712" w:rsidR="00E365E1" w:rsidRPr="002B06E4" w:rsidRDefault="001C2C9A" w:rsidP="00B70B70">
      <w:pPr>
        <w:pStyle w:val="NormalHanging12a"/>
        <w:widowControl/>
      </w:pPr>
      <w:r w:rsidRPr="002B06E4">
        <w:t>20</w:t>
      </w:r>
      <w:r w:rsidR="000166EF" w:rsidRPr="002B06E4">
        <w:t>.</w:t>
      </w:r>
      <w:r w:rsidR="000166EF" w:rsidRPr="002B06E4">
        <w:tab/>
        <w:t>kehottaa puhemiestä välittämään tämän päätöslauselman komission varapuheenjohtajalle / unionin ulkoasioiden ja turvallisuuspolitiikan korkealle edustajalle, neuvostolle, komissiolle, jäsenvaltioiden hallituksille ja parlamenteille, Euroopan neuvostolle, Euroopan turvallisuus- ja yhteistyöjärjestölle sekä Moldovan presidentille, hallitukselle ja parlamentille.</w:t>
      </w:r>
    </w:p>
    <w:sectPr w:rsidR="00E365E1" w:rsidRPr="002B06E4" w:rsidSect="00021CF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E2D848" w14:textId="77777777" w:rsidR="00751AB3" w:rsidRPr="00021CF7" w:rsidRDefault="00751AB3">
      <w:r w:rsidRPr="00021CF7">
        <w:separator/>
      </w:r>
    </w:p>
  </w:endnote>
  <w:endnote w:type="continuationSeparator" w:id="0">
    <w:p w14:paraId="05386FAF" w14:textId="77777777" w:rsidR="00751AB3" w:rsidRPr="00021CF7" w:rsidRDefault="00751AB3">
      <w:r w:rsidRPr="00021CF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0B0F36" w14:textId="77777777" w:rsidR="00751AB3" w:rsidRPr="00021CF7" w:rsidRDefault="00751AB3">
      <w:r w:rsidRPr="00021CF7">
        <w:separator/>
      </w:r>
    </w:p>
  </w:footnote>
  <w:footnote w:type="continuationSeparator" w:id="0">
    <w:p w14:paraId="670DC4FE" w14:textId="77777777" w:rsidR="00751AB3" w:rsidRPr="00021CF7" w:rsidRDefault="00751AB3">
      <w:r w:rsidRPr="00021CF7">
        <w:continuationSeparator/>
      </w:r>
    </w:p>
  </w:footnote>
  <w:footnote w:id="1">
    <w:p w14:paraId="3EF73F7D" w14:textId="43CCF001" w:rsidR="000166EF" w:rsidRPr="00021CF7" w:rsidRDefault="000166EF" w:rsidP="00021CF7">
      <w:pPr>
        <w:pStyle w:val="FootnoteText"/>
        <w:ind w:left="567" w:hanging="567"/>
        <w:rPr>
          <w:sz w:val="24"/>
          <w:lang w:val="fi-FI"/>
        </w:rPr>
      </w:pPr>
      <w:r w:rsidRPr="00021CF7">
        <w:rPr>
          <w:rStyle w:val="FootnoteReference"/>
          <w:sz w:val="24"/>
          <w:lang w:val="fi-FI"/>
        </w:rPr>
        <w:footnoteRef/>
      </w:r>
      <w:r w:rsidR="00021CF7" w:rsidRPr="00021CF7">
        <w:rPr>
          <w:sz w:val="24"/>
          <w:lang w:val="fi-FI"/>
        </w:rPr>
        <w:t xml:space="preserve"> </w:t>
      </w:r>
      <w:r w:rsidR="00021CF7" w:rsidRPr="00021CF7">
        <w:rPr>
          <w:sz w:val="24"/>
          <w:lang w:val="fi-FI"/>
        </w:rPr>
        <w:tab/>
      </w:r>
      <w:r w:rsidRPr="00021CF7">
        <w:rPr>
          <w:sz w:val="24"/>
          <w:lang w:val="fi-FI"/>
        </w:rPr>
        <w:t>Hyväksytyt tekstit, P10_</w:t>
      </w:r>
      <w:proofErr w:type="gramStart"/>
      <w:r w:rsidRPr="00021CF7">
        <w:rPr>
          <w:sz w:val="24"/>
          <w:lang w:val="fi-FI"/>
        </w:rPr>
        <w:t>TA(</w:t>
      </w:r>
      <w:proofErr w:type="gramEnd"/>
      <w:r w:rsidRPr="00021CF7">
        <w:rPr>
          <w:sz w:val="24"/>
          <w:lang w:val="fi-FI"/>
        </w:rPr>
        <w:t>2025)0131.</w:t>
      </w:r>
    </w:p>
  </w:footnote>
  <w:footnote w:id="2">
    <w:p w14:paraId="2E4B65E5" w14:textId="75C38E1D" w:rsidR="000166EF" w:rsidRPr="00021CF7" w:rsidRDefault="000166EF" w:rsidP="00021CF7">
      <w:pPr>
        <w:pStyle w:val="FootnoteText"/>
        <w:ind w:left="567" w:hanging="567"/>
        <w:rPr>
          <w:sz w:val="24"/>
          <w:lang w:val="fi-FI"/>
        </w:rPr>
      </w:pPr>
      <w:r w:rsidRPr="00021CF7">
        <w:rPr>
          <w:rStyle w:val="FootnoteReference"/>
          <w:sz w:val="24"/>
          <w:lang w:val="fi-FI"/>
        </w:rPr>
        <w:footnoteRef/>
      </w:r>
      <w:r w:rsidR="00021CF7" w:rsidRPr="00021CF7">
        <w:rPr>
          <w:sz w:val="24"/>
          <w:lang w:val="fi-FI"/>
        </w:rPr>
        <w:t xml:space="preserve"> </w:t>
      </w:r>
      <w:r w:rsidR="00021CF7" w:rsidRPr="00021CF7">
        <w:rPr>
          <w:sz w:val="24"/>
          <w:lang w:val="fi-FI"/>
        </w:rPr>
        <w:tab/>
      </w:r>
      <w:r w:rsidRPr="00021CF7">
        <w:rPr>
          <w:sz w:val="24"/>
          <w:lang w:val="fi-FI"/>
        </w:rPr>
        <w:t>EUVL C, C/2025/204, 14.1.2025, ELI: http://data.europa.eu/eli/C/2025/204/oj.</w:t>
      </w:r>
    </w:p>
  </w:footnote>
  <w:footnote w:id="3">
    <w:p w14:paraId="1D90C09C" w14:textId="47BF0A42" w:rsidR="000166EF" w:rsidRPr="00730A94" w:rsidRDefault="000166EF" w:rsidP="00021CF7">
      <w:pPr>
        <w:pStyle w:val="FootnoteText"/>
        <w:ind w:left="567" w:hanging="567"/>
        <w:rPr>
          <w:sz w:val="24"/>
          <w:lang w:val="fr-BE"/>
        </w:rPr>
      </w:pPr>
      <w:r w:rsidRPr="00021CF7">
        <w:rPr>
          <w:rStyle w:val="FootnoteReference"/>
          <w:sz w:val="24"/>
          <w:lang w:val="fi-FI"/>
        </w:rPr>
        <w:footnoteRef/>
      </w:r>
      <w:r w:rsidR="00021CF7" w:rsidRPr="00730A94">
        <w:rPr>
          <w:sz w:val="24"/>
          <w:lang w:val="fr-BE"/>
        </w:rPr>
        <w:t xml:space="preserve"> </w:t>
      </w:r>
      <w:r w:rsidR="00021CF7" w:rsidRPr="00730A94">
        <w:rPr>
          <w:sz w:val="24"/>
          <w:lang w:val="fr-BE"/>
        </w:rPr>
        <w:tab/>
      </w:r>
      <w:r w:rsidRPr="00730A94">
        <w:rPr>
          <w:sz w:val="24"/>
          <w:lang w:val="fr-BE"/>
        </w:rPr>
        <w:t xml:space="preserve">EUVL L 260, 30.8.2014, s. 4, </w:t>
      </w:r>
      <w:proofErr w:type="gramStart"/>
      <w:r w:rsidRPr="00730A94">
        <w:rPr>
          <w:sz w:val="24"/>
          <w:lang w:val="fr-BE"/>
        </w:rPr>
        <w:t>ELI:</w:t>
      </w:r>
      <w:proofErr w:type="gramEnd"/>
      <w:r w:rsidRPr="00730A94">
        <w:rPr>
          <w:sz w:val="24"/>
          <w:lang w:val="fr-BE"/>
        </w:rPr>
        <w:t> </w:t>
      </w:r>
      <w:hyperlink r:id="rId1" w:tooltip="Avaa asiakirjan ELI URI -osoitteen kautta." w:history="1">
        <w:r w:rsidRPr="00730A94">
          <w:rPr>
            <w:rStyle w:val="Hyperlink"/>
            <w:sz w:val="24"/>
            <w:lang w:val="fr-BE"/>
          </w:rPr>
          <w:t>http://data.europa.eu/eli/agree_internation/2014/492/oj</w:t>
        </w:r>
      </w:hyperlink>
      <w:r w:rsidRPr="00730A94">
        <w:rPr>
          <w:sz w:val="24"/>
          <w:lang w:val="fr-BE"/>
        </w:rPr>
        <w:t>.</w:t>
      </w:r>
    </w:p>
  </w:footnote>
  <w:footnote w:id="4">
    <w:p w14:paraId="5B0E6C1D" w14:textId="3E0B8154" w:rsidR="005D3BD5" w:rsidRPr="002B06E4" w:rsidRDefault="005D3BD5" w:rsidP="002B06E4">
      <w:pPr>
        <w:pStyle w:val="FootnoteText"/>
        <w:ind w:left="567" w:hanging="567"/>
        <w:rPr>
          <w:sz w:val="24"/>
          <w:szCs w:val="24"/>
          <w:lang w:val="fr-BE"/>
        </w:rPr>
      </w:pPr>
      <w:r w:rsidRPr="002B06E4">
        <w:rPr>
          <w:rStyle w:val="FootnoteReference"/>
          <w:sz w:val="24"/>
          <w:szCs w:val="24"/>
        </w:rPr>
        <w:footnoteRef/>
      </w:r>
      <w:r w:rsidRPr="002B06E4">
        <w:rPr>
          <w:sz w:val="24"/>
          <w:szCs w:val="24"/>
          <w:lang w:val="fr-BE"/>
        </w:rPr>
        <w:tab/>
        <w:t>https:/www.zdg.md/en/kremlins-digital-army-an-undercover-investigation-its-paid-let-me-tell-you-its-paid-directly-from-moscow/.</w:t>
      </w:r>
    </w:p>
  </w:footnote>
  <w:footnote w:id="5">
    <w:p w14:paraId="5539DFE9" w14:textId="27620C29" w:rsidR="000166EF" w:rsidRPr="00021CF7" w:rsidRDefault="000166EF" w:rsidP="00021CF7">
      <w:pPr>
        <w:pStyle w:val="FootnoteText"/>
        <w:ind w:left="567" w:hanging="567"/>
        <w:rPr>
          <w:sz w:val="24"/>
          <w:lang w:val="fi-FI"/>
        </w:rPr>
      </w:pPr>
      <w:r w:rsidRPr="00021CF7">
        <w:rPr>
          <w:rStyle w:val="FootnoteReference"/>
          <w:sz w:val="24"/>
          <w:lang w:val="fi-FI"/>
        </w:rPr>
        <w:footnoteRef/>
      </w:r>
      <w:r w:rsidR="00021CF7" w:rsidRPr="00021CF7">
        <w:rPr>
          <w:sz w:val="24"/>
          <w:lang w:val="fi-FI"/>
        </w:rPr>
        <w:t xml:space="preserve"> </w:t>
      </w:r>
      <w:r w:rsidR="00021CF7" w:rsidRPr="00021CF7">
        <w:rPr>
          <w:sz w:val="24"/>
          <w:lang w:val="fi-FI"/>
        </w:rPr>
        <w:tab/>
      </w:r>
      <w:r w:rsidRPr="00021CF7">
        <w:rPr>
          <w:sz w:val="24"/>
          <w:lang w:val="fi-FI"/>
        </w:rPr>
        <w:t>Euroopan parlamentin ja neuvoston asetus (EU) 2022/1925, annettu 14. syyskuuta 2022, kilpailullisista ja oikeudenmukaisista markkinoista digitaalialalla ja direktiivien (EU) 2019/1937 ja (EU) 2020/1828 muuttamisesta (digimarkkinasäädös) (EUVL L 265, 12.10.2022, s. 1, ELI: http://data.europa.eu/eli/reg/2022/1925/oj).</w:t>
      </w:r>
    </w:p>
  </w:footnote>
  <w:footnote w:id="6">
    <w:p w14:paraId="284FD32D" w14:textId="0358E9F8" w:rsidR="000166EF" w:rsidRPr="00021CF7" w:rsidRDefault="000166EF" w:rsidP="00021CF7">
      <w:pPr>
        <w:pStyle w:val="FootnoteText"/>
        <w:ind w:left="567" w:hanging="567"/>
        <w:rPr>
          <w:sz w:val="24"/>
          <w:lang w:val="fi-FI"/>
        </w:rPr>
      </w:pPr>
      <w:r w:rsidRPr="00021CF7">
        <w:rPr>
          <w:rStyle w:val="FootnoteReference"/>
          <w:sz w:val="24"/>
          <w:lang w:val="fi-FI"/>
        </w:rPr>
        <w:footnoteRef/>
      </w:r>
      <w:r w:rsidR="00021CF7" w:rsidRPr="00021CF7">
        <w:rPr>
          <w:sz w:val="24"/>
          <w:lang w:val="fi-FI"/>
        </w:rPr>
        <w:t xml:space="preserve"> </w:t>
      </w:r>
      <w:r w:rsidR="00021CF7" w:rsidRPr="00021CF7">
        <w:rPr>
          <w:sz w:val="24"/>
          <w:lang w:val="fi-FI"/>
        </w:rPr>
        <w:tab/>
      </w:r>
      <w:r w:rsidRPr="00021CF7">
        <w:rPr>
          <w:sz w:val="24"/>
          <w:lang w:val="fi-FI"/>
        </w:rPr>
        <w:t>Euroopan parlamentin ja neuvoston asetus (EU) 2022/2065, annettu 19. lokakuuta 2022, digitaalisten palvelujen sisämarkkinoista ja direktiivin 2000/31/EY muuttamisesta (EUVL L 277, 27.10.2022, s. 1, ELI: http://data.europa.eu/eli/reg/2022/2065/oj).</w:t>
      </w:r>
    </w:p>
  </w:footnote>
  <w:footnote w:id="7">
    <w:p w14:paraId="5EF5A802" w14:textId="301DC4E0" w:rsidR="007902CB" w:rsidRPr="002B06E4" w:rsidRDefault="007902CB" w:rsidP="002B06E4">
      <w:pPr>
        <w:pStyle w:val="FootnoteText"/>
        <w:ind w:left="567" w:hanging="567"/>
        <w:rPr>
          <w:sz w:val="24"/>
          <w:szCs w:val="24"/>
          <w:lang w:val="fi-FI"/>
        </w:rPr>
      </w:pPr>
      <w:r w:rsidRPr="002B06E4">
        <w:rPr>
          <w:rStyle w:val="FootnoteReference"/>
          <w:sz w:val="24"/>
          <w:szCs w:val="24"/>
        </w:rPr>
        <w:footnoteRef/>
      </w:r>
      <w:r w:rsidRPr="002B06E4">
        <w:rPr>
          <w:sz w:val="24"/>
          <w:szCs w:val="24"/>
          <w:lang w:val="fi-FI"/>
        </w:rPr>
        <w:tab/>
      </w:r>
      <w:hyperlink r:id="rId2" w:history="1">
        <w:r w:rsidRPr="002B06E4">
          <w:rPr>
            <w:rStyle w:val="Hyperlink"/>
            <w:sz w:val="24"/>
            <w:szCs w:val="24"/>
            <w:lang w:val="fi-FI"/>
          </w:rPr>
          <w:t>https://pace.coe.int/en/files/33808/html</w:t>
        </w:r>
      </w:hyperlink>
      <w:r w:rsidRPr="002B06E4">
        <w:rPr>
          <w:sz w:val="24"/>
          <w:szCs w:val="24"/>
          <w:lang w:val="fi-FI"/>
        </w:rPr>
        <w:t>, https://www.thetablet.co.uk/news/bartholomew-accuses-russian-church-of-ethno-nationalist-heresy/.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29724416">
    <w:abstractNumId w:val="9"/>
  </w:num>
  <w:num w:numId="2" w16cid:durableId="623779330">
    <w:abstractNumId w:val="9"/>
  </w:num>
  <w:num w:numId="3" w16cid:durableId="561328539">
    <w:abstractNumId w:val="7"/>
  </w:num>
  <w:num w:numId="4" w16cid:durableId="1772777809">
    <w:abstractNumId w:val="7"/>
  </w:num>
  <w:num w:numId="5" w16cid:durableId="1657144476">
    <w:abstractNumId w:val="6"/>
  </w:num>
  <w:num w:numId="6" w16cid:durableId="1761296159">
    <w:abstractNumId w:val="6"/>
  </w:num>
  <w:num w:numId="7" w16cid:durableId="433063992">
    <w:abstractNumId w:val="5"/>
  </w:num>
  <w:num w:numId="8" w16cid:durableId="132723146">
    <w:abstractNumId w:val="5"/>
  </w:num>
  <w:num w:numId="9" w16cid:durableId="1509908079">
    <w:abstractNumId w:val="4"/>
  </w:num>
  <w:num w:numId="10" w16cid:durableId="1333412903">
    <w:abstractNumId w:val="4"/>
  </w:num>
  <w:num w:numId="11" w16cid:durableId="1969628188">
    <w:abstractNumId w:val="8"/>
  </w:num>
  <w:num w:numId="12" w16cid:durableId="876696603">
    <w:abstractNumId w:val="8"/>
  </w:num>
  <w:num w:numId="13" w16cid:durableId="1746537109">
    <w:abstractNumId w:val="3"/>
  </w:num>
  <w:num w:numId="14" w16cid:durableId="1110271852">
    <w:abstractNumId w:val="3"/>
  </w:num>
  <w:num w:numId="15" w16cid:durableId="72359757">
    <w:abstractNumId w:val="2"/>
  </w:num>
  <w:num w:numId="16" w16cid:durableId="325281221">
    <w:abstractNumId w:val="2"/>
  </w:num>
  <w:num w:numId="17" w16cid:durableId="1212112540">
    <w:abstractNumId w:val="1"/>
  </w:num>
  <w:num w:numId="18" w16cid:durableId="1860389504">
    <w:abstractNumId w:val="1"/>
  </w:num>
  <w:num w:numId="19" w16cid:durableId="1680694218">
    <w:abstractNumId w:val="0"/>
  </w:num>
  <w:num w:numId="20" w16cid:durableId="764575668">
    <w:abstractNumId w:val="0"/>
  </w:num>
  <w:num w:numId="21" w16cid:durableId="943197093">
    <w:abstractNumId w:val="9"/>
  </w:num>
  <w:num w:numId="22" w16cid:durableId="1335496155">
    <w:abstractNumId w:val="7"/>
  </w:num>
  <w:num w:numId="23" w16cid:durableId="25034905">
    <w:abstractNumId w:val="6"/>
  </w:num>
  <w:num w:numId="24" w16cid:durableId="1046414931">
    <w:abstractNumId w:val="5"/>
  </w:num>
  <w:num w:numId="25" w16cid:durableId="564339783">
    <w:abstractNumId w:val="4"/>
  </w:num>
  <w:num w:numId="26" w16cid:durableId="282343641">
    <w:abstractNumId w:val="8"/>
  </w:num>
  <w:num w:numId="27" w16cid:durableId="756051714">
    <w:abstractNumId w:val="3"/>
  </w:num>
  <w:num w:numId="28" w16cid:durableId="1366910279">
    <w:abstractNumId w:val="2"/>
  </w:num>
  <w:num w:numId="29" w16cid:durableId="1294098248">
    <w:abstractNumId w:val="1"/>
  </w:num>
  <w:num w:numId="30" w16cid:durableId="29188858">
    <w:abstractNumId w:val="0"/>
  </w:num>
  <w:num w:numId="31" w16cid:durableId="2085181384">
    <w:abstractNumId w:val="9"/>
  </w:num>
  <w:num w:numId="32" w16cid:durableId="987128740">
    <w:abstractNumId w:val="7"/>
  </w:num>
  <w:num w:numId="33" w16cid:durableId="636491815">
    <w:abstractNumId w:val="6"/>
  </w:num>
  <w:num w:numId="34" w16cid:durableId="2105805369">
    <w:abstractNumId w:val="5"/>
  </w:num>
  <w:num w:numId="35" w16cid:durableId="958802906">
    <w:abstractNumId w:val="4"/>
  </w:num>
  <w:num w:numId="36" w16cid:durableId="917056175">
    <w:abstractNumId w:val="8"/>
  </w:num>
  <w:num w:numId="37" w16cid:durableId="1925454026">
    <w:abstractNumId w:val="3"/>
  </w:num>
  <w:num w:numId="38" w16cid:durableId="432482549">
    <w:abstractNumId w:val="2"/>
  </w:num>
  <w:num w:numId="39" w16cid:durableId="114912065">
    <w:abstractNumId w:val="1"/>
  </w:num>
  <w:num w:numId="40" w16cid:durableId="1685550911">
    <w:abstractNumId w:val="0"/>
  </w:num>
  <w:num w:numId="41" w16cid:durableId="2115514377">
    <w:abstractNumId w:val="10"/>
  </w:num>
  <w:num w:numId="42" w16cid:durableId="1232082489">
    <w:abstractNumId w:val="10"/>
  </w:num>
  <w:num w:numId="43" w16cid:durableId="1411731692">
    <w:abstractNumId w:val="10"/>
  </w:num>
  <w:num w:numId="44" w16cid:durableId="5060189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355/2025"/>
    <w:docVar w:name="dvlangue" w:val="FI"/>
    <w:docVar w:name="dvnumam" w:val="0"/>
    <w:docVar w:name="dvpe" w:val="776.179"/>
    <w:docVar w:name="dvtitre" w:val="Euroopan parlamentin päätöslauselma 10. syyskuuta 2025 Moldovan häiriönsietokyvyn vahvistamisesta Venäjän hybridiuhkien ja pahantahtoisen sekaantumisen torjumiseksi(2025/2811(RSP))"/>
  </w:docVars>
  <w:rsids>
    <w:rsidRoot w:val="00751AB3"/>
    <w:rsid w:val="00002272"/>
    <w:rsid w:val="000166EF"/>
    <w:rsid w:val="00021CF7"/>
    <w:rsid w:val="00064002"/>
    <w:rsid w:val="000677B9"/>
    <w:rsid w:val="000831BA"/>
    <w:rsid w:val="000A42CC"/>
    <w:rsid w:val="000E7DD9"/>
    <w:rsid w:val="0010095E"/>
    <w:rsid w:val="00125B37"/>
    <w:rsid w:val="00187494"/>
    <w:rsid w:val="001C2C9A"/>
    <w:rsid w:val="001F32AE"/>
    <w:rsid w:val="002767FF"/>
    <w:rsid w:val="002B06E4"/>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3BD5"/>
    <w:rsid w:val="005F1B17"/>
    <w:rsid w:val="006037C0"/>
    <w:rsid w:val="006631B6"/>
    <w:rsid w:val="00680577"/>
    <w:rsid w:val="006F74FA"/>
    <w:rsid w:val="00730A94"/>
    <w:rsid w:val="00731ADD"/>
    <w:rsid w:val="00734777"/>
    <w:rsid w:val="00747932"/>
    <w:rsid w:val="00751A4A"/>
    <w:rsid w:val="00751AB3"/>
    <w:rsid w:val="00756632"/>
    <w:rsid w:val="00762C74"/>
    <w:rsid w:val="00786EC0"/>
    <w:rsid w:val="007902CB"/>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6305"/>
    <w:rsid w:val="00A1687D"/>
    <w:rsid w:val="00A43E52"/>
    <w:rsid w:val="00A4678D"/>
    <w:rsid w:val="00A778C7"/>
    <w:rsid w:val="00AB441E"/>
    <w:rsid w:val="00AB6293"/>
    <w:rsid w:val="00AE0928"/>
    <w:rsid w:val="00AF3B82"/>
    <w:rsid w:val="00B12E95"/>
    <w:rsid w:val="00B22876"/>
    <w:rsid w:val="00B558F0"/>
    <w:rsid w:val="00B70B7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530D"/>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D1EDC9"/>
  <w15:chartTrackingRefBased/>
  <w15:docId w15:val="{47504800-C745-4FB9-ADDA-47A5E8C07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70B70"/>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4_G,Appel note de bas de page,FZ,Fago Fu?notenzeichen,Fago Fußnotenzeichen,Fago Fuﬂnotenzeichen,Footnote,Footnote Ref,Footnote number,Footnotes refss,Ref,Ref FNs Char,Superscript 6 Point,[,[0],a Footnote Reference,ftref,text"/>
    <w:link w:val="ENFootnoteReference"/>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166EF"/>
    <w:pPr>
      <w:spacing w:after="240"/>
      <w:ind w:left="567" w:hanging="567"/>
    </w:pPr>
  </w:style>
  <w:style w:type="paragraph" w:customStyle="1" w:styleId="EPComma">
    <w:name w:val="EPComma"/>
    <w:basedOn w:val="Normal"/>
    <w:link w:val="EPCommaChar"/>
    <w:rsid w:val="000166EF"/>
    <w:pPr>
      <w:spacing w:before="480" w:after="240"/>
    </w:pPr>
  </w:style>
  <w:style w:type="character" w:customStyle="1" w:styleId="EPCommaChar">
    <w:name w:val="EPComma Char"/>
    <w:basedOn w:val="DefaultParagraphFont"/>
    <w:link w:val="EPComma"/>
    <w:rsid w:val="000166EF"/>
    <w:rPr>
      <w:sz w:val="24"/>
      <w:lang w:val="fi-FI"/>
    </w:rPr>
  </w:style>
  <w:style w:type="character" w:customStyle="1" w:styleId="NormalHanging12aChar">
    <w:name w:val="NormalHanging12a Char"/>
    <w:basedOn w:val="DefaultParagraphFont"/>
    <w:link w:val="NormalHanging12a"/>
    <w:locked/>
    <w:rsid w:val="000166EF"/>
    <w:rPr>
      <w:sz w:val="24"/>
      <w:lang w:val="fi-FI"/>
    </w:rPr>
  </w:style>
  <w:style w:type="paragraph" w:customStyle="1" w:styleId="ENFootnoteReference">
    <w:name w:val="EN Footnote Reference"/>
    <w:aliases w:val="-E Fußnotenzeichen,BVI fn,BVI fnr Car Car תו Char Char Char,BVI fnr Car תו Char Char Char,BVI fnr תו Char Char Char,SUPERS,number"/>
    <w:basedOn w:val="Normal"/>
    <w:link w:val="FootnoteReference"/>
    <w:rsid w:val="000166EF"/>
    <w:pPr>
      <w:widowControl/>
      <w:spacing w:after="160" w:line="240" w:lineRule="exact"/>
    </w:pPr>
    <w:rPr>
      <w:sz w:val="20"/>
      <w:vertAlign w:val="superscript"/>
      <w:lang w:val="en-GB"/>
    </w:rPr>
  </w:style>
  <w:style w:type="character" w:styleId="Hyperlink">
    <w:name w:val="Hyperlink"/>
    <w:basedOn w:val="DefaultParagraphFont"/>
    <w:uiPriority w:val="99"/>
    <w:unhideWhenUsed/>
    <w:rsid w:val="000166EF"/>
    <w:rPr>
      <w:color w:val="0000FF"/>
      <w:u w:val="single"/>
    </w:rPr>
  </w:style>
  <w:style w:type="character" w:customStyle="1" w:styleId="highlight-diff">
    <w:name w:val="highlight-diff"/>
    <w:basedOn w:val="DefaultParagraphFont"/>
    <w:rsid w:val="000166EF"/>
  </w:style>
  <w:style w:type="character" w:styleId="Strong">
    <w:name w:val="Strong"/>
    <w:basedOn w:val="DefaultParagraphFont"/>
    <w:uiPriority w:val="22"/>
    <w:qFormat/>
    <w:rsid w:val="000166EF"/>
    <w:rPr>
      <w:b/>
      <w:bCs/>
    </w:rPr>
  </w:style>
  <w:style w:type="paragraph" w:styleId="Footer">
    <w:name w:val="footer"/>
    <w:basedOn w:val="Normal"/>
    <w:link w:val="FooterChar"/>
    <w:rsid w:val="00B70B70"/>
    <w:pPr>
      <w:tabs>
        <w:tab w:val="center" w:pos="4513"/>
        <w:tab w:val="right" w:pos="9026"/>
      </w:tabs>
    </w:pPr>
  </w:style>
  <w:style w:type="character" w:customStyle="1" w:styleId="FooterChar">
    <w:name w:val="Footer Char"/>
    <w:basedOn w:val="DefaultParagraphFont"/>
    <w:link w:val="Footer"/>
    <w:rsid w:val="00B70B70"/>
    <w:rPr>
      <w:sz w:val="24"/>
      <w:lang w:val="fi-FI"/>
    </w:rPr>
  </w:style>
  <w:style w:type="paragraph" w:styleId="Revision">
    <w:name w:val="Revision"/>
    <w:hidden/>
    <w:uiPriority w:val="99"/>
    <w:semiHidden/>
    <w:rsid w:val="007902CB"/>
    <w:rPr>
      <w:sz w:val="24"/>
      <w:lang w:val="fi-FI"/>
    </w:rPr>
  </w:style>
  <w:style w:type="character" w:styleId="UnresolvedMention">
    <w:name w:val="Unresolved Mention"/>
    <w:basedOn w:val="DefaultParagraphFont"/>
    <w:uiPriority w:val="99"/>
    <w:semiHidden/>
    <w:unhideWhenUsed/>
    <w:rsid w:val="007902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pace.coe.int/en/files/33808/html" TargetMode="External"/><Relationship Id="rId1" Type="http://schemas.openxmlformats.org/officeDocument/2006/relationships/hyperlink" Target="http://data.europa.eu/eli/agree_internation/2014/49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2197</Words>
  <Characters>19683</Characters>
  <Application>Microsoft Office Word</Application>
  <DocSecurity>0</DocSecurity>
  <Lines>164</Lines>
  <Paragraphs>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2025-09-10T14:06:00Z</dcterms:created>
  <dcterms:modified xsi:type="dcterms:W3CDTF">2025-09-10T14:06:00Z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B10-0355/2025</vt:lpwstr>
  </property>
  <property fmtid="{D5CDD505-2E9C-101B-9397-08002B2CF9AE}" pid="4" name="&lt;Type&gt;">
    <vt:lpwstr>RR</vt:lpwstr>
  </property>
</Properties>
</file>