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6D2" w14:paraId="7A110357" w14:textId="77777777" w:rsidTr="0010095E">
        <w:trPr>
          <w:trHeight w:hRule="exact" w:val="1418"/>
        </w:trPr>
        <w:tc>
          <w:tcPr>
            <w:tcW w:w="6804" w:type="dxa"/>
            <w:shd w:val="clear" w:color="auto" w:fill="auto"/>
            <w:vAlign w:val="center"/>
          </w:tcPr>
          <w:p w14:paraId="59E2A48A" w14:textId="77777777" w:rsidR="00751A4A" w:rsidRPr="00BD16D2" w:rsidRDefault="00965E89" w:rsidP="0010095E">
            <w:pPr>
              <w:pStyle w:val="EPName"/>
            </w:pPr>
            <w:r w:rsidRPr="00BD16D2">
              <w:t>Európai Parlament</w:t>
            </w:r>
          </w:p>
          <w:p w14:paraId="66CF36B8" w14:textId="77777777" w:rsidR="00751A4A" w:rsidRPr="00BD16D2" w:rsidRDefault="005F1B17" w:rsidP="005F1B17">
            <w:pPr>
              <w:pStyle w:val="EPTerm"/>
              <w:rPr>
                <w:rStyle w:val="HideTWBExt"/>
                <w:noProof w:val="0"/>
                <w:vanish w:val="0"/>
                <w:color w:val="auto"/>
              </w:rPr>
            </w:pPr>
            <w:r w:rsidRPr="00BD16D2">
              <w:t>2024</w:t>
            </w:r>
            <w:r w:rsidR="00817416" w:rsidRPr="00BD16D2">
              <w:t>-202</w:t>
            </w:r>
            <w:r w:rsidRPr="00BD16D2">
              <w:t>9</w:t>
            </w:r>
          </w:p>
        </w:tc>
        <w:tc>
          <w:tcPr>
            <w:tcW w:w="2268" w:type="dxa"/>
            <w:shd w:val="clear" w:color="auto" w:fill="auto"/>
          </w:tcPr>
          <w:p w14:paraId="367322F6" w14:textId="77777777" w:rsidR="00751A4A" w:rsidRPr="00BD16D2" w:rsidRDefault="00187494" w:rsidP="0010095E">
            <w:pPr>
              <w:pStyle w:val="EPLogo"/>
            </w:pPr>
            <w:r w:rsidRPr="00BD16D2">
              <w:rPr>
                <w:noProof/>
                <w:lang w:eastAsia="ja-JP"/>
              </w:rPr>
              <w:drawing>
                <wp:inline distT="0" distB="0" distL="0" distR="0" wp14:anchorId="43EAD62A" wp14:editId="2326E0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BA27D9" w14:textId="77777777" w:rsidR="00D058B8" w:rsidRPr="00BD16D2" w:rsidRDefault="00D058B8" w:rsidP="004C5D52">
      <w:pPr>
        <w:pStyle w:val="LineTop"/>
      </w:pPr>
    </w:p>
    <w:p w14:paraId="7597AAC9" w14:textId="77777777" w:rsidR="00680577" w:rsidRPr="00BD16D2" w:rsidRDefault="00965E89" w:rsidP="00680577">
      <w:pPr>
        <w:pStyle w:val="EPBodyTA1"/>
      </w:pPr>
      <w:r w:rsidRPr="00BD16D2">
        <w:t>ELFOGADOTT SZÖVEGEK</w:t>
      </w:r>
    </w:p>
    <w:p w14:paraId="567FE411" w14:textId="77777777" w:rsidR="00D058B8" w:rsidRPr="00BD16D2" w:rsidRDefault="00D058B8" w:rsidP="00D058B8">
      <w:pPr>
        <w:pStyle w:val="LineBottom"/>
      </w:pPr>
    </w:p>
    <w:p w14:paraId="035D548B" w14:textId="726EBBFC" w:rsidR="00965E89" w:rsidRPr="00C32B5E" w:rsidRDefault="00965E89" w:rsidP="00965E89">
      <w:pPr>
        <w:pStyle w:val="ATHeading1"/>
      </w:pPr>
      <w:bookmarkStart w:id="0" w:name="TANumber"/>
      <w:r w:rsidRPr="00C32B5E">
        <w:t>P10_</w:t>
      </w:r>
      <w:proofErr w:type="gramStart"/>
      <w:r w:rsidRPr="00C32B5E">
        <w:t>TA(</w:t>
      </w:r>
      <w:proofErr w:type="gramEnd"/>
      <w:r w:rsidRPr="00C32B5E">
        <w:t>2025)0</w:t>
      </w:r>
      <w:r w:rsidR="00023E89">
        <w:t>191</w:t>
      </w:r>
      <w:bookmarkEnd w:id="0"/>
    </w:p>
    <w:p w14:paraId="2E810F58" w14:textId="77777777" w:rsidR="00965E89" w:rsidRPr="00C32B5E" w:rsidRDefault="00965E89" w:rsidP="00965E89">
      <w:pPr>
        <w:pStyle w:val="ATHeading2"/>
      </w:pPr>
      <w:bookmarkStart w:id="1" w:name="title"/>
      <w:r w:rsidRPr="00C32B5E">
        <w:t>Moldova orosz hibrid fenyegetésekkel és rosszindulatú beavatkozással szembeni rezilienciájának megerősítése</w:t>
      </w:r>
      <w:bookmarkEnd w:id="1"/>
    </w:p>
    <w:p w14:paraId="28367B50" w14:textId="77777777" w:rsidR="00965E89" w:rsidRPr="00023E89" w:rsidRDefault="00965E89" w:rsidP="00965E89">
      <w:pPr>
        <w:rPr>
          <w:i/>
          <w:vanish/>
        </w:rPr>
      </w:pPr>
      <w:r w:rsidRPr="00023E89">
        <w:rPr>
          <w:i/>
        </w:rPr>
        <w:fldChar w:fldCharType="begin"/>
      </w:r>
      <w:r w:rsidRPr="00023E89">
        <w:rPr>
          <w:i/>
        </w:rPr>
        <w:instrText xml:space="preserve"> TC"(</w:instrText>
      </w:r>
      <w:bookmarkStart w:id="2" w:name="DocNumber"/>
      <w:r w:rsidRPr="00023E89">
        <w:rPr>
          <w:i/>
        </w:rPr>
        <w:instrText>B10-0355, 0356, 0357, 0359 és 0361/2025</w:instrText>
      </w:r>
      <w:bookmarkEnd w:id="2"/>
      <w:r w:rsidRPr="00023E89">
        <w:rPr>
          <w:i/>
        </w:rPr>
        <w:instrText xml:space="preserve">)"\l3 \n&gt; \* MERGEFORMAT </w:instrText>
      </w:r>
      <w:r w:rsidRPr="00023E89">
        <w:rPr>
          <w:i/>
        </w:rPr>
        <w:fldChar w:fldCharType="end"/>
      </w:r>
    </w:p>
    <w:p w14:paraId="4D256575" w14:textId="77777777" w:rsidR="00965E89" w:rsidRPr="00023E89" w:rsidRDefault="00965E89" w:rsidP="00965E89">
      <w:pPr>
        <w:rPr>
          <w:vanish/>
        </w:rPr>
      </w:pPr>
      <w:bookmarkStart w:id="3" w:name="PE"/>
      <w:r w:rsidRPr="00023E89">
        <w:rPr>
          <w:vanish/>
        </w:rPr>
        <w:t>PE776.179</w:t>
      </w:r>
      <w:bookmarkEnd w:id="3"/>
    </w:p>
    <w:p w14:paraId="2EB21897" w14:textId="75975A0F" w:rsidR="00965E89" w:rsidRPr="00C32B5E" w:rsidRDefault="00965E89" w:rsidP="00965E89">
      <w:pPr>
        <w:pStyle w:val="ATHeading3"/>
      </w:pPr>
      <w:bookmarkStart w:id="4" w:name="Sujet"/>
      <w:r w:rsidRPr="00C32B5E">
        <w:t xml:space="preserve">Az Európai Parlament 2025. </w:t>
      </w:r>
      <w:r w:rsidR="00424081" w:rsidRPr="00C32B5E">
        <w:t>szeptember 10</w:t>
      </w:r>
      <w:r w:rsidRPr="00C32B5E">
        <w:t>-i állásfoglalása Moldova orosz hibrid fenyegetésekkel és rosszindulatú beavatkozással szembeni rezilienciájának megerősítéséről</w:t>
      </w:r>
      <w:bookmarkEnd w:id="4"/>
      <w:r w:rsidRPr="00C32B5E">
        <w:t xml:space="preserve"> </w:t>
      </w:r>
      <w:bookmarkStart w:id="5" w:name="References"/>
      <w:r w:rsidRPr="00C32B5E">
        <w:t>(2025/2811(RSP))</w:t>
      </w:r>
      <w:bookmarkEnd w:id="5"/>
    </w:p>
    <w:p w14:paraId="12213673" w14:textId="77777777" w:rsidR="002272CC" w:rsidRPr="00BD16D2" w:rsidRDefault="002272CC" w:rsidP="002272CC">
      <w:pPr>
        <w:pStyle w:val="EPComma"/>
      </w:pPr>
      <w:bookmarkStart w:id="6" w:name="TextBodyBegin"/>
      <w:bookmarkEnd w:id="6"/>
      <w:r w:rsidRPr="00BD16D2">
        <w:rPr>
          <w:i/>
          <w:iCs/>
        </w:rPr>
        <w:t>Az Európai Parlament</w:t>
      </w:r>
      <w:r w:rsidRPr="00BD16D2">
        <w:t>,</w:t>
      </w:r>
    </w:p>
    <w:p w14:paraId="1F328889" w14:textId="77777777" w:rsidR="002272CC" w:rsidRPr="00BD16D2" w:rsidRDefault="002272CC" w:rsidP="00424081">
      <w:pPr>
        <w:pStyle w:val="NormalHanging12a"/>
        <w:widowControl/>
      </w:pPr>
      <w:r w:rsidRPr="00BD16D2">
        <w:t>–</w:t>
      </w:r>
      <w:r w:rsidRPr="00BD16D2">
        <w:tab/>
        <w:t>tekintettel a Moldováról szóló korábbi állásfoglalásaira, különösen a Bizottság Moldováról szóló 2023. és 2024. évi jelentéseiről szóló, 2025. június 18-i állásfoglalására</w:t>
      </w:r>
      <w:r w:rsidRPr="00BD16D2">
        <w:rPr>
          <w:vertAlign w:val="superscript"/>
        </w:rPr>
        <w:footnoteReference w:id="1"/>
      </w:r>
      <w:r w:rsidRPr="00BD16D2">
        <w:t>, valamint a Moldova orosz beavatkozással szembeni rezilienciájának megerősítéséről a közelgő elnökválasztás és az uniós integrációról szóló alkotmányos népszavazás előtt című, 2024. október 9-i állásfoglalására</w:t>
      </w:r>
      <w:r w:rsidRPr="00BD16D2">
        <w:rPr>
          <w:vertAlign w:val="superscript"/>
        </w:rPr>
        <w:footnoteReference w:id="2"/>
      </w:r>
      <w:r w:rsidRPr="00BD16D2">
        <w:t>,</w:t>
      </w:r>
    </w:p>
    <w:p w14:paraId="70ACBBEE" w14:textId="77777777" w:rsidR="002272CC" w:rsidRPr="00BD16D2" w:rsidRDefault="002272CC" w:rsidP="00424081">
      <w:pPr>
        <w:pStyle w:val="NormalHanging12a"/>
        <w:widowControl/>
      </w:pPr>
      <w:r w:rsidRPr="00BD16D2">
        <w:t>–</w:t>
      </w:r>
      <w:r w:rsidRPr="00BD16D2">
        <w:tab/>
        <w:t>tekintettel az egyrészről az Európai Unió, az Európai Atomenergia-közösség és tagállamaik, másrészről a Moldovai Köztársaság közötti, a mélyreható és átfogó szabadkereskedelmi térséget is magában foglaló társulási megállapodásra</w:t>
      </w:r>
      <w:r w:rsidRPr="00BD16D2">
        <w:rPr>
          <w:vertAlign w:val="superscript"/>
        </w:rPr>
        <w:footnoteReference w:id="3"/>
      </w:r>
      <w:r w:rsidRPr="00BD16D2">
        <w:t>,</w:t>
      </w:r>
    </w:p>
    <w:p w14:paraId="2DB29EF2" w14:textId="77777777" w:rsidR="002272CC" w:rsidRPr="00BD16D2" w:rsidRDefault="002272CC" w:rsidP="00424081">
      <w:pPr>
        <w:pStyle w:val="NormalHanging12a"/>
        <w:widowControl/>
      </w:pPr>
      <w:r w:rsidRPr="00BD16D2">
        <w:t>–</w:t>
      </w:r>
      <w:r w:rsidRPr="00BD16D2">
        <w:tab/>
        <w:t>tekintettel az Európai Tanács Moldováról szóló, 2025. június 27-i következtetéseire,</w:t>
      </w:r>
    </w:p>
    <w:p w14:paraId="3888875A" w14:textId="77777777" w:rsidR="002272CC" w:rsidRPr="00BD16D2" w:rsidRDefault="002272CC" w:rsidP="00424081">
      <w:pPr>
        <w:pStyle w:val="NormalHanging12a"/>
        <w:widowControl/>
      </w:pPr>
      <w:r w:rsidRPr="00BD16D2">
        <w:t>–</w:t>
      </w:r>
      <w:r w:rsidRPr="00BD16D2">
        <w:tab/>
        <w:t>tekintettel három uniós állam-, illetve kormányfő (Franciaország, Németország és Lengyelország részéről) 2025. augusztus 27-i moldovai látogatására, valamint Románia elnökének 2025. augusztus 31-i moldovai látogatására,</w:t>
      </w:r>
    </w:p>
    <w:p w14:paraId="68BD4E93" w14:textId="5EAF40D0" w:rsidR="002272CC" w:rsidRPr="00BD16D2" w:rsidRDefault="002272CC" w:rsidP="00424081">
      <w:pPr>
        <w:pStyle w:val="NormalHanging12a"/>
        <w:widowControl/>
      </w:pPr>
      <w:r w:rsidRPr="00BD16D2">
        <w:t>–</w:t>
      </w:r>
      <w:r w:rsidRPr="00BD16D2">
        <w:tab/>
        <w:t>tekintettel a Moldovai Köztársaság elnökének 20</w:t>
      </w:r>
      <w:r w:rsidR="00C52F67">
        <w:t>25</w:t>
      </w:r>
      <w:r w:rsidRPr="00BD16D2">
        <w:t>. szeptember 9-i látogatására az Európai Parlamentben,</w:t>
      </w:r>
    </w:p>
    <w:p w14:paraId="417C5729" w14:textId="77777777" w:rsidR="002272CC" w:rsidRPr="00BD16D2" w:rsidRDefault="002272CC" w:rsidP="00424081">
      <w:pPr>
        <w:pStyle w:val="NormalHanging12a"/>
        <w:widowControl/>
      </w:pPr>
      <w:r w:rsidRPr="00BD16D2">
        <w:t>–</w:t>
      </w:r>
      <w:r w:rsidRPr="00BD16D2">
        <w:tab/>
        <w:t>tekintettel az EU és a Moldovai Köztársaság közötti, 2025. július 4-i első csúcstalálkozót követő együttes nyilatkozatra,</w:t>
      </w:r>
    </w:p>
    <w:p w14:paraId="5A28A01A" w14:textId="77777777" w:rsidR="002272CC" w:rsidRPr="00BD16D2" w:rsidRDefault="002272CC" w:rsidP="00424081">
      <w:pPr>
        <w:pStyle w:val="NormalHanging12a"/>
        <w:widowControl/>
      </w:pPr>
      <w:r w:rsidRPr="00BD16D2">
        <w:lastRenderedPageBreak/>
        <w:t>–</w:t>
      </w:r>
      <w:r w:rsidRPr="00BD16D2">
        <w:tab/>
        <w:t>tekintettel a bővítésért felelős biztos 2025. május 9-i (Európa-napi) moldovai látogatására,</w:t>
      </w:r>
    </w:p>
    <w:p w14:paraId="6392E7F9" w14:textId="77777777" w:rsidR="002272CC" w:rsidRPr="00BD16D2" w:rsidRDefault="002272CC" w:rsidP="00424081">
      <w:pPr>
        <w:pStyle w:val="NormalHanging12a"/>
        <w:widowControl/>
      </w:pPr>
      <w:r w:rsidRPr="00BD16D2">
        <w:t>–</w:t>
      </w:r>
      <w:r w:rsidRPr="00BD16D2">
        <w:tab/>
        <w:t>tekintettel eljárási szabályzata 136. cikkének (2) és (4) bekezdésére,</w:t>
      </w:r>
    </w:p>
    <w:p w14:paraId="15DA3631" w14:textId="77777777" w:rsidR="002272CC" w:rsidRPr="00BD16D2" w:rsidRDefault="002272CC" w:rsidP="00424081">
      <w:pPr>
        <w:pStyle w:val="NormalHanging12a"/>
        <w:widowControl/>
      </w:pPr>
      <w:r w:rsidRPr="00BD16D2">
        <w:t>A.</w:t>
      </w:r>
      <w:r w:rsidRPr="00BD16D2">
        <w:tab/>
        <w:t>mivel 2025. szeptember 28-án a Moldovai Köztársaság parlamenti választásokat fog tartani, amelyek meghatározóak lesznek az ország folyamatos demokratikus konszolidációja és az uniós csatlakozás felé tett további előrelépése, valamint az EU-n belül szabad és szuverén demokráciaként előtte álló jövő szempontjából; mivel a parlamenti választásokra olyan légkörben kerül sor, amelyet folyamatos orosz beavatkozás, valamint az ország politikai környezetének és demokratikus választási folyamatainak destabilizálására irányuló erőfeszítések jellemeznek;</w:t>
      </w:r>
    </w:p>
    <w:p w14:paraId="6F5DBD81" w14:textId="77777777" w:rsidR="002272CC" w:rsidRPr="00BD16D2" w:rsidRDefault="002272CC" w:rsidP="00424081">
      <w:pPr>
        <w:pStyle w:val="NormalHanging12a"/>
        <w:widowControl/>
      </w:pPr>
      <w:r w:rsidRPr="00BD16D2">
        <w:t>B.</w:t>
      </w:r>
      <w:r w:rsidRPr="00BD16D2">
        <w:tab/>
        <w:t>mivel Moldova 2024. október 20-án népszavazást tartott, amelynek eredménye az lett, hogy belefoglalják az uniós csatlakozást Moldova alkotmányába annak ellenére, hogy Oroszország korábban soha nem tapasztalt mértékű manipulációt folytatott az ország destabilizálására, többek között jogellenesen finanszírozott politikai szereplőket, dezinformációs kampányokat folytatott és kibertámadásokat hajtott végre;</w:t>
      </w:r>
    </w:p>
    <w:p w14:paraId="7A3BF78B" w14:textId="77777777" w:rsidR="002272CC" w:rsidRPr="00BD16D2" w:rsidRDefault="002272CC" w:rsidP="00424081">
      <w:pPr>
        <w:pStyle w:val="NormalHanging12a"/>
        <w:widowControl/>
        <w:rPr>
          <w:i/>
          <w:iCs/>
        </w:rPr>
      </w:pPr>
      <w:r w:rsidRPr="00BD16D2">
        <w:t>C.</w:t>
      </w:r>
      <w:r w:rsidRPr="00BD16D2">
        <w:tab/>
        <w:t>mivel számos jelentés számol be az Oroszország és csatlósai által a moldovai demokratikus reform és az európai integrációs folyamat kisiklatása, a Moldova feletti politikai ellenőrzés megszerzése, valamint a Moldovával, Ukrajnával és más európai országokkal – például a közelmúltban Romániával – szembeni hibrid taktikák további finomítása céljából végrehajtott ismétlődő és egyre intenzívebb dezinformációs, destabilizáló és beavatkozási kísérletekről;</w:t>
      </w:r>
    </w:p>
    <w:p w14:paraId="69948F19" w14:textId="77777777" w:rsidR="002272CC" w:rsidRPr="00BD16D2" w:rsidRDefault="002272CC" w:rsidP="00424081">
      <w:pPr>
        <w:pStyle w:val="NormalHanging12a"/>
        <w:widowControl/>
      </w:pPr>
      <w:r w:rsidRPr="00BD16D2">
        <w:t>D.</w:t>
      </w:r>
      <w:r w:rsidRPr="00BD16D2">
        <w:tab/>
        <w:t>mivel a Legfelsőbb Biztonsági Tanács 2025. július 30-i ülését követően Maia Sandu elnök ismertette a moldovai szakosodott intézmények hibrid hadviselési módszerekkel kapcsolatos megállapításait, azonosítva a Moldova politikai és választási folyamataiba való külföldi beavatkozás 10 fő eszközét;</w:t>
      </w:r>
    </w:p>
    <w:p w14:paraId="034298D0" w14:textId="77777777" w:rsidR="002272CC" w:rsidRPr="00BD16D2" w:rsidRDefault="002272CC" w:rsidP="00424081">
      <w:pPr>
        <w:pStyle w:val="NormalHanging12a"/>
        <w:widowControl/>
      </w:pPr>
      <w:r w:rsidRPr="00BD16D2">
        <w:t>E.</w:t>
      </w:r>
      <w:r w:rsidRPr="00BD16D2">
        <w:tab/>
        <w:t xml:space="preserve">mivel az EU 2025. július 15-én szankciókat vezetett be </w:t>
      </w:r>
      <w:r w:rsidRPr="00994AF1">
        <w:rPr>
          <w:rStyle w:val="Strong"/>
          <w:b w:val="0"/>
          <w:bCs w:val="0"/>
          <w:color w:val="000000"/>
        </w:rPr>
        <w:t>hét személlyel</w:t>
      </w:r>
      <w:r w:rsidRPr="00994AF1">
        <w:rPr>
          <w:b/>
        </w:rPr>
        <w:t xml:space="preserve"> és </w:t>
      </w:r>
      <w:r w:rsidRPr="00994AF1">
        <w:rPr>
          <w:rStyle w:val="Strong"/>
          <w:b w:val="0"/>
          <w:bCs w:val="0"/>
          <w:color w:val="000000"/>
        </w:rPr>
        <w:t>három szervezettel</w:t>
      </w:r>
      <w:r w:rsidRPr="00BD16D2">
        <w:t xml:space="preserve"> szemben, akiket, illetve amelyeket felelősség terhel Moldova szuverenitását, függetlenségét, stabilitását, demokratikus rendjét és jogállamiságát destabilizáló, aláásó vagy veszélyeztető tevékenységekért; mivel ezek a szankciók Ilan Șor és a betiltott ȘOR párt közeli szövetségeseit, a szavazatvásárlási rendszerekben és a korrupt politikusok megvesztegetésében aktívan részt vevő személyeket célozzák;</w:t>
      </w:r>
    </w:p>
    <w:p w14:paraId="2CED182A" w14:textId="77777777" w:rsidR="002272CC" w:rsidRDefault="002272CC" w:rsidP="00424081">
      <w:pPr>
        <w:pStyle w:val="NormalHanging12a"/>
        <w:widowControl/>
      </w:pPr>
      <w:r w:rsidRPr="00BD16D2">
        <w:t>F.</w:t>
      </w:r>
      <w:r w:rsidRPr="00BD16D2">
        <w:tab/>
        <w:t>mivel a moldovai civil társadalom és független média döntő szerepet játszik a dezinformáció leleplezésében, a reziliencia megerősítésében és a demokratikus értékek védelmében; mivel a Moldovai Köztársaságnak sikerült jelentős mértékben megszilárdítania a demokráciát, folytatnia a reformfolyamatot, és fejlesztenie kapcsolatait az EU-val; mivel az ország demokratikus rendszerének javulása tükröződött a különböző nemzetközi mutatók terén elért előrelépésekben: mivel Moldova figyelemreméltó eredményeket ért el az igazságügyi reformok, ezen belül az igazságszolgáltatás átvilágítása és szerkezetének átalakítása, függetlenségének megerősítése és a korrupcióellenes szabályozások javítása terén; mivel a demokratikus intézményekbe vetett közbizalom alapvető fontosságú Moldova stabilitása és a rosszindulatú beavatkozással szembeni rezilienciája szempontjából;</w:t>
      </w:r>
    </w:p>
    <w:p w14:paraId="2B4EC099" w14:textId="02300DEA" w:rsidR="00023E89" w:rsidRPr="00BD16D2" w:rsidRDefault="00023E89" w:rsidP="00424081">
      <w:pPr>
        <w:pStyle w:val="NormalHanging12a"/>
        <w:widowControl/>
      </w:pPr>
      <w:r>
        <w:lastRenderedPageBreak/>
        <w:t>G</w:t>
      </w:r>
      <w:r w:rsidRPr="00023E89">
        <w:t xml:space="preserve">. </w:t>
      </w:r>
      <w:r w:rsidRPr="00023E89">
        <w:tab/>
        <w:t>mivel egy közelmúltbeli, a ȘOR párt hálózatába 2024 óta beépült fedett riporternek köszönhető újságírói oknyomozás feltárta, hogy az orosz propagandának a TikTokon és a Facebookon való terjesztése céljából több száz hamis fiókot hoztak létre, amelyeket az Ilan Șor által Moszkvából ellenőrzött »Győzelem« politikai tömb aktivistái kezelnek; mivel ezt az Európa-ellenes tartalmat, amely teljes mértékben igazodik a Kreml narratíváihoz, titkos Telegram-csoportokon és csatornákon keresztül szisztematikusan nyomon követték és koordinálták</w:t>
      </w:r>
      <w:r>
        <w:rPr>
          <w:rStyle w:val="FootnoteReference"/>
        </w:rPr>
        <w:footnoteReference w:id="4"/>
      </w:r>
      <w:r>
        <w:t>;</w:t>
      </w:r>
    </w:p>
    <w:p w14:paraId="1EC4CA5F" w14:textId="0892783E" w:rsidR="002272CC" w:rsidRPr="00BD16D2" w:rsidRDefault="00023E89" w:rsidP="00424081">
      <w:pPr>
        <w:pStyle w:val="NormalHanging12a"/>
        <w:widowControl/>
      </w:pPr>
      <w:r>
        <w:t>H</w:t>
      </w:r>
      <w:r w:rsidR="002272CC" w:rsidRPr="00BD16D2">
        <w:t>.</w:t>
      </w:r>
      <w:r w:rsidR="002272CC" w:rsidRPr="00BD16D2">
        <w:tab/>
        <w:t>mivel fontos kinyilvánítani a rendíthetetlen szolidaritást Moldova népével, amelyet súlyosan érintett Oroszország Ukrajna elleni agressziós háborúja, valamint az ország politikai destabilizálására, gazdasági fejlődésének aláásására és a társadalmi kohézió gyengítésére irányuló folyamatos, célzott orosz hibrid fenyegetések;</w:t>
      </w:r>
    </w:p>
    <w:p w14:paraId="7E945116" w14:textId="761B98C5" w:rsidR="002272CC" w:rsidRPr="00BD16D2" w:rsidRDefault="00023E89" w:rsidP="00424081">
      <w:pPr>
        <w:pStyle w:val="NormalHanging12a"/>
        <w:widowControl/>
      </w:pPr>
      <w:r>
        <w:t>I</w:t>
      </w:r>
      <w:r w:rsidR="002272CC" w:rsidRPr="00BD16D2">
        <w:t>.</w:t>
      </w:r>
      <w:r w:rsidR="002272CC" w:rsidRPr="00BD16D2">
        <w:tab/>
        <w:t>mivel moldovai becslések szerint Oroszország már több mint 200 millió EUR-t, azaz Moldova GDP-jének több mint 1%-át fordította a Moldovai Köztársaságban zajló propaganda- és információs műveletekre;</w:t>
      </w:r>
    </w:p>
    <w:p w14:paraId="1AF7AA23" w14:textId="1BC0C1E2" w:rsidR="002272CC" w:rsidRPr="00BD16D2" w:rsidRDefault="00023E89" w:rsidP="00424081">
      <w:pPr>
        <w:pStyle w:val="NormalHanging12a"/>
        <w:widowControl/>
      </w:pPr>
      <w:r>
        <w:t>J</w:t>
      </w:r>
      <w:r w:rsidR="002272CC" w:rsidRPr="00BD16D2">
        <w:t>.</w:t>
      </w:r>
      <w:r w:rsidR="002272CC" w:rsidRPr="00BD16D2">
        <w:tab/>
        <w:t>mivel az Európai Parlament küldöttségének részvétele az Európai Biztonsági és Együttműködési Szervezet (EBESZ) Demokratikus Intézmények és Emberi Jogok Hivatalának (ODIHR) nemzetközi választási megfigyelő missziójában a 2025. szeptember 28-i moldovai parlamenti választások során azt mutatja, hogy a Parlament elkötelezett a moldovai választási folyamatok integritásának támogatása és a demokratikus intézmények megerősítése iránt;</w:t>
      </w:r>
    </w:p>
    <w:p w14:paraId="2A46BEFB" w14:textId="4CDABD43" w:rsidR="002272CC" w:rsidRPr="00BD16D2" w:rsidRDefault="00023E89" w:rsidP="00424081">
      <w:pPr>
        <w:pStyle w:val="NormalHanging12a"/>
        <w:widowControl/>
      </w:pPr>
      <w:r>
        <w:t>K</w:t>
      </w:r>
      <w:r w:rsidR="002272CC" w:rsidRPr="00BD16D2">
        <w:t>.</w:t>
      </w:r>
      <w:r w:rsidR="002272CC" w:rsidRPr="00BD16D2">
        <w:tab/>
        <w:t>mivel az Európai Tanács 2025. júniusi következtetései újólag megerősítették Moldova uniós útjának teljes körű támogatását, és felkérték a Tanácsot, hogy tegye meg a következő lépéseket a csatlakozási folyamatban; mivel az EU bővítése szigorú feltételrendszeren és azon az elven alapul, hogy minden tagjelölt országot saját érdemei és a reformok előrehaladása alapján értékelnek;</w:t>
      </w:r>
    </w:p>
    <w:p w14:paraId="77197AD9" w14:textId="77777777" w:rsidR="002272CC" w:rsidRPr="00BD16D2" w:rsidRDefault="002272CC" w:rsidP="00424081">
      <w:pPr>
        <w:pStyle w:val="NormalHanging12a"/>
        <w:widowControl/>
      </w:pPr>
      <w:r w:rsidRPr="00BD16D2">
        <w:t>1.</w:t>
      </w:r>
      <w:r w:rsidRPr="00BD16D2">
        <w:tab/>
        <w:t>szolidaritásáról biztosítja a Moldovai Köztársaság népét és ismét hangsúlyozza, hogy teljes mértékben támogatja az ország függetlenségét, szuverenitását és területi integritását, valamint demokratikus folyamatai integritásának, külpolitikai döntései szuverenitásának és népe társadalmi-gazdasági kilátásainak védelmére irányuló erőfeszítéseit; felszólítja ezért Oroszországot, hogy tartsa tiszteletben Moldova függetlenségét, szuverenitását és területi integritását, és hagyjon fel a Moldova alkotmányos rendjének és demokratikus intézményeinek aláásására irányuló kísérleteivel;</w:t>
      </w:r>
    </w:p>
    <w:p w14:paraId="278AC49B" w14:textId="77777777" w:rsidR="002272CC" w:rsidRPr="00BD16D2" w:rsidRDefault="002272CC" w:rsidP="00424081">
      <w:pPr>
        <w:pStyle w:val="NormalHanging12a"/>
        <w:widowControl/>
        <w:rPr>
          <w:szCs w:val="24"/>
        </w:rPr>
      </w:pPr>
      <w:r w:rsidRPr="00BD16D2">
        <w:t>2.</w:t>
      </w:r>
      <w:r w:rsidRPr="00BD16D2">
        <w:tab/>
        <w:t>elítéli az Oroszországi Föderáció, az oroszbarát oligarchák és az Oroszország által támogatott helyi csatlósok ismétlődő kísérleteit Moldova destabilizálására, a moldovai társadalmon belüli ellentétek szítására és az ország demokratikus fejlődésének és uniós csatlakozásának kisiklatására, amelyeket hibrid támadások, az energiaellátás politikai célok érdekében való manipulálása, politikai szereplők illegális finanszírozása, továbbá a civil társadalmi szervezeteket és a független médiát célzó dezinformációs, manipulációs és megfélemlítési kampányok révén hajtanak végre;</w:t>
      </w:r>
    </w:p>
    <w:p w14:paraId="11A525D5" w14:textId="77777777" w:rsidR="002272CC" w:rsidRPr="00BD16D2" w:rsidRDefault="002272CC" w:rsidP="00424081">
      <w:pPr>
        <w:pStyle w:val="NormalHanging12a"/>
        <w:widowControl/>
        <w:rPr>
          <w:szCs w:val="24"/>
        </w:rPr>
      </w:pPr>
      <w:r w:rsidRPr="00BD16D2">
        <w:lastRenderedPageBreak/>
        <w:t>3.</w:t>
      </w:r>
      <w:r w:rsidRPr="00BD16D2">
        <w:tab/>
        <w:t>elítéli a 2025. szeptember 28-i parlamenti választásokhoz közeledve egyre intenzívebbé váló orosz hibrid tevékenységeket és beavatkozási kísérleteket, amelyek egyértelműen az ország destabilizálására, valamint demokratikus irányvonalának és szuverén döntéseinek megváltoztatására irányulnak, különösen a jövőbeli uniós tagság vonatkozásában;</w:t>
      </w:r>
    </w:p>
    <w:p w14:paraId="07A926B6" w14:textId="77777777" w:rsidR="002272CC" w:rsidRPr="00BD16D2" w:rsidRDefault="002272CC" w:rsidP="00424081">
      <w:pPr>
        <w:pStyle w:val="NormalHanging12a"/>
        <w:widowControl/>
        <w:rPr>
          <w:szCs w:val="24"/>
          <w:shd w:val="clear" w:color="auto" w:fill="FFFFFF"/>
        </w:rPr>
      </w:pPr>
      <w:r w:rsidRPr="00BD16D2">
        <w:t>4.</w:t>
      </w:r>
      <w:r w:rsidRPr="00BD16D2">
        <w:tab/>
      </w:r>
      <w:r w:rsidRPr="00BD16D2">
        <w:rPr>
          <w:shd w:val="clear" w:color="auto" w:fill="FFFFFF"/>
        </w:rPr>
        <w:t xml:space="preserve">elismerését fejezi ki Moldova példamutató elkötelezettségéért és az uniós csatlakozással kapcsolatos reformok terén a jelentős belső és külső kihívások – többek között Oroszország Ukrajna elleni teljes körű agressziós háborúja és a Moldova ellen irányuló célzott orosz hibrid fenyegetések – ellenére elért folyamatos előrehaladásért, ami lehetővé tette, hogy 2024 júniusában megkezdődjenek a csatlakozási tárgyalások, csupán hat hónappal az Európai Tanács 2023. december 14-i vonatkozó határozata és kevesebb mint két évvel Moldova 2022. március 3-i uniós tagság iránti kérelme után; </w:t>
      </w:r>
      <w:r w:rsidRPr="00BD16D2">
        <w:rPr>
          <w:rStyle w:val="highlight-diff"/>
          <w:color w:val="000000"/>
          <w:shd w:val="clear" w:color="auto" w:fill="FFFFFF"/>
        </w:rPr>
        <w:t>felhívja a Tanácsot és a Bizottságot, hogy tartsák tiszteletben az érdemalapúság elvét azáltal, hogy minden tagjelölt országot egyedileg értékelnek, biztosítva, hogy a csatlakozási lépések terén elért előrehaladást – beleértve a tárgyalási fejezetek megnyitását is – az országok saját eredményei és körülményei határozzák meg;</w:t>
      </w:r>
      <w:r w:rsidRPr="00BD16D2">
        <w:t xml:space="preserve"> </w:t>
      </w:r>
      <w:r w:rsidRPr="00BD16D2">
        <w:rPr>
          <w:shd w:val="clear" w:color="auto" w:fill="FFFFFF"/>
        </w:rPr>
        <w:t>újólag megerősíti, hogy szilárdan támogatja Moldova uniós tagsági kilátásait; sürgeti továbbá a Tanácsot, hogy mielőbb kezdje meg a csatlakozási tárgyalásokat az 1. témakörrel (alapkérdések) kapcsolatban, elismerve Moldova jelentős előrelépését a kulcsfontosságú reformok előmozdítása terén;</w:t>
      </w:r>
    </w:p>
    <w:p w14:paraId="7F3ECEC8" w14:textId="77777777" w:rsidR="002272CC" w:rsidRPr="00BD16D2" w:rsidRDefault="002272CC" w:rsidP="00424081">
      <w:pPr>
        <w:pStyle w:val="NormalHanging12a"/>
        <w:widowControl/>
        <w:rPr>
          <w:szCs w:val="24"/>
        </w:rPr>
      </w:pPr>
      <w:r w:rsidRPr="00BD16D2">
        <w:rPr>
          <w:shd w:val="clear" w:color="auto" w:fill="FFFFFF"/>
        </w:rPr>
        <w:t>5.</w:t>
      </w:r>
      <w:r w:rsidRPr="00BD16D2">
        <w:rPr>
          <w:shd w:val="clear" w:color="auto" w:fill="FFFFFF"/>
        </w:rPr>
        <w:tab/>
        <w:t>felhívja az EU-t, hogy továbbra is támogassa a Moldovai Köztársaságot a szabad, tisztességes és átlátható választások lebonyolításában; hangsúlyozza a nemzetközi megfigyelők kulcsfontosságú szerepét nemcsak a választási folyamat nyomon követésében, hanem a rosszindulatú külföldi beavatkozás – többek között a dezinformáció, a jogellenes finanszírozás és az összehangolt kiber- vagy befolyásolási műveletek – nyomon követésében és dokumentálásában is;</w:t>
      </w:r>
    </w:p>
    <w:p w14:paraId="278FD77A" w14:textId="77777777" w:rsidR="002272CC" w:rsidRPr="00BD16D2" w:rsidRDefault="002272CC" w:rsidP="00424081">
      <w:pPr>
        <w:pStyle w:val="NormalHanging12a"/>
        <w:widowControl/>
      </w:pPr>
      <w:r w:rsidRPr="00BD16D2">
        <w:t>6.</w:t>
      </w:r>
      <w:r w:rsidRPr="00BD16D2">
        <w:tab/>
        <w:t>hangot ad azon határozott meggyőződésének, hogy Moldova akkor lesz képes arra, hogy megszilárdítsa az uniós csatlakozással kapcsolatos reformok terén elért jelenlegi előrehaladását, és fenntartsa az uniós tagság felé vezető előrehaladás ambiciózus ütemét, ha azt parlamentje határozottan és ténylegesen támogatja;</w:t>
      </w:r>
    </w:p>
    <w:p w14:paraId="544A30DF" w14:textId="77777777" w:rsidR="002272CC" w:rsidRPr="00BD16D2" w:rsidRDefault="002272CC" w:rsidP="00424081">
      <w:pPr>
        <w:pStyle w:val="NormalHanging12a"/>
        <w:widowControl/>
      </w:pPr>
      <w:r w:rsidRPr="00BD16D2">
        <w:t>7.</w:t>
      </w:r>
      <w:r w:rsidRPr="00BD16D2">
        <w:tab/>
        <w:t>megelégedéssel veszi tudomásul az EU arra irányuló erőfeszítéseit, hogy a legmagasabb szinten nyújtson politikai támogatást Moldovának, nevezetesen a 2025. július 4-én Chișinăuban tartott első EU-Moldova csúcstalálkozót, az uniós állam-, illetve kormányfők (Franciaország, Németország és Lengyelország részéről) 2025. augusztus 27-i moldovai látogatását, valamint a román elnök 2025. augusztus 31-i moldovai látogatását, amelyek mind arra szolgáltak, hogy ismételten hangsúlyozzák Moldova uniós csatlakozásának egyértelmű lehetőségét az érdemek és a demokratikus elvek tiszteletben tartása alapján;</w:t>
      </w:r>
    </w:p>
    <w:p w14:paraId="3D41B4C7" w14:textId="77777777" w:rsidR="002272CC" w:rsidRPr="00BD16D2" w:rsidRDefault="002272CC" w:rsidP="00424081">
      <w:pPr>
        <w:pStyle w:val="NormalHanging12a"/>
        <w:widowControl/>
        <w:rPr>
          <w:rStyle w:val="NormalHanging12aChar"/>
          <w:color w:val="000000"/>
          <w:szCs w:val="24"/>
        </w:rPr>
      </w:pPr>
      <w:r w:rsidRPr="00BD16D2">
        <w:t>8.</w:t>
      </w:r>
      <w:r w:rsidRPr="00BD16D2">
        <w:tab/>
        <w:t xml:space="preserve">ismételten felhívja az EU-t, hogy a moldovai kormánynak az ország demokratikus folyamataiba való beavatkozás elleni küzdelemre irányuló erőfeszítéseihez nyújtott politikai támogatását egészítse ki megnövelt pénzügyi és technikai támogatással, többek között a 2025. július 15-ihez hasonló újabb szankciós listák elfogadása, az EU moldovai partnerségi missziója (EUPM) számára további támogatás biztosítása, a gyanús pénzmozgásokról – beleértve a kriptovalutákat is –, valamint a homályos és illegális finanszírozási hálózatokról való információcsere, továbbá a külföldi információmanipulációval és beavatkozással kapcsolatos szakértelem megosztása révén, </w:t>
      </w:r>
      <w:r w:rsidRPr="00BD16D2">
        <w:lastRenderedPageBreak/>
        <w:t>a hibrid fenyegetések ellensúlyozása és a reziliencia megerősítése érdekében;</w:t>
      </w:r>
      <w:bookmarkStart w:id="7" w:name="_Hlk194942091"/>
      <w:r w:rsidRPr="00BD16D2">
        <w:rPr>
          <w:rStyle w:val="NormalHanging12aChar"/>
          <w:color w:val="000000"/>
        </w:rPr>
        <w:t xml:space="preserve"> újólag kéri a moldovai hatóságokat és az EU-t, hogy fokozzák a független médiának és a demokráciapárti civil társadalomnak nyújtott támogatásukat annak érdekében, hogy a nemzeti és regionális szinten lehetővé tegyék az újságírók számára a külföldi információmanipuláció és beavatkozás elleni küzdelmet, és erősítsék a digitális jártasságot;</w:t>
      </w:r>
      <w:bookmarkEnd w:id="7"/>
      <w:r w:rsidRPr="00BD16D2">
        <w:rPr>
          <w:rStyle w:val="NormalHanging12aChar"/>
          <w:color w:val="000000"/>
        </w:rPr>
        <w:t xml:space="preserve"> üdvözli a Bizottság bejelentését, hogy létrehozza a Digitális Média Európai Megfigyelőközpontjának (EDMO) egy új regionális központját, hogy támogassa Moldovát és Ukrajnát a dezinformáció elleni küzdelemben; sürgeti az összes jelentős online platformot, különösen a Metát, a Google-t, a Telegramot, a TikTokot, a Microsoftot és a Rakutent, hogy szorosan működjenek együtt a moldovai hatóságokkal, a civil társadalommal és az új EDMO-központtal; felszólítja Moldovát, hogy jogszabályait haladéktalanul hangolja össze a digitális piacokról szóló uniós jogszabállyal</w:t>
      </w:r>
      <w:r w:rsidRPr="00BD16D2">
        <w:rPr>
          <w:rStyle w:val="FootnoteReference"/>
          <w:color w:val="000000"/>
        </w:rPr>
        <w:footnoteReference w:id="5"/>
      </w:r>
      <w:r w:rsidRPr="00BD16D2">
        <w:rPr>
          <w:rStyle w:val="NormalHanging12aChar"/>
          <w:color w:val="000000"/>
        </w:rPr>
        <w:t xml:space="preserve"> és a digitális szolgáltatásokról szóló jogszabállyal</w:t>
      </w:r>
      <w:r w:rsidRPr="00BD16D2">
        <w:rPr>
          <w:rStyle w:val="FootnoteReference"/>
          <w:color w:val="000000"/>
        </w:rPr>
        <w:footnoteReference w:id="6"/>
      </w:r>
      <w:r w:rsidRPr="00BD16D2">
        <w:rPr>
          <w:rStyle w:val="NormalHanging12aChar"/>
          <w:color w:val="000000"/>
        </w:rPr>
        <w:t>; felhívja a Bizottságot, hogy nyújtson ehhez célzott támogatást Moldovának;</w:t>
      </w:r>
    </w:p>
    <w:p w14:paraId="1CC10100" w14:textId="77777777" w:rsidR="002272CC" w:rsidRPr="00BD16D2" w:rsidRDefault="002272CC" w:rsidP="00424081">
      <w:pPr>
        <w:pStyle w:val="NormalHanging12a"/>
        <w:widowControl/>
        <w:rPr>
          <w:szCs w:val="24"/>
        </w:rPr>
      </w:pPr>
      <w:r w:rsidRPr="00BD16D2">
        <w:t>9.</w:t>
      </w:r>
      <w:r w:rsidRPr="00BD16D2">
        <w:tab/>
        <w:t>ösztönzi a moldovai hatóságokat, hogy teljes mértékben használják ki az EUPM szakértelmét a 2025. szeptember 28-i parlamenti választások közeledtével esetleg megismétlődő választási beavatkozások ellensúlyozása érdekében; ösztönzi az Európai Külügyi Szolgálatot és a Bizottságot, hogy használjanak fel minden rendelkezésre álló uniós eszközt Moldovának a hibrid fenyegetések elleni küzdelem terén való támogatása érdekében, többek között a hibrid fenyegetéseket kezelő uniós gyorsreagálású csapat, a kiberbiztonsági incidensekkel foglalkozó gyorsreagálású csapat és a kiberbiztonsági tartalék segítségével; üdvözli a moldovai stratégiai kommunikációval és a dezinformáció elleni küzdelemmel foglalkozó központ törekvéseit a külföldi beavatkozás elleni küzdelem különböző moldovai intézmények közötti koordinálására, valamint a Nemzeti Kiberbiztonsági Ügynökség és a Nemzeti Kiberbiztonsági Innovációs Intézet erőfeszítéseit, és kéri azok uniós támogatásának növelését; ismét hangsúlyozza a Moldova, valamint az EU és tagállamai közötti, biztonsági fenyegetésekkel kapcsolatos információmegosztás és hírszerzési együttműködés javításának fontosságát; felhívja az EU-t, hogy vonja le a tanulságokat a Moldovában szerzett tapasztalatokból, amelyek felhasználhatók az EU saját választási folyamatainak és demokratikus intézményeinek védelmére;</w:t>
      </w:r>
    </w:p>
    <w:p w14:paraId="33501426" w14:textId="77777777" w:rsidR="002272CC" w:rsidRPr="00BD16D2" w:rsidRDefault="002272CC" w:rsidP="00424081">
      <w:pPr>
        <w:pStyle w:val="NormalHanging12a"/>
        <w:widowControl/>
        <w:rPr>
          <w:szCs w:val="24"/>
        </w:rPr>
      </w:pPr>
      <w:r w:rsidRPr="00BD16D2">
        <w:t>10.</w:t>
      </w:r>
      <w:r w:rsidRPr="00BD16D2">
        <w:tab/>
        <w:t xml:space="preserve">megjegyzi, hogy Moldova következetesen igazodik az EU közös kül- és biztonságpolitikai álláspontjaihoz, és 2024 óta végrehajtja az EU-val kialakított biztonsági és védelmi partnerségét és a 2024–2034-es időszakra szóló új nemzeti védelmi stratégiáját; felhívja ezért a tagállamokat, hogy növeljék Moldova finanszírozását az Európai Békekereten keresztül, tekintettel arra is, hogy orosz drónok és rakéták ismételten megsértik Moldova légterét, és vonják be Moldovát az európai védelmi ipari program keretében megvalósuló közös védelmi beszerzésekbe; hangsúlyozza Moldova szerepét az EU keleti határának és a fekete-tengeri régiónak a </w:t>
      </w:r>
      <w:r w:rsidRPr="00BD16D2">
        <w:lastRenderedPageBreak/>
        <w:t>biztonságában és stabilitásában az Oroszország Ukrajna elleni agressziós háborúja által okozott humanitárius és energiaválság közepette;</w:t>
      </w:r>
    </w:p>
    <w:p w14:paraId="2221C3A8" w14:textId="77777777" w:rsidR="002272CC" w:rsidRPr="00BD16D2" w:rsidRDefault="002272CC" w:rsidP="00424081">
      <w:pPr>
        <w:pStyle w:val="NormalHanging12a"/>
        <w:widowControl/>
      </w:pPr>
      <w:r w:rsidRPr="00BD16D2">
        <w:t>11.</w:t>
      </w:r>
      <w:r w:rsidRPr="00BD16D2">
        <w:tab/>
        <w:t>felhívja az Oroszországi Föderációt, hogy vonja ki katonai erőit, felszerelését és lőszereit a Dnyeszteren túli régióból, és támogassa a konfliktus békés megoldását a nemzetközi joggal, valamint Moldova szuverenitásával és területi integritásával összhangban;</w:t>
      </w:r>
    </w:p>
    <w:p w14:paraId="045BD34F" w14:textId="7E9B9C16" w:rsidR="002272CC" w:rsidRPr="00BD16D2" w:rsidRDefault="002272CC" w:rsidP="00424081">
      <w:pPr>
        <w:pStyle w:val="NormalHanging12a"/>
        <w:widowControl/>
        <w:rPr>
          <w:szCs w:val="24"/>
        </w:rPr>
      </w:pPr>
      <w:r w:rsidRPr="00BD16D2">
        <w:t>12.</w:t>
      </w:r>
      <w:r w:rsidRPr="00BD16D2">
        <w:tab/>
        <w:t>sürgeti a moldovai hatóságokat, a civil társadalmat és az EU-t, hogy erősítsék a stratégiai kommunikációt, leleplezve az Oroszország által az EU-val és politikáival kapcsolatban népszerűsített hamis narratívákat, illetve küzdve ezek ellen, valamint kiemelve, hogy milyen konkrét rövid és hosszú távú előnyökkel jár az EU-hoz való csatlakozás Moldova egész népe számára, különös figyelmet fordítva az olyan régiókban folytatott kommunikációra, mint Gagauzia és a vidéki területek társadalmi-gazdasági szempontból hátrányos helyzetű közösségei</w:t>
      </w:r>
      <w:bookmarkStart w:id="8" w:name="_Hlk196923727"/>
      <w:r w:rsidRPr="00BD16D2">
        <w:t>;</w:t>
      </w:r>
      <w:bookmarkEnd w:id="8"/>
      <w:r w:rsidRPr="00BD16D2">
        <w:t xml:space="preserve"> kijelenti, hogy a kölcsönösen elfogadott demokráciatámogatási tevékenységeken keresztül kész továbbra is támogatni Moldova parlamentjét; ezért javasolja, hogy teljes mértékben használják ki az Európai Parlament chișinăui kapcsolattartó irodáját az információk terjesztésére, a dezinformáció elleni küzdelemre és a polgári szerepvállalás támogatására, hozzájárulva ezáltal Moldova demokratikus rezilienciájának megerősítéséhez; mély aggodalmának ad hangot Oroszországnak a homofóbiát kihasználó kiterjedt kampánya miatt, amely megfélemlítésre és fizikai támadásokra is kiterjed, és felhívja a Bizottságot, a tagállamokat és Moldovát, hogy a szexuális irányultságtól vagy nemi identitástól függetlenül mindenki számára biztosítandó egyenlőség előmozdítása révén fektessenek be a moldovai társadalom rezilienciájába;</w:t>
      </w:r>
    </w:p>
    <w:p w14:paraId="51C637EB" w14:textId="093FAC50" w:rsidR="002272CC" w:rsidRDefault="002272CC" w:rsidP="00023E89">
      <w:pPr>
        <w:pStyle w:val="NormalHanging12a"/>
        <w:widowControl/>
      </w:pPr>
      <w:r w:rsidRPr="00BD16D2">
        <w:t>13.</w:t>
      </w:r>
      <w:r w:rsidRPr="00BD16D2">
        <w:tab/>
      </w:r>
      <w:r w:rsidR="00023E89">
        <w:t>megjegyzi, hogy Oroszországnak a 2014. december 25-i katonai doktrínára épülő, Putyin elnök által 2015. december 31-én jóváhagyott nemzetbiztonsági stratégiája kifejezetten védi az úgynevezett hagyományos orosz szellemi és erkölcsi értékeket az érzékelt nyugati befolyással szemben, ami azt mutatja, hogy Oroszország stratégiai célokra eszközként használja ezeket az értékeket és intézményeiket; aggodalmát fejezi ki amiatt, hogy Oroszország eszközként használja az úgynevezett hagyományos orosz értékeket, és hangsúlyozza, hogy Moldovában az orosz propaganda egyik elsődleges csatornája az orosz ortodox egyház joghatósága alá tartozó és Moszkvát támogató moldáv ortodox egyház; hangsúlyozza, hogy 2024 áprilisában az Európa Tanács Parlamenti Közgyűlése a Kreml propagandájának eszközeként ismerte el az orosz ortodox egyházat, és 2024 augusztusában a konstantinápolyi ökumenikus pátriárka militaristának, etnikai-nacionalistának és eretneknek nevezte és elítélte azt; elítéli a Besszarábiai Metropolita Egyház papjainak Oroszországhoz kötődő szereplők általi megfélemlítését</w:t>
      </w:r>
      <w:r w:rsidR="00023E89">
        <w:rPr>
          <w:rStyle w:val="FootnoteReference"/>
        </w:rPr>
        <w:footnoteReference w:id="7"/>
      </w:r>
      <w:r w:rsidRPr="00BD16D2">
        <w:t>;</w:t>
      </w:r>
    </w:p>
    <w:p w14:paraId="320B9DC9" w14:textId="6AC225B8" w:rsidR="00023E89" w:rsidRPr="00BD16D2" w:rsidRDefault="00023E89" w:rsidP="00023E89">
      <w:pPr>
        <w:pStyle w:val="NormalHanging12a"/>
        <w:widowControl/>
      </w:pPr>
      <w:r>
        <w:t>14</w:t>
      </w:r>
      <w:r w:rsidRPr="00023E89">
        <w:t>.</w:t>
      </w:r>
      <w:r w:rsidRPr="00023E89">
        <w:tab/>
        <w:t>elismeri, hogy a Besszarábiai Metropolita Egyház a szovjet elnyomás áldozata; megjegyzi, hogy miután a szovjet hatóságok jogtalanul megszüntették, a Besszarábiai Ortodox Egyházat csak 2002-ben ismerték el hivatalosan, az Emberi Jogok Európai Bíróságának határozatát követően;</w:t>
      </w:r>
    </w:p>
    <w:p w14:paraId="3C5C1161" w14:textId="352DE793" w:rsidR="002272CC" w:rsidRPr="00BD16D2" w:rsidRDefault="00023E89" w:rsidP="00424081">
      <w:pPr>
        <w:pStyle w:val="NormalHanging12a"/>
        <w:widowControl/>
        <w:rPr>
          <w:szCs w:val="24"/>
        </w:rPr>
      </w:pPr>
      <w:r>
        <w:lastRenderedPageBreak/>
        <w:t>15</w:t>
      </w:r>
      <w:r w:rsidR="002272CC" w:rsidRPr="00BD16D2">
        <w:t>.</w:t>
      </w:r>
      <w:r w:rsidR="002272CC" w:rsidRPr="00BD16D2">
        <w:tab/>
        <w:t>megjegyzi, hogy a civil társadalmi szervezetek jelentős mértékben hozzájárulnak a dezinformáció, valamint a reformellenes politikai szereplők és az Oroszországhoz kötődő szereplők rosszindulatú befolyása elleni küzdelemhez, továbbá az emberi jogok védelméhez, az átláthatóság előmozdításához és a kormányzat és a demokratikus és az uniós csatlakozással kapcsolatos reformok terén elért eredmények nyomon követéséhez;</w:t>
      </w:r>
    </w:p>
    <w:p w14:paraId="33139C5E" w14:textId="3D19C32D" w:rsidR="002272CC" w:rsidRPr="00BD16D2" w:rsidRDefault="00023E89" w:rsidP="00424081">
      <w:pPr>
        <w:pStyle w:val="NormalHanging12a"/>
        <w:widowControl/>
        <w:rPr>
          <w:szCs w:val="24"/>
        </w:rPr>
      </w:pPr>
      <w:r>
        <w:t>16</w:t>
      </w:r>
      <w:r w:rsidR="002272CC" w:rsidRPr="00BD16D2">
        <w:t>.</w:t>
      </w:r>
      <w:r w:rsidR="002272CC" w:rsidRPr="00BD16D2">
        <w:tab/>
        <w:t>hangsúlyozza, hogy az igazságszolgáltatási rendszer átfogó reformja és a korrupció elleni küzdelem kulcsfontosságú Moldova külföldi beavatkozással és hibrid fenyegetésekkel szembeni rezilienciája, valamint a demokratikus és az uniós csatlakozással kapcsolatos reformok sikere szempontjából; elismeri Moldova arra irányuló folyamatos erőfeszítéseit, hogy független, pártatlan, elszámoltatható és professzionális igazságszolgáltatási rendszert építsen ki, és 2026 végéig lezárja az átvilágítási folyamatot; hangsúlyozza, hogy biztosítani kell az összes kulcsfontosságú korrupcióellenes és igazságügyi intézmény közötti fokozott koordinációt az átfogó jogállamisági reformok teljes körű végrehajtása, a korrupciós ügyekben hatékony büntetőeljárások révén – a megfelelő eljárások és a tisztességes tárgyaláshoz való jog tiszteletben tartása mellett – meggyőző eredmények elérése, valamint a demokratikus intézményekbe és a reformfolyamatba vetett közbizalom fenntartása érdekében; felhívja ezért a jövőbeli kormányt, hogy tartsa fenn a törekvések jelenlegi szintjét, és hajtsa végre a jogállamisági reformokat;</w:t>
      </w:r>
    </w:p>
    <w:p w14:paraId="12628BBB" w14:textId="206167D9" w:rsidR="002272CC" w:rsidRDefault="00023E89" w:rsidP="00424081">
      <w:pPr>
        <w:pStyle w:val="NormalHanging12a"/>
        <w:widowControl/>
      </w:pPr>
      <w:r>
        <w:t>17</w:t>
      </w:r>
      <w:r w:rsidR="002272CC" w:rsidRPr="00BD16D2">
        <w:t>.</w:t>
      </w:r>
      <w:r w:rsidR="002272CC" w:rsidRPr="00BD16D2">
        <w:tab/>
        <w:t>hangsúlyozza, hogy az energetikai függetlenség és az összekapcsoltság döntő fontosságú az energiaágazatban az orosz hibrid fenyegetésekkel szembeni fokozott reziliencia szempontjából, és ezért felszólít a növekedési terv gyorsabb végrehajtására; elítéli, hogy Oroszország továbbra is eszközként használja az energiaellátást, és üdvözli Moldova előrelépését az energiaforrások diverzifikálása, a megújuló energiaforrások és az energiatárolási rendszerek alkalmazása, az orosz gáztól való függőség csökkentése és az uniós energiapiacba való integráció terén;</w:t>
      </w:r>
    </w:p>
    <w:p w14:paraId="70FBC0FF" w14:textId="53D9A2C8" w:rsidR="00023E89" w:rsidRPr="00BD16D2" w:rsidRDefault="00023E89" w:rsidP="00424081">
      <w:pPr>
        <w:pStyle w:val="NormalHanging12a"/>
        <w:widowControl/>
        <w:rPr>
          <w:szCs w:val="24"/>
        </w:rPr>
      </w:pPr>
      <w:r>
        <w:rPr>
          <w:szCs w:val="24"/>
        </w:rPr>
        <w:t>18</w:t>
      </w:r>
      <w:r w:rsidRPr="00023E89">
        <w:rPr>
          <w:szCs w:val="24"/>
        </w:rPr>
        <w:t xml:space="preserve">. </w:t>
      </w:r>
      <w:r w:rsidRPr="00023E89">
        <w:rPr>
          <w:szCs w:val="24"/>
        </w:rPr>
        <w:tab/>
        <w:t>elismerését fejezi ki a Moldovai Köztársaságnak az orosz energiaforrások fokozatos kivezetése, energiaszerkezete dekarbonizációjának és digitalizációjának felgyorsítása, valamint az uniós energiapiacba való integráció terén elért jelentős haladásért; megismétli az EU-hoz és a tagállamokhoz intézett azon felhívását, hogy továbbra is támogassák Moldova energiabiztonságát, támogatva a szomszédos országokkal való új villamosenergia-összeköttetések kiépítését, előmozdítva az energiahatékonyságot és megújuló energiaforrások és energiatárolási rendszereket alkalmazva a nemzeti energia- és klímatervekben meghatározott célértékekkel összhangban</w:t>
      </w:r>
      <w:r>
        <w:rPr>
          <w:szCs w:val="24"/>
        </w:rPr>
        <w:t>;</w:t>
      </w:r>
    </w:p>
    <w:p w14:paraId="699746A5" w14:textId="5F46C046" w:rsidR="002272CC" w:rsidRPr="00BD16D2" w:rsidRDefault="00023E89" w:rsidP="00424081">
      <w:pPr>
        <w:pStyle w:val="NormalHanging12a"/>
        <w:widowControl/>
        <w:rPr>
          <w:szCs w:val="24"/>
        </w:rPr>
      </w:pPr>
      <w:r>
        <w:t>19</w:t>
      </w:r>
      <w:r w:rsidR="002272CC" w:rsidRPr="00BD16D2">
        <w:t>.</w:t>
      </w:r>
      <w:r w:rsidR="002272CC" w:rsidRPr="00BD16D2">
        <w:tab/>
        <w:t xml:space="preserve">üdvözli a Moldovára vonatkozó, 1,9 milliárd EUR-s növekedési terv zökkenőmentes elfogadását, amely példátlan mértékű támogatást jelent a moldovai gazdaság fellendítésére és az ország uniós tagság felé vezető útjának előmozdítására a kulcsfontosságú reformok felgyorsítása révén olyan ágazatokban, mint az energia, a környezetvédelem, a digitális ágazat, a közlekedés és egyéb ágazatok; üdvözli az 1,9 milliárd EUR-s növekedési terv 270 millió EUR összegű előfinanszírozási részletének folyósítását, és szorgalmazza az első rendes részlet gyors felszabadítását az infrastruktúra, a humántőke, a vállalkozásfejlesztés, valamint a digitális és zöld átállás kulcsfontosságú reformjainak támogatására; sürgeti az EU-t és Moldovát, hogy gyorsítsák fel az ország fokozatos integrációját az EU egységes piacába annak érdekében, hogy még a hivatalos uniós csatlakozás előtt kézzelfogható társadalmi-gazdasági előnyöket biztosítsanak; üdvözli az EU és Moldova közötti mélyreható és átfogó szabadkereskedelmi térség kereskedelmi rendelkezéseinek felülvizsgálatáról és </w:t>
      </w:r>
      <w:r w:rsidR="002272CC" w:rsidRPr="00BD16D2">
        <w:lastRenderedPageBreak/>
        <w:t>aktualizálásáról szóló közelmúltbeli megállapodást, amely nagyobb piaci hozzáférést biztosít a még nem liberalizált moldovai mezőgazdasági export számára; támogatja Moldova felvételét az előcsatlakozási eszközbe a következő többéves pénzügyi keretben; elismerését fejezi ki a Tanács 2025. július 25-i azon döntéséért, hogy 2026. január 1-jétől integrálja Moldovát a belföldi díjszabás szerinti barangolás térségébe, miután 2025. július 14-én Ukrajna esetében is hasonló határozatot fogadtak el;</w:t>
      </w:r>
    </w:p>
    <w:p w14:paraId="572A4A83" w14:textId="3809F2B9" w:rsidR="00E365E1" w:rsidRPr="00BD16D2" w:rsidRDefault="00023E89" w:rsidP="00C32B5E">
      <w:pPr>
        <w:pStyle w:val="NormalHanging12a"/>
        <w:widowControl/>
      </w:pPr>
      <w:r>
        <w:t>20</w:t>
      </w:r>
      <w:r w:rsidR="002272CC" w:rsidRPr="00BD16D2">
        <w:t>.</w:t>
      </w:r>
      <w:r w:rsidR="002272CC" w:rsidRPr="00BD16D2">
        <w:tab/>
        <w:t>utasítja elnökét, hogy továbbítsa ezt az állásfoglalást a Bizottság alelnökének/az Unió külügyi és biztonságpolitikai főképviselőjének, a Tanácsnak, a Bizottságnak, a tagállamok kormányainak és parlamentjeinek, az Európa Tanácsnak, az Európai Biztonsági és Együttműködési Szervezetnek, valamint Moldova elnökének, kormányának és parlamentjének.</w:t>
      </w:r>
    </w:p>
    <w:sectPr w:rsidR="00E365E1" w:rsidRPr="00BD16D2" w:rsidSect="00BD16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58020" w14:textId="77777777" w:rsidR="00965E89" w:rsidRPr="00BD16D2" w:rsidRDefault="00965E89">
      <w:r w:rsidRPr="00BD16D2">
        <w:separator/>
      </w:r>
    </w:p>
  </w:endnote>
  <w:endnote w:type="continuationSeparator" w:id="0">
    <w:p w14:paraId="66C03E4B" w14:textId="77777777" w:rsidR="00965E89" w:rsidRPr="00BD16D2" w:rsidRDefault="00965E89">
      <w:r w:rsidRPr="00BD16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586B" w14:textId="77777777" w:rsidR="00064002" w:rsidRPr="00BD16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C5D9D" w14:textId="77777777" w:rsidR="00064002" w:rsidRPr="00BD16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EE744" w14:textId="77777777" w:rsidR="00064002" w:rsidRPr="00BD16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66C71" w14:textId="77777777" w:rsidR="00965E89" w:rsidRPr="00BD16D2" w:rsidRDefault="00965E89">
      <w:r w:rsidRPr="00BD16D2">
        <w:separator/>
      </w:r>
    </w:p>
  </w:footnote>
  <w:footnote w:type="continuationSeparator" w:id="0">
    <w:p w14:paraId="51747BD3" w14:textId="77777777" w:rsidR="00965E89" w:rsidRPr="00BD16D2" w:rsidRDefault="00965E89">
      <w:r w:rsidRPr="00BD16D2">
        <w:continuationSeparator/>
      </w:r>
    </w:p>
  </w:footnote>
  <w:footnote w:id="1">
    <w:p w14:paraId="56525C53" w14:textId="39B66D74" w:rsidR="002272CC" w:rsidRPr="00994AF1" w:rsidRDefault="002272CC" w:rsidP="00BD16D2">
      <w:pPr>
        <w:pStyle w:val="FootnoteText"/>
        <w:ind w:left="567" w:hanging="567"/>
        <w:rPr>
          <w:sz w:val="24"/>
          <w:szCs w:val="24"/>
          <w:lang w:val="hu-HU"/>
        </w:rPr>
      </w:pPr>
      <w:r w:rsidRPr="00994AF1">
        <w:rPr>
          <w:rStyle w:val="FootnoteReference"/>
          <w:sz w:val="24"/>
          <w:szCs w:val="24"/>
          <w:lang w:val="hu-HU"/>
        </w:rPr>
        <w:footnoteRef/>
      </w:r>
      <w:r w:rsidR="00BD16D2" w:rsidRPr="00994AF1">
        <w:rPr>
          <w:sz w:val="24"/>
          <w:szCs w:val="24"/>
          <w:lang w:val="hu-HU"/>
        </w:rPr>
        <w:t xml:space="preserve"> </w:t>
      </w:r>
      <w:r w:rsidR="00BD16D2" w:rsidRPr="00994AF1">
        <w:rPr>
          <w:sz w:val="24"/>
          <w:szCs w:val="24"/>
          <w:lang w:val="hu-HU"/>
        </w:rPr>
        <w:tab/>
      </w:r>
      <w:r w:rsidRPr="00994AF1">
        <w:rPr>
          <w:sz w:val="24"/>
          <w:szCs w:val="24"/>
          <w:lang w:val="hu-HU"/>
        </w:rPr>
        <w:t>Elfogadott szövegek, P10_</w:t>
      </w:r>
      <w:proofErr w:type="gramStart"/>
      <w:r w:rsidRPr="00994AF1">
        <w:rPr>
          <w:sz w:val="24"/>
          <w:szCs w:val="24"/>
          <w:lang w:val="hu-HU"/>
        </w:rPr>
        <w:t>TA(</w:t>
      </w:r>
      <w:proofErr w:type="gramEnd"/>
      <w:r w:rsidRPr="00994AF1">
        <w:rPr>
          <w:sz w:val="24"/>
          <w:szCs w:val="24"/>
          <w:lang w:val="hu-HU"/>
        </w:rPr>
        <w:t>2025)0131.</w:t>
      </w:r>
    </w:p>
  </w:footnote>
  <w:footnote w:id="2">
    <w:p w14:paraId="30ACC80D" w14:textId="62F023FF" w:rsidR="002272CC" w:rsidRPr="00994AF1" w:rsidRDefault="002272CC" w:rsidP="00BD16D2">
      <w:pPr>
        <w:pStyle w:val="FootnoteText"/>
        <w:ind w:left="567" w:hanging="567"/>
        <w:rPr>
          <w:sz w:val="24"/>
          <w:szCs w:val="24"/>
          <w:lang w:val="hu-HU"/>
        </w:rPr>
      </w:pPr>
      <w:r w:rsidRPr="00994AF1">
        <w:rPr>
          <w:rStyle w:val="FootnoteReference"/>
          <w:sz w:val="24"/>
          <w:szCs w:val="24"/>
          <w:lang w:val="hu-HU"/>
        </w:rPr>
        <w:footnoteRef/>
      </w:r>
      <w:r w:rsidR="00BD16D2" w:rsidRPr="00994AF1">
        <w:rPr>
          <w:sz w:val="24"/>
          <w:szCs w:val="24"/>
          <w:lang w:val="hu-HU"/>
        </w:rPr>
        <w:t xml:space="preserve"> </w:t>
      </w:r>
      <w:r w:rsidR="00BD16D2" w:rsidRPr="00994AF1">
        <w:rPr>
          <w:sz w:val="24"/>
          <w:szCs w:val="24"/>
          <w:lang w:val="hu-HU"/>
        </w:rPr>
        <w:tab/>
      </w:r>
      <w:r w:rsidRPr="00994AF1">
        <w:rPr>
          <w:sz w:val="24"/>
          <w:szCs w:val="24"/>
          <w:lang w:val="hu-HU"/>
        </w:rPr>
        <w:t xml:space="preserve">HL C, C/2025/204, 2025.1.14., ELI: </w:t>
      </w:r>
      <w:hyperlink r:id="rId1" w:history="1">
        <w:r w:rsidRPr="00994AF1">
          <w:rPr>
            <w:rStyle w:val="Hyperlink"/>
            <w:sz w:val="24"/>
            <w:szCs w:val="24"/>
            <w:lang w:val="hu-HU"/>
          </w:rPr>
          <w:t>http://data.europa.eu/eli/C/2025/204/oj</w:t>
        </w:r>
      </w:hyperlink>
      <w:r w:rsidRPr="00994AF1">
        <w:rPr>
          <w:sz w:val="24"/>
          <w:szCs w:val="24"/>
          <w:lang w:val="hu-HU"/>
        </w:rPr>
        <w:t>.</w:t>
      </w:r>
    </w:p>
  </w:footnote>
  <w:footnote w:id="3">
    <w:p w14:paraId="6F8363C6" w14:textId="7A96A2C3" w:rsidR="002272CC" w:rsidRPr="00994AF1" w:rsidRDefault="002272CC" w:rsidP="00BD16D2">
      <w:pPr>
        <w:pStyle w:val="FootnoteText"/>
        <w:ind w:left="567" w:hanging="567"/>
        <w:rPr>
          <w:sz w:val="24"/>
          <w:szCs w:val="24"/>
          <w:lang w:val="hu-HU"/>
        </w:rPr>
      </w:pPr>
      <w:r w:rsidRPr="00994AF1">
        <w:rPr>
          <w:rStyle w:val="FootnoteReference"/>
          <w:sz w:val="24"/>
          <w:szCs w:val="24"/>
          <w:lang w:val="hu-HU"/>
        </w:rPr>
        <w:footnoteRef/>
      </w:r>
      <w:r w:rsidR="00BD16D2" w:rsidRPr="00994AF1">
        <w:rPr>
          <w:sz w:val="24"/>
          <w:szCs w:val="24"/>
          <w:lang w:val="hu-HU"/>
        </w:rPr>
        <w:t xml:space="preserve"> </w:t>
      </w:r>
      <w:r w:rsidR="00BD16D2" w:rsidRPr="00994AF1">
        <w:rPr>
          <w:sz w:val="24"/>
          <w:szCs w:val="24"/>
          <w:lang w:val="hu-HU"/>
        </w:rPr>
        <w:tab/>
      </w:r>
      <w:r w:rsidRPr="00994AF1">
        <w:rPr>
          <w:sz w:val="24"/>
          <w:szCs w:val="24"/>
          <w:lang w:val="hu-HU"/>
        </w:rPr>
        <w:t>HL L 260., 2014.8.30., 4. o., ELI: </w:t>
      </w:r>
      <w:r w:rsidR="00C52F67">
        <w:fldChar w:fldCharType="begin"/>
      </w:r>
      <w:r w:rsidR="00C52F67" w:rsidRPr="00C52F67">
        <w:rPr>
          <w:lang w:val="de-DE"/>
        </w:rPr>
        <w:instrText>HYPERLINK "http://data.europa.eu/eli/agree_internation/2014/492/oj" \o "Az ELI (európai jogszabály-azonosító) URI-hivatkozása révén biztosít hozzáférést a dokumentumhoz."</w:instrText>
      </w:r>
      <w:r w:rsidR="00C52F67">
        <w:fldChar w:fldCharType="separate"/>
      </w:r>
      <w:r w:rsidRPr="00994AF1">
        <w:rPr>
          <w:rStyle w:val="Hyperlink"/>
          <w:sz w:val="24"/>
          <w:szCs w:val="24"/>
          <w:lang w:val="hu-HU"/>
        </w:rPr>
        <w:t>http://data.europa.eu/eli/agree_internation/2014/492/oj</w:t>
      </w:r>
      <w:r w:rsidR="00C52F67">
        <w:rPr>
          <w:rStyle w:val="Hyperlink"/>
          <w:sz w:val="24"/>
          <w:szCs w:val="24"/>
          <w:lang w:val="hu-HU"/>
        </w:rPr>
        <w:fldChar w:fldCharType="end"/>
      </w:r>
      <w:r w:rsidRPr="00994AF1">
        <w:rPr>
          <w:sz w:val="24"/>
          <w:szCs w:val="24"/>
          <w:lang w:val="hu-HU"/>
        </w:rPr>
        <w:t>.</w:t>
      </w:r>
    </w:p>
  </w:footnote>
  <w:footnote w:id="4">
    <w:p w14:paraId="64584C10" w14:textId="5283BAC6" w:rsidR="00023E89" w:rsidRPr="00C32B5E" w:rsidRDefault="00023E89" w:rsidP="00C32B5E">
      <w:pPr>
        <w:pStyle w:val="FootnoteText"/>
        <w:ind w:left="567" w:hanging="567"/>
        <w:rPr>
          <w:sz w:val="24"/>
          <w:szCs w:val="24"/>
          <w:lang w:val="hu-HU"/>
        </w:rPr>
      </w:pPr>
      <w:r w:rsidRPr="00C32B5E">
        <w:rPr>
          <w:rStyle w:val="FootnoteReference"/>
          <w:sz w:val="24"/>
          <w:szCs w:val="24"/>
        </w:rPr>
        <w:footnoteRef/>
      </w:r>
      <w:r w:rsidRPr="00C32B5E">
        <w:rPr>
          <w:sz w:val="24"/>
          <w:szCs w:val="24"/>
          <w:lang w:val="hu-HU"/>
        </w:rPr>
        <w:t xml:space="preserve"> </w:t>
      </w:r>
      <w:r w:rsidRPr="00C32B5E">
        <w:rPr>
          <w:sz w:val="24"/>
          <w:szCs w:val="24"/>
          <w:lang w:val="hu-HU"/>
        </w:rPr>
        <w:tab/>
      </w:r>
      <w:r w:rsidR="00C52F67">
        <w:fldChar w:fldCharType="begin"/>
      </w:r>
      <w:r w:rsidR="00C52F67" w:rsidRPr="00C52F67">
        <w:rPr>
          <w:lang w:val="hu-HU"/>
        </w:rPr>
        <w:instrText>HYPERLINK "https://www.zdg.md/en/kremlins-digital-army-an-undercover-investigation-its-paid-let-me-tell-you-its-paid-directly-from-moscow/"</w:instrText>
      </w:r>
      <w:r w:rsidR="00C52F67">
        <w:fldChar w:fldCharType="separate"/>
      </w:r>
      <w:r w:rsidRPr="00C32B5E">
        <w:rPr>
          <w:rStyle w:val="Hyperlink"/>
          <w:sz w:val="24"/>
          <w:szCs w:val="24"/>
          <w:lang w:val="hu-HU"/>
        </w:rPr>
        <w:t>https:/www.zdg.md/en/kremlins-digital-army-an-undercover-investigation-its-paid-let-me-tell-you-its-paid-directly-from-moscow/</w:t>
      </w:r>
      <w:r w:rsidR="00C52F67">
        <w:rPr>
          <w:rStyle w:val="Hyperlink"/>
          <w:sz w:val="24"/>
          <w:szCs w:val="24"/>
          <w:lang w:val="hu-HU"/>
        </w:rPr>
        <w:fldChar w:fldCharType="end"/>
      </w:r>
      <w:r w:rsidRPr="00C32B5E">
        <w:rPr>
          <w:sz w:val="24"/>
          <w:szCs w:val="24"/>
          <w:lang w:val="hu-HU"/>
        </w:rPr>
        <w:t>.</w:t>
      </w:r>
    </w:p>
  </w:footnote>
  <w:footnote w:id="5">
    <w:p w14:paraId="1E97A6F5" w14:textId="0D7F9F18" w:rsidR="002272CC" w:rsidRPr="00994AF1" w:rsidRDefault="002272CC" w:rsidP="00BD16D2">
      <w:pPr>
        <w:pStyle w:val="FootnoteText"/>
        <w:ind w:left="567" w:hanging="567"/>
        <w:rPr>
          <w:sz w:val="24"/>
          <w:szCs w:val="24"/>
          <w:lang w:val="hu-HU"/>
        </w:rPr>
      </w:pPr>
      <w:r w:rsidRPr="00994AF1">
        <w:rPr>
          <w:rStyle w:val="FootnoteReference"/>
          <w:sz w:val="24"/>
          <w:szCs w:val="24"/>
          <w:lang w:val="hu-HU"/>
        </w:rPr>
        <w:footnoteRef/>
      </w:r>
      <w:r w:rsidR="00BD16D2" w:rsidRPr="00994AF1">
        <w:rPr>
          <w:sz w:val="24"/>
          <w:szCs w:val="24"/>
          <w:lang w:val="hu-HU"/>
        </w:rPr>
        <w:t xml:space="preserve"> </w:t>
      </w:r>
      <w:r w:rsidR="00BD16D2" w:rsidRPr="00994AF1">
        <w:rPr>
          <w:sz w:val="24"/>
          <w:szCs w:val="24"/>
          <w:lang w:val="hu-HU"/>
        </w:rPr>
        <w:tab/>
      </w:r>
      <w:r w:rsidRPr="00994AF1">
        <w:rPr>
          <w:sz w:val="24"/>
          <w:szCs w:val="24"/>
          <w:lang w:val="hu-HU"/>
        </w:rPr>
        <w:t xml:space="preserve">Az Európai Parlament és a Tanács (EU) 2022/1925 rendelete (2022. szeptember 14.) a digitális ágazat vonatkozásában a versengő és tisztességes piacokról, valamint az (EU) 2019/1937 és az (EU) 2020/1828 irányelv módosításáról (digitális piacokról szóló jogszabály) (HL L 265., 2022.10.12., 1. o., ELI: </w:t>
      </w:r>
      <w:r w:rsidR="00C52F67">
        <w:fldChar w:fldCharType="begin"/>
      </w:r>
      <w:r w:rsidR="00C52F67" w:rsidRPr="00C52F67">
        <w:rPr>
          <w:lang w:val="hu-HU"/>
        </w:rPr>
        <w:instrText>HYPERLINK "http://data.europa.eu/eli/reg/2022/1925/oj"</w:instrText>
      </w:r>
      <w:r w:rsidR="00C52F67">
        <w:fldChar w:fldCharType="separate"/>
      </w:r>
      <w:r w:rsidRPr="00994AF1">
        <w:rPr>
          <w:rStyle w:val="Hyperlink"/>
          <w:sz w:val="24"/>
          <w:szCs w:val="24"/>
          <w:lang w:val="hu-HU"/>
        </w:rPr>
        <w:t>http://data.europa.eu/eli/reg/2022/1925/oj</w:t>
      </w:r>
      <w:r w:rsidR="00C52F67">
        <w:rPr>
          <w:rStyle w:val="Hyperlink"/>
          <w:sz w:val="24"/>
          <w:szCs w:val="24"/>
          <w:lang w:val="hu-HU"/>
        </w:rPr>
        <w:fldChar w:fldCharType="end"/>
      </w:r>
      <w:r w:rsidRPr="00994AF1">
        <w:rPr>
          <w:sz w:val="24"/>
          <w:szCs w:val="24"/>
          <w:lang w:val="hu-HU"/>
        </w:rPr>
        <w:t>).</w:t>
      </w:r>
    </w:p>
  </w:footnote>
  <w:footnote w:id="6">
    <w:p w14:paraId="3AECBA94" w14:textId="166E1B94" w:rsidR="002272CC" w:rsidRPr="00994AF1" w:rsidRDefault="002272CC" w:rsidP="00BD16D2">
      <w:pPr>
        <w:pStyle w:val="FootnoteText"/>
        <w:ind w:left="567" w:hanging="567"/>
        <w:rPr>
          <w:sz w:val="24"/>
          <w:szCs w:val="24"/>
          <w:lang w:val="hu-HU"/>
        </w:rPr>
      </w:pPr>
      <w:r w:rsidRPr="00994AF1">
        <w:rPr>
          <w:rStyle w:val="FootnoteReference"/>
          <w:sz w:val="24"/>
          <w:szCs w:val="24"/>
          <w:lang w:val="hu-HU"/>
        </w:rPr>
        <w:footnoteRef/>
      </w:r>
      <w:r w:rsidR="00BD16D2" w:rsidRPr="00994AF1">
        <w:rPr>
          <w:sz w:val="24"/>
          <w:szCs w:val="24"/>
          <w:lang w:val="hu-HU"/>
        </w:rPr>
        <w:t xml:space="preserve"> </w:t>
      </w:r>
      <w:r w:rsidR="00BD16D2" w:rsidRPr="00994AF1">
        <w:rPr>
          <w:sz w:val="24"/>
          <w:szCs w:val="24"/>
          <w:lang w:val="hu-HU"/>
        </w:rPr>
        <w:tab/>
      </w:r>
      <w:r w:rsidRPr="00994AF1">
        <w:rPr>
          <w:sz w:val="24"/>
          <w:szCs w:val="24"/>
          <w:lang w:val="hu-HU"/>
        </w:rPr>
        <w:t>Az Európai Parlament és a Tanács (EU) 2022/2065 rendelete (2022. október 19.) a digitális szolgáltatások egységes piacáról és a 2000/31/EK irányelv módosításáról (HL L 277., 2022.10.27., 1. o., ELI: </w:t>
      </w:r>
      <w:r w:rsidR="00C52F67">
        <w:fldChar w:fldCharType="begin"/>
      </w:r>
      <w:r w:rsidR="00C52F67" w:rsidRPr="00C52F67">
        <w:rPr>
          <w:lang w:val="hu-HU"/>
        </w:rPr>
        <w:instrText>HYPERLINK "http://data.europa.eu/eli/reg/2022/2065/oj"</w:instrText>
      </w:r>
      <w:r w:rsidR="00C52F67">
        <w:fldChar w:fldCharType="separate"/>
      </w:r>
      <w:r w:rsidRPr="00994AF1">
        <w:rPr>
          <w:rStyle w:val="Hyperlink"/>
          <w:sz w:val="24"/>
          <w:szCs w:val="24"/>
          <w:lang w:val="hu-HU"/>
        </w:rPr>
        <w:t>http://data.europa.eu/eli/reg/2022/2065/oj</w:t>
      </w:r>
      <w:r w:rsidR="00C52F67">
        <w:rPr>
          <w:rStyle w:val="Hyperlink"/>
          <w:sz w:val="24"/>
          <w:szCs w:val="24"/>
          <w:lang w:val="hu-HU"/>
        </w:rPr>
        <w:fldChar w:fldCharType="end"/>
      </w:r>
      <w:r w:rsidRPr="00994AF1">
        <w:rPr>
          <w:sz w:val="24"/>
          <w:szCs w:val="24"/>
          <w:lang w:val="hu-HU"/>
        </w:rPr>
        <w:t>).</w:t>
      </w:r>
    </w:p>
  </w:footnote>
  <w:footnote w:id="7">
    <w:p w14:paraId="379EFC6D" w14:textId="6FCE2426" w:rsidR="00023E89" w:rsidRPr="00C32B5E" w:rsidRDefault="00023E89" w:rsidP="00C32B5E">
      <w:pPr>
        <w:pStyle w:val="FootnoteText"/>
        <w:ind w:left="567" w:hanging="567"/>
        <w:rPr>
          <w:sz w:val="24"/>
          <w:szCs w:val="24"/>
          <w:lang w:val="hu-HU"/>
        </w:rPr>
      </w:pPr>
      <w:r w:rsidRPr="00C32B5E">
        <w:rPr>
          <w:rStyle w:val="FootnoteReference"/>
          <w:sz w:val="24"/>
          <w:szCs w:val="24"/>
        </w:rPr>
        <w:footnoteRef/>
      </w:r>
      <w:r w:rsidRPr="00C32B5E">
        <w:rPr>
          <w:sz w:val="24"/>
          <w:szCs w:val="24"/>
          <w:lang w:val="hu-HU"/>
        </w:rPr>
        <w:t xml:space="preserve"> </w:t>
      </w:r>
      <w:r w:rsidRPr="00C32B5E">
        <w:rPr>
          <w:sz w:val="24"/>
          <w:szCs w:val="24"/>
          <w:lang w:val="hu-HU"/>
        </w:rPr>
        <w:tab/>
      </w:r>
      <w:r w:rsidR="00C52F67">
        <w:fldChar w:fldCharType="begin"/>
      </w:r>
      <w:r w:rsidR="00C52F67" w:rsidRPr="00C52F67">
        <w:rPr>
          <w:lang w:val="hu-HU"/>
        </w:rPr>
        <w:instrText>HYPERLINK "https://pace.coe.int/en/files/33808/html"</w:instrText>
      </w:r>
      <w:r w:rsidR="00C52F67">
        <w:fldChar w:fldCharType="separate"/>
      </w:r>
      <w:r w:rsidRPr="00C32B5E">
        <w:rPr>
          <w:rStyle w:val="Hyperlink"/>
          <w:color w:val="auto"/>
          <w:sz w:val="24"/>
          <w:szCs w:val="24"/>
          <w:lang w:val="hu-HU"/>
        </w:rPr>
        <w:t>https://pace.coe.int/en/files/33808/html</w:t>
      </w:r>
      <w:r w:rsidR="00C52F67">
        <w:rPr>
          <w:rStyle w:val="Hyperlink"/>
          <w:color w:val="auto"/>
          <w:sz w:val="24"/>
          <w:szCs w:val="24"/>
          <w:lang w:val="hu-HU"/>
        </w:rPr>
        <w:fldChar w:fldCharType="end"/>
      </w:r>
      <w:r w:rsidRPr="00C32B5E">
        <w:rPr>
          <w:sz w:val="24"/>
          <w:szCs w:val="24"/>
          <w:lang w:val="hu-HU"/>
        </w:rPr>
        <w:t xml:space="preserve">, </w:t>
      </w:r>
      <w:hyperlink r:id="rId2" w:history="1">
        <w:r w:rsidRPr="00C32B5E">
          <w:rPr>
            <w:rStyle w:val="Hyperlink"/>
            <w:sz w:val="24"/>
            <w:szCs w:val="24"/>
            <w:lang w:val="hu-HU"/>
          </w:rPr>
          <w:t>https://www.thetablet.co.uk/news/bartholomew-accuses-russian-church-of-ethno-nationalist-heresy/</w:t>
        </w:r>
      </w:hyperlink>
      <w:r w:rsidRPr="00C32B5E">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F712" w14:textId="77777777" w:rsidR="00064002" w:rsidRPr="00BD16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8763" w14:textId="77777777" w:rsidR="00064002" w:rsidRPr="00BD16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3897" w14:textId="77777777" w:rsidR="00064002" w:rsidRPr="00BD16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0866990">
    <w:abstractNumId w:val="9"/>
  </w:num>
  <w:num w:numId="2" w16cid:durableId="434713381">
    <w:abstractNumId w:val="9"/>
  </w:num>
  <w:num w:numId="3" w16cid:durableId="751590523">
    <w:abstractNumId w:val="7"/>
  </w:num>
  <w:num w:numId="4" w16cid:durableId="1612779213">
    <w:abstractNumId w:val="7"/>
  </w:num>
  <w:num w:numId="5" w16cid:durableId="1250697598">
    <w:abstractNumId w:val="6"/>
  </w:num>
  <w:num w:numId="6" w16cid:durableId="2059012418">
    <w:abstractNumId w:val="6"/>
  </w:num>
  <w:num w:numId="7" w16cid:durableId="2088384476">
    <w:abstractNumId w:val="5"/>
  </w:num>
  <w:num w:numId="8" w16cid:durableId="1820685112">
    <w:abstractNumId w:val="5"/>
  </w:num>
  <w:num w:numId="9" w16cid:durableId="584536613">
    <w:abstractNumId w:val="4"/>
  </w:num>
  <w:num w:numId="10" w16cid:durableId="1477408656">
    <w:abstractNumId w:val="4"/>
  </w:num>
  <w:num w:numId="11" w16cid:durableId="776755982">
    <w:abstractNumId w:val="8"/>
  </w:num>
  <w:num w:numId="12" w16cid:durableId="2138447097">
    <w:abstractNumId w:val="8"/>
  </w:num>
  <w:num w:numId="13" w16cid:durableId="177157783">
    <w:abstractNumId w:val="3"/>
  </w:num>
  <w:num w:numId="14" w16cid:durableId="436142348">
    <w:abstractNumId w:val="3"/>
  </w:num>
  <w:num w:numId="15" w16cid:durableId="787243535">
    <w:abstractNumId w:val="2"/>
  </w:num>
  <w:num w:numId="16" w16cid:durableId="315186568">
    <w:abstractNumId w:val="2"/>
  </w:num>
  <w:num w:numId="17" w16cid:durableId="1512182776">
    <w:abstractNumId w:val="1"/>
  </w:num>
  <w:num w:numId="18" w16cid:durableId="1103309310">
    <w:abstractNumId w:val="1"/>
  </w:num>
  <w:num w:numId="19" w16cid:durableId="1631209583">
    <w:abstractNumId w:val="0"/>
  </w:num>
  <w:num w:numId="20" w16cid:durableId="456073303">
    <w:abstractNumId w:val="0"/>
  </w:num>
  <w:num w:numId="21" w16cid:durableId="531185646">
    <w:abstractNumId w:val="9"/>
  </w:num>
  <w:num w:numId="22" w16cid:durableId="868488219">
    <w:abstractNumId w:val="7"/>
  </w:num>
  <w:num w:numId="23" w16cid:durableId="1213931454">
    <w:abstractNumId w:val="6"/>
  </w:num>
  <w:num w:numId="24" w16cid:durableId="1516384926">
    <w:abstractNumId w:val="5"/>
  </w:num>
  <w:num w:numId="25" w16cid:durableId="578947244">
    <w:abstractNumId w:val="4"/>
  </w:num>
  <w:num w:numId="26" w16cid:durableId="1475101463">
    <w:abstractNumId w:val="8"/>
  </w:num>
  <w:num w:numId="27" w16cid:durableId="419835382">
    <w:abstractNumId w:val="3"/>
  </w:num>
  <w:num w:numId="28" w16cid:durableId="396515640">
    <w:abstractNumId w:val="2"/>
  </w:num>
  <w:num w:numId="29" w16cid:durableId="1768185528">
    <w:abstractNumId w:val="1"/>
  </w:num>
  <w:num w:numId="30" w16cid:durableId="985204236">
    <w:abstractNumId w:val="0"/>
  </w:num>
  <w:num w:numId="31" w16cid:durableId="1443063601">
    <w:abstractNumId w:val="9"/>
  </w:num>
  <w:num w:numId="32" w16cid:durableId="451751818">
    <w:abstractNumId w:val="7"/>
  </w:num>
  <w:num w:numId="33" w16cid:durableId="68431462">
    <w:abstractNumId w:val="6"/>
  </w:num>
  <w:num w:numId="34" w16cid:durableId="1580284877">
    <w:abstractNumId w:val="5"/>
  </w:num>
  <w:num w:numId="35" w16cid:durableId="650909626">
    <w:abstractNumId w:val="4"/>
  </w:num>
  <w:num w:numId="36" w16cid:durableId="746608099">
    <w:abstractNumId w:val="8"/>
  </w:num>
  <w:num w:numId="37" w16cid:durableId="126431512">
    <w:abstractNumId w:val="3"/>
  </w:num>
  <w:num w:numId="38" w16cid:durableId="795411945">
    <w:abstractNumId w:val="2"/>
  </w:num>
  <w:num w:numId="39" w16cid:durableId="960385470">
    <w:abstractNumId w:val="1"/>
  </w:num>
  <w:num w:numId="40" w16cid:durableId="964232863">
    <w:abstractNumId w:val="0"/>
  </w:num>
  <w:num w:numId="41" w16cid:durableId="1570529712">
    <w:abstractNumId w:val="10"/>
  </w:num>
  <w:num w:numId="42" w16cid:durableId="1090195344">
    <w:abstractNumId w:val="10"/>
  </w:num>
  <w:num w:numId="43" w16cid:durableId="57485589">
    <w:abstractNumId w:val="10"/>
  </w:num>
  <w:num w:numId="44" w16cid:durableId="17312247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 0356, 0357, 0359 és 0361/2025"/>
    <w:docVar w:name="dvlangue" w:val="HU"/>
    <w:docVar w:name="dvnumam" w:val="0"/>
    <w:docVar w:name="dvpe" w:val="776.179"/>
    <w:docVar w:name="dvtitre" w:val="Az Európai Parlament 2025.  ...-i állásfoglalása Moldova orosz hibrid fenyegetésekkel és rosszindulatú beavatkozással szembeni rezilienciájának megerősítéséről(2025/2811(RSP))"/>
  </w:docVars>
  <w:rsids>
    <w:rsidRoot w:val="00965E89"/>
    <w:rsid w:val="00002272"/>
    <w:rsid w:val="00023E89"/>
    <w:rsid w:val="00064002"/>
    <w:rsid w:val="000677B9"/>
    <w:rsid w:val="000831BA"/>
    <w:rsid w:val="000A42CC"/>
    <w:rsid w:val="000E7DD9"/>
    <w:rsid w:val="0010095E"/>
    <w:rsid w:val="00125B37"/>
    <w:rsid w:val="00187494"/>
    <w:rsid w:val="001F32AE"/>
    <w:rsid w:val="002272CC"/>
    <w:rsid w:val="00260A87"/>
    <w:rsid w:val="002767FF"/>
    <w:rsid w:val="002B18FE"/>
    <w:rsid w:val="002B5493"/>
    <w:rsid w:val="00343214"/>
    <w:rsid w:val="00361C00"/>
    <w:rsid w:val="00395FA1"/>
    <w:rsid w:val="003E15D4"/>
    <w:rsid w:val="00411CCE"/>
    <w:rsid w:val="0041666E"/>
    <w:rsid w:val="00421060"/>
    <w:rsid w:val="0042408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75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5E89"/>
    <w:rsid w:val="00981893"/>
    <w:rsid w:val="00994AF1"/>
    <w:rsid w:val="00A1687D"/>
    <w:rsid w:val="00A43E52"/>
    <w:rsid w:val="00A4678D"/>
    <w:rsid w:val="00A778C7"/>
    <w:rsid w:val="00AB441E"/>
    <w:rsid w:val="00AB6293"/>
    <w:rsid w:val="00AE0928"/>
    <w:rsid w:val="00AF3B82"/>
    <w:rsid w:val="00B12E95"/>
    <w:rsid w:val="00B22876"/>
    <w:rsid w:val="00B50A84"/>
    <w:rsid w:val="00B558F0"/>
    <w:rsid w:val="00BD16D2"/>
    <w:rsid w:val="00BD48FE"/>
    <w:rsid w:val="00BD7BD8"/>
    <w:rsid w:val="00BE6ADC"/>
    <w:rsid w:val="00BF052F"/>
    <w:rsid w:val="00C05BFE"/>
    <w:rsid w:val="00C23CD4"/>
    <w:rsid w:val="00C32B5E"/>
    <w:rsid w:val="00C52F67"/>
    <w:rsid w:val="00C61C0C"/>
    <w:rsid w:val="00C941CB"/>
    <w:rsid w:val="00CC2357"/>
    <w:rsid w:val="00CD10D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D46B1"/>
  <w15:chartTrackingRefBased/>
  <w15:docId w15:val="{CE264772-4391-4F54-B8EF-77FE9CB86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272CC"/>
    <w:pPr>
      <w:spacing w:after="240"/>
      <w:ind w:left="567" w:hanging="567"/>
    </w:pPr>
  </w:style>
  <w:style w:type="paragraph" w:customStyle="1" w:styleId="EPComma">
    <w:name w:val="EPComma"/>
    <w:basedOn w:val="Normal"/>
    <w:link w:val="EPCommaChar"/>
    <w:rsid w:val="002272CC"/>
    <w:pPr>
      <w:spacing w:before="480" w:after="240"/>
    </w:pPr>
  </w:style>
  <w:style w:type="character" w:customStyle="1" w:styleId="EPCommaChar">
    <w:name w:val="EPComma Char"/>
    <w:basedOn w:val="DefaultParagraphFont"/>
    <w:link w:val="EPComma"/>
    <w:rsid w:val="002272CC"/>
    <w:rPr>
      <w:sz w:val="24"/>
      <w:lang w:val="hu-HU"/>
    </w:rPr>
  </w:style>
  <w:style w:type="character" w:customStyle="1" w:styleId="NormalHanging12aChar">
    <w:name w:val="NormalHanging12a Char"/>
    <w:basedOn w:val="DefaultParagraphFont"/>
    <w:link w:val="NormalHanging12a"/>
    <w:locked/>
    <w:rsid w:val="002272CC"/>
    <w:rPr>
      <w:sz w:val="24"/>
      <w:lang w:val="hu-HU"/>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2272CC"/>
    <w:pPr>
      <w:widowControl/>
      <w:spacing w:after="160" w:line="240" w:lineRule="exact"/>
    </w:pPr>
    <w:rPr>
      <w:sz w:val="20"/>
      <w:vertAlign w:val="superscript"/>
      <w:lang w:val="en-GB"/>
    </w:rPr>
  </w:style>
  <w:style w:type="character" w:styleId="Hyperlink">
    <w:name w:val="Hyperlink"/>
    <w:basedOn w:val="DefaultParagraphFont"/>
    <w:uiPriority w:val="99"/>
    <w:unhideWhenUsed/>
    <w:rsid w:val="002272CC"/>
    <w:rPr>
      <w:color w:val="0000FF"/>
      <w:u w:val="single"/>
    </w:rPr>
  </w:style>
  <w:style w:type="character" w:customStyle="1" w:styleId="highlight-diff">
    <w:name w:val="highlight-diff"/>
    <w:basedOn w:val="DefaultParagraphFont"/>
    <w:rsid w:val="002272CC"/>
  </w:style>
  <w:style w:type="character" w:styleId="Strong">
    <w:name w:val="Strong"/>
    <w:basedOn w:val="DefaultParagraphFont"/>
    <w:uiPriority w:val="22"/>
    <w:qFormat/>
    <w:rsid w:val="002272CC"/>
    <w:rPr>
      <w:b/>
      <w:bCs/>
    </w:rPr>
  </w:style>
  <w:style w:type="paragraph" w:styleId="Revision">
    <w:name w:val="Revision"/>
    <w:hidden/>
    <w:uiPriority w:val="99"/>
    <w:semiHidden/>
    <w:rsid w:val="00424081"/>
    <w:rPr>
      <w:sz w:val="24"/>
      <w:lang w:val="hu-HU"/>
    </w:rPr>
  </w:style>
  <w:style w:type="character" w:styleId="UnresolvedMention">
    <w:name w:val="Unresolved Mention"/>
    <w:basedOn w:val="DefaultParagraphFont"/>
    <w:uiPriority w:val="99"/>
    <w:semiHidden/>
    <w:unhideWhenUsed/>
    <w:rsid w:val="00424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thetablet.co.uk/news/bartholomew-accuses-russian-church-of-ethno-nationalist-heresy/" TargetMode="External"/><Relationship Id="rId1" Type="http://schemas.openxmlformats.org/officeDocument/2006/relationships/hyperlink" Target="http://data.europa.eu/eli/C/2025/2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2648</Words>
  <Characters>19729</Characters>
  <Application>Microsoft Office Word</Application>
  <DocSecurity>0</DocSecurity>
  <Lines>597</Lines>
  <Paragraphs>339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2025-10-13T15:33:00Z</dcterms:created>
  <dcterms:modified xsi:type="dcterms:W3CDTF">2025-10-13T15:33:00Z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B10-0355, 0356, 0357, 0359 és 0361/2025</vt:lpwstr>
  </property>
  <property fmtid="{D5CDD505-2E9C-101B-9397-08002B2CF9AE}" pid="4" name="&lt;Type&gt;">
    <vt:lpwstr>RR</vt:lpwstr>
  </property>
</Properties>
</file>