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4FCD" w14:paraId="7149E871" w14:textId="77777777" w:rsidTr="0010095E">
        <w:trPr>
          <w:trHeight w:hRule="exact" w:val="1418"/>
        </w:trPr>
        <w:tc>
          <w:tcPr>
            <w:tcW w:w="6804" w:type="dxa"/>
            <w:shd w:val="clear" w:color="auto" w:fill="auto"/>
            <w:vAlign w:val="center"/>
          </w:tcPr>
          <w:p w14:paraId="5FE6775A" w14:textId="77777777" w:rsidR="00751A4A" w:rsidRPr="00564FCD" w:rsidRDefault="002A4B86" w:rsidP="0010095E">
            <w:pPr>
              <w:pStyle w:val="EPName"/>
            </w:pPr>
            <w:r w:rsidRPr="00564FCD">
              <w:t>Europos Parlamentas</w:t>
            </w:r>
          </w:p>
          <w:p w14:paraId="277D9B21" w14:textId="77777777" w:rsidR="00751A4A" w:rsidRPr="00564FCD" w:rsidRDefault="005F1B17" w:rsidP="005F1B17">
            <w:pPr>
              <w:pStyle w:val="EPTerm"/>
              <w:rPr>
                <w:rStyle w:val="HideTWBExt"/>
                <w:noProof w:val="0"/>
                <w:vanish w:val="0"/>
                <w:color w:val="auto"/>
              </w:rPr>
            </w:pPr>
            <w:r w:rsidRPr="00564FCD">
              <w:t>2024</w:t>
            </w:r>
            <w:r w:rsidR="00817416" w:rsidRPr="00564FCD">
              <w:t>-202</w:t>
            </w:r>
            <w:r w:rsidRPr="00564FCD">
              <w:t>9</w:t>
            </w:r>
          </w:p>
        </w:tc>
        <w:tc>
          <w:tcPr>
            <w:tcW w:w="2268" w:type="dxa"/>
            <w:shd w:val="clear" w:color="auto" w:fill="auto"/>
          </w:tcPr>
          <w:p w14:paraId="18B4F5E4" w14:textId="77777777" w:rsidR="00751A4A" w:rsidRPr="00564FCD" w:rsidRDefault="00187494" w:rsidP="0010095E">
            <w:pPr>
              <w:pStyle w:val="EPLogo"/>
            </w:pPr>
            <w:r w:rsidRPr="00564FCD">
              <w:rPr>
                <w:noProof/>
                <w:lang w:eastAsia="ja-JP"/>
              </w:rPr>
              <w:drawing>
                <wp:inline distT="0" distB="0" distL="0" distR="0" wp14:anchorId="44A4FBD0" wp14:editId="085D46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67353B" w14:textId="77777777" w:rsidR="00D058B8" w:rsidRPr="00564FCD" w:rsidRDefault="00D058B8" w:rsidP="004C5D52">
      <w:pPr>
        <w:pStyle w:val="LineTop"/>
      </w:pPr>
    </w:p>
    <w:p w14:paraId="0171EDC8" w14:textId="77777777" w:rsidR="00680577" w:rsidRPr="00564FCD" w:rsidRDefault="002A4B86" w:rsidP="00680577">
      <w:pPr>
        <w:pStyle w:val="EPBodyTA1"/>
      </w:pPr>
      <w:r w:rsidRPr="00564FCD">
        <w:t>PRIIMTI TEKSTAI</w:t>
      </w:r>
    </w:p>
    <w:p w14:paraId="0ABBC0DD" w14:textId="77777777" w:rsidR="00D058B8" w:rsidRPr="00564FCD" w:rsidRDefault="00D058B8" w:rsidP="00D058B8">
      <w:pPr>
        <w:pStyle w:val="LineBottom"/>
      </w:pPr>
    </w:p>
    <w:p w14:paraId="5FE2A265" w14:textId="597569D2" w:rsidR="002A4B86" w:rsidRPr="00564FCD" w:rsidRDefault="002A4B86" w:rsidP="002A4B86">
      <w:pPr>
        <w:pStyle w:val="ATHeading1"/>
      </w:pPr>
      <w:bookmarkStart w:id="0" w:name="TANumber"/>
      <w:r w:rsidRPr="00564FCD">
        <w:t>P10_TA(2025)0</w:t>
      </w:r>
      <w:r w:rsidR="0098236C">
        <w:t>191</w:t>
      </w:r>
      <w:bookmarkEnd w:id="0"/>
    </w:p>
    <w:p w14:paraId="147CE64E" w14:textId="77777777" w:rsidR="002A4B86" w:rsidRPr="00564FCD" w:rsidRDefault="002A4B86" w:rsidP="002A4B86">
      <w:pPr>
        <w:pStyle w:val="ATHeading2"/>
      </w:pPr>
      <w:bookmarkStart w:id="1" w:name="title"/>
      <w:r w:rsidRPr="00564FCD">
        <w:t>Moldovos atsparumo Rusijos hibridinėms grėsmėms ir piktavališkam kišimuisi stiprinimas</w:t>
      </w:r>
      <w:bookmarkEnd w:id="1"/>
    </w:p>
    <w:p w14:paraId="169C05D2" w14:textId="77777777" w:rsidR="002A4B86" w:rsidRPr="00564FCD" w:rsidRDefault="002A4B86" w:rsidP="002A4B86">
      <w:pPr>
        <w:rPr>
          <w:i/>
          <w:vanish/>
        </w:rPr>
      </w:pPr>
      <w:r w:rsidRPr="00564FCD">
        <w:rPr>
          <w:i/>
        </w:rPr>
        <w:fldChar w:fldCharType="begin"/>
      </w:r>
      <w:r w:rsidRPr="00564FCD">
        <w:rPr>
          <w:i/>
        </w:rPr>
        <w:instrText xml:space="preserve"> TC"(</w:instrText>
      </w:r>
      <w:bookmarkStart w:id="2" w:name="DocNumber"/>
      <w:r w:rsidRPr="00564FCD">
        <w:rPr>
          <w:i/>
        </w:rPr>
        <w:instrText>B10-0355, 0357, 0356, 0359 ir 0361/2025</w:instrText>
      </w:r>
      <w:bookmarkEnd w:id="2"/>
      <w:r w:rsidRPr="00564FCD">
        <w:rPr>
          <w:i/>
        </w:rPr>
        <w:instrText xml:space="preserve">)"\l3 \n&gt; \* MERGEFORMAT </w:instrText>
      </w:r>
      <w:r w:rsidRPr="00564FCD">
        <w:rPr>
          <w:i/>
        </w:rPr>
        <w:fldChar w:fldCharType="end"/>
      </w:r>
    </w:p>
    <w:p w14:paraId="7A9807B3" w14:textId="77777777" w:rsidR="002A4B86" w:rsidRPr="00564FCD" w:rsidRDefault="002A4B86" w:rsidP="002A4B86">
      <w:pPr>
        <w:rPr>
          <w:vanish/>
        </w:rPr>
      </w:pPr>
      <w:bookmarkStart w:id="3" w:name="PE"/>
      <w:r w:rsidRPr="00564FCD">
        <w:rPr>
          <w:vanish/>
        </w:rPr>
        <w:t>PE776.179</w:t>
      </w:r>
      <w:bookmarkEnd w:id="3"/>
    </w:p>
    <w:p w14:paraId="1B2B1ACE" w14:textId="5F41258B" w:rsidR="002A4B86" w:rsidRPr="00564FCD" w:rsidRDefault="002A4B86" w:rsidP="000F6A2B">
      <w:pPr>
        <w:pStyle w:val="ATHeading3"/>
      </w:pPr>
      <w:bookmarkStart w:id="4" w:name="Sujet"/>
      <w:r w:rsidRPr="00564FCD">
        <w:t xml:space="preserve">2025 m. </w:t>
      </w:r>
      <w:r w:rsidR="001C3113" w:rsidRPr="00564FCD">
        <w:t>rugsėjo</w:t>
      </w:r>
      <w:r w:rsidRPr="00564FCD">
        <w:t xml:space="preserve"> 10 d. Europos Parlamento rezoliucija dėl Moldovos atsparumo Rusijos hibridinėms grėsmėms ir piktavališkam kišimuisi stiprinimo</w:t>
      </w:r>
      <w:bookmarkEnd w:id="4"/>
      <w:r w:rsidRPr="00564FCD">
        <w:t xml:space="preserve"> </w:t>
      </w:r>
      <w:bookmarkStart w:id="5" w:name="References"/>
      <w:r w:rsidRPr="00564FCD">
        <w:t>(2025/2811(RSP))</w:t>
      </w:r>
      <w:bookmarkEnd w:id="5"/>
    </w:p>
    <w:p w14:paraId="714C989B" w14:textId="77777777" w:rsidR="00EF73C2" w:rsidRPr="00564FCD" w:rsidRDefault="00EF73C2" w:rsidP="00EF73C2">
      <w:pPr>
        <w:pStyle w:val="EPComma"/>
      </w:pPr>
      <w:bookmarkStart w:id="6" w:name="TextBodyBegin"/>
      <w:bookmarkEnd w:id="6"/>
      <w:r w:rsidRPr="00564FCD">
        <w:rPr>
          <w:i/>
        </w:rPr>
        <w:t>Europos Parlamentas</w:t>
      </w:r>
      <w:r w:rsidRPr="00564FCD">
        <w:t>,</w:t>
      </w:r>
    </w:p>
    <w:p w14:paraId="22875631" w14:textId="77777777" w:rsidR="00EF73C2" w:rsidRPr="00564FCD" w:rsidRDefault="00EF73C2" w:rsidP="00EF73C2">
      <w:pPr>
        <w:pStyle w:val="NormalHanging12a"/>
      </w:pPr>
      <w:r w:rsidRPr="00564FCD">
        <w:t>–</w:t>
      </w:r>
      <w:r w:rsidRPr="00564FCD">
        <w:tab/>
        <w:t>atsižvelgdamas į savo ankstesnes rezoliucijas dėl Moldovos Respublikos, ypač į 2025 m. birželio 18 d. rezoliuciją dėl 2023 ir 2024 m. Komisijos ataskaitų dėl Moldovos</w:t>
      </w:r>
      <w:r w:rsidRPr="00564FCD">
        <w:rPr>
          <w:vertAlign w:val="superscript"/>
        </w:rPr>
        <w:footnoteReference w:id="1"/>
      </w:r>
      <w:r w:rsidRPr="00564FCD">
        <w:t xml:space="preserve"> ir 2024 m. spalio 9 d. rezoliuciją dėl Moldovos atsparumo Rusijos kišimuisi prieš būsimus prezidento rinkimus stiprinimo ir konstitucinio referendumo dėl integracijos į ES</w:t>
      </w:r>
      <w:r w:rsidRPr="00564FCD">
        <w:rPr>
          <w:vertAlign w:val="superscript"/>
        </w:rPr>
        <w:footnoteReference w:id="2"/>
      </w:r>
      <w:r w:rsidRPr="00564FCD">
        <w:t>,</w:t>
      </w:r>
    </w:p>
    <w:p w14:paraId="3D024E39" w14:textId="77777777" w:rsidR="00EF73C2" w:rsidRPr="00564FCD" w:rsidRDefault="00EF73C2" w:rsidP="00EF73C2">
      <w:pPr>
        <w:pStyle w:val="NormalHanging12a"/>
      </w:pPr>
      <w:r w:rsidRPr="00564FCD">
        <w:t>–</w:t>
      </w:r>
      <w:r w:rsidRPr="00564FCD">
        <w:tab/>
        <w:t>atsižvelgdamas į Europos Sąjungos ir Europos atominės energijos bendrijos bei jų valstybių narių ir Moldovos Respublikos asociacijos susitarimą</w:t>
      </w:r>
      <w:r w:rsidRPr="00564FCD">
        <w:rPr>
          <w:vertAlign w:val="superscript"/>
        </w:rPr>
        <w:footnoteReference w:id="3"/>
      </w:r>
      <w:r w:rsidRPr="00564FCD">
        <w:t>, apimantį išsamią ir visapusišką laisvosios prekybos erdvę,</w:t>
      </w:r>
    </w:p>
    <w:p w14:paraId="1C7FB1EF" w14:textId="77777777" w:rsidR="00EF73C2" w:rsidRPr="00564FCD" w:rsidRDefault="00EF73C2" w:rsidP="00EF73C2">
      <w:pPr>
        <w:pStyle w:val="NormalHanging12a"/>
      </w:pPr>
      <w:r w:rsidRPr="00564FCD">
        <w:t>–</w:t>
      </w:r>
      <w:r w:rsidRPr="00564FCD">
        <w:tab/>
        <w:t>atsižvelgdamas į 2025 m. birželio 27 d. Europos Vadovų Tarybos išvadas dėl Moldovos,</w:t>
      </w:r>
    </w:p>
    <w:p w14:paraId="69D9CD67" w14:textId="77777777" w:rsidR="00EF73C2" w:rsidRPr="00564FCD" w:rsidRDefault="00EF73C2" w:rsidP="00EF73C2">
      <w:pPr>
        <w:pStyle w:val="NormalHanging12a"/>
      </w:pPr>
      <w:r w:rsidRPr="00564FCD">
        <w:t>–</w:t>
      </w:r>
      <w:r w:rsidRPr="00564FCD">
        <w:tab/>
        <w:t>atsižvelgdamas į 2025 m. rugpjūčio 27 d. trijų ES valstybių ar vyriausybių (Prancūzijos, Vokietijos ir Lenkijos) vadovų vizitą į Moldovą ir 2025 m. rugpjūčio 31 d. Rumunijos prezidento vizitą į Moldovą,</w:t>
      </w:r>
    </w:p>
    <w:p w14:paraId="63A9CF5E" w14:textId="77777777" w:rsidR="00EF73C2" w:rsidRPr="00564FCD" w:rsidRDefault="00EF73C2" w:rsidP="00EF73C2">
      <w:pPr>
        <w:pStyle w:val="NormalHanging12a"/>
      </w:pPr>
      <w:r w:rsidRPr="00564FCD">
        <w:t>–</w:t>
      </w:r>
      <w:r w:rsidRPr="00564FCD">
        <w:tab/>
        <w:t>atsižvelgdamas į 2025 m. rugsėjo 9 d. Moldovos Respublikos prezidentės kalbą Europos Parlamente,</w:t>
      </w:r>
    </w:p>
    <w:p w14:paraId="04853905" w14:textId="77777777" w:rsidR="00EF73C2" w:rsidRPr="00564FCD" w:rsidRDefault="00EF73C2" w:rsidP="00EF73C2">
      <w:pPr>
        <w:pStyle w:val="NormalHanging12a"/>
      </w:pPr>
      <w:r w:rsidRPr="00564FCD">
        <w:t>–</w:t>
      </w:r>
      <w:r w:rsidRPr="00564FCD">
        <w:tab/>
        <w:t>atsižvelgdamas į bendrą deklaraciją, priimtą po 2025 m. liepos 4 d. vykusio pirmojo Moldovos Respublikos ir ES aukščiausiojo lygio susitikimo,</w:t>
      </w:r>
    </w:p>
    <w:p w14:paraId="05E92F90" w14:textId="77777777" w:rsidR="00EF73C2" w:rsidRPr="00564FCD" w:rsidRDefault="00EF73C2" w:rsidP="00EF73C2">
      <w:pPr>
        <w:pStyle w:val="NormalHanging12a"/>
      </w:pPr>
      <w:r w:rsidRPr="00564FCD">
        <w:t>–</w:t>
      </w:r>
      <w:r w:rsidRPr="00564FCD">
        <w:tab/>
        <w:t>atsižvelgdamas į už plėtrą atsakingos Komisijos narės vizitą Moldovoje 2025 m. gegužės 9 d. (Europos dieną),</w:t>
      </w:r>
    </w:p>
    <w:p w14:paraId="5DD26A5F" w14:textId="77777777" w:rsidR="00EF73C2" w:rsidRPr="00564FCD" w:rsidRDefault="00EF73C2" w:rsidP="00EF73C2">
      <w:pPr>
        <w:pStyle w:val="NormalHanging12a"/>
      </w:pPr>
      <w:r w:rsidRPr="00564FCD">
        <w:t>–</w:t>
      </w:r>
      <w:r w:rsidRPr="00564FCD">
        <w:tab/>
        <w:t>atsižvelgdamas į Darbo tvarkos taisyklių 136 straipsnio 2 ir 4 dalis,</w:t>
      </w:r>
    </w:p>
    <w:p w14:paraId="6C47AE27" w14:textId="77777777" w:rsidR="00EF73C2" w:rsidRPr="00564FCD" w:rsidRDefault="00EF73C2" w:rsidP="00EF73C2">
      <w:pPr>
        <w:pStyle w:val="NormalHanging12a"/>
      </w:pPr>
      <w:r w:rsidRPr="00564FCD">
        <w:lastRenderedPageBreak/>
        <w:t>A.</w:t>
      </w:r>
      <w:r w:rsidRPr="00564FCD">
        <w:tab/>
        <w:t>kadangi 2025 m. rugsėjo 28 d. Moldovos Respublikoje bus surengti parlamento rinkimai, lemsiantys tolesnį šalies demokratijos įtvirtinimą ir tolesnę pažangą siekiant narystės ES, taip pat jos, kaip laisvos ir suverenios demokratijos Europos Sąjungoje, ateitį; kadangi šie parlamento rinkimai vyks tuo metu, kai padėtį temdo nuolatinis Rusijos kišimasis ir pastangos destabilizuoti šalies politinę aplinką ir demokratinius rinkimų procesus;</w:t>
      </w:r>
    </w:p>
    <w:p w14:paraId="14F100BC" w14:textId="77777777" w:rsidR="00EF73C2" w:rsidRPr="00564FCD" w:rsidRDefault="00EF73C2" w:rsidP="00EF73C2">
      <w:pPr>
        <w:pStyle w:val="NormalHanging12a"/>
      </w:pPr>
      <w:r w:rsidRPr="00564FCD">
        <w:t>B.</w:t>
      </w:r>
      <w:r w:rsidRPr="00564FCD">
        <w:tab/>
        <w:t>kadangi 2024 m. spalio 20 d. Moldovoje vyko referendumas ir, nepaisant beprecedenčio lygio Rusijos manipuliacinio kišimosi siekiant destabilizuoti šalį, – be kita ko, neteisėto politinių subjektų finansavimo, dezinformacijos kampanijų ir kibernetinių išpuolių, – jame buvo nuspręsta stojimą į ES įtvirtinti šalies konstitucijoje;</w:t>
      </w:r>
    </w:p>
    <w:p w14:paraId="7CB5FBCB" w14:textId="77777777" w:rsidR="00EF73C2" w:rsidRPr="00564FCD" w:rsidRDefault="00EF73C2" w:rsidP="00EF73C2">
      <w:pPr>
        <w:pStyle w:val="NormalHanging12a"/>
        <w:rPr>
          <w:i/>
          <w:iCs/>
        </w:rPr>
      </w:pPr>
      <w:r w:rsidRPr="00564FCD">
        <w:t>C.</w:t>
      </w:r>
      <w:r w:rsidRPr="00564FCD">
        <w:tab/>
        <w:t>kadangi esama daug pranešimų apie atsinaujinusius ir suintensyvėjusius Rusijos bei jos patikėtinių bandymus vykdyti dezinformacijos, destabilizavimo ir kišimosi veiklą siekiant sukliudyti Moldovos demokratinių reformų ir europinės integracijos procesui, sustiprinti jo politinę kontrolę ir toliau tobulinti hibridinę taktiką, nukreiptą prieš Moldovą, Ukrainą ir kitas Europos šalis, pavyzdžiui, neseniai Rumuniją;</w:t>
      </w:r>
    </w:p>
    <w:p w14:paraId="6C89903B" w14:textId="77777777" w:rsidR="00EF73C2" w:rsidRPr="00564FCD" w:rsidRDefault="00EF73C2" w:rsidP="00EF73C2">
      <w:pPr>
        <w:pStyle w:val="NormalHanging12a"/>
      </w:pPr>
      <w:r w:rsidRPr="00564FCD">
        <w:t>D.</w:t>
      </w:r>
      <w:r w:rsidRPr="00564FCD">
        <w:tab/>
        <w:t>kadangi po 2025 m. liepos 30 d. Aukščiausiosios saugumo tarybos posėdžio prezidentė Maia Sandu pristatė Moldovos specializuotų institucijų išvadas dėl hibridinio karo metodų, kuriose nustatyta dešimt pagrindinių užsienio kišimosi į Moldovos politinius ir rinkimų procesus priemonių;</w:t>
      </w:r>
    </w:p>
    <w:p w14:paraId="746F2071" w14:textId="77777777" w:rsidR="00EF73C2" w:rsidRPr="00564FCD" w:rsidRDefault="00EF73C2" w:rsidP="00EF73C2">
      <w:pPr>
        <w:pStyle w:val="NormalHanging12a"/>
      </w:pPr>
      <w:r w:rsidRPr="00564FCD">
        <w:t>E.</w:t>
      </w:r>
      <w:r w:rsidRPr="00564FCD">
        <w:tab/>
        <w:t xml:space="preserve">kadangi 2025 m. liepos 15 d. ES nustatė </w:t>
      </w:r>
      <w:r w:rsidRPr="001C3113">
        <w:t xml:space="preserve">sankcijas </w:t>
      </w:r>
      <w:r w:rsidRPr="000F6A2B">
        <w:rPr>
          <w:rStyle w:val="Strong"/>
          <w:b w:val="0"/>
          <w:color w:val="000000"/>
        </w:rPr>
        <w:t>septyniems asmenims</w:t>
      </w:r>
      <w:r w:rsidRPr="000F6A2B">
        <w:rPr>
          <w:b/>
          <w:bCs/>
        </w:rPr>
        <w:t xml:space="preserve"> ir </w:t>
      </w:r>
      <w:r w:rsidRPr="000F6A2B">
        <w:rPr>
          <w:rStyle w:val="Strong"/>
          <w:b w:val="0"/>
          <w:color w:val="000000"/>
        </w:rPr>
        <w:t>trims subjektams</w:t>
      </w:r>
      <w:r w:rsidRPr="00564FCD">
        <w:t>, atsakingiems už veiksmus, kuriais siekiama destabilizuoti Moldovos suverenitetą ir nepriklausomybę, taip pat demokratiją, teisinę valstybę ir stabilumą šalyje, jiems pakenkti arba į juos kėsintis; kadangi šios sankcijos taikomos artimiems Ilano Șoro ir uždraustos partijos „ȘOR“ bendrininkams, asmenims, kurie aktyviai dalyvauja balsų pirkimo ir korumpuotų politikų papirkinėjimo schemose;</w:t>
      </w:r>
    </w:p>
    <w:p w14:paraId="663C7660" w14:textId="77777777" w:rsidR="00EF73C2" w:rsidRDefault="00EF73C2" w:rsidP="00EF73C2">
      <w:pPr>
        <w:pStyle w:val="NormalHanging12a"/>
      </w:pPr>
      <w:r w:rsidRPr="00564FCD">
        <w:t>F.</w:t>
      </w:r>
      <w:r w:rsidRPr="00564FCD">
        <w:tab/>
        <w:t>kadangi Moldovos pilietinė visuomenė ir nepriklausoma žiniasklaida atlieka labai svarbų vaidmenį atskleidžiant dezinformaciją, stiprinant atsparumą ir ginant demokratines vertybes; kadangi Moldovos Respublikai pavyko iš esmės įtvirtinti demokratiją, tęsti reformų trajektoriją ir plėtoti santykius su ES; kadangi šalies demokratinės sistemos pagerėjimas atsispindėjo šalies pažanga įvairių tarptautinių indeksų srityje; kadangi Moldova padarė didelę pažangą vykdydama teismų reformas, įskaitant teisminių institucijų patikimumo tikrinimą ir restruktūrizavimą, jos nepriklausomumo stiprinimą ir kovos su korupcija taisyklių tobulinimą; kadangi visuomenės pasitikėjimas demokratinėmis institucijomis yra ypač svarbus Moldovos stabilumui ir atsparumui piktavališkam kišimuisi;</w:t>
      </w:r>
    </w:p>
    <w:p w14:paraId="0BBCDA8A" w14:textId="1E5F4138" w:rsidR="009B4DE7" w:rsidRPr="00564FCD" w:rsidRDefault="0039010D" w:rsidP="00EF73C2">
      <w:pPr>
        <w:pStyle w:val="NormalHanging12a"/>
      </w:pPr>
      <w:r>
        <w:t>G</w:t>
      </w:r>
      <w:r w:rsidR="009B4DE7" w:rsidRPr="009B4DE7">
        <w:t>.</w:t>
      </w:r>
      <w:r w:rsidR="009B4DE7" w:rsidRPr="009B4DE7">
        <w:tab/>
        <w:t>kadangi neseniai atliktas žurnalistinis tyrimas, grindžiamas 2024 metais į partijos „ȘOR“ tinklą slapta įsiskverbusio žurnalisto informacija, atskleidė, kad siekiant skleisti Rusijos propagandą platformose „</w:t>
      </w:r>
      <w:proofErr w:type="spellStart"/>
      <w:r w:rsidR="009B4DE7" w:rsidRPr="009B4DE7">
        <w:t>TikTok</w:t>
      </w:r>
      <w:proofErr w:type="spellEnd"/>
      <w:r w:rsidR="009B4DE7" w:rsidRPr="009B4DE7">
        <w:t xml:space="preserve">“ ir „Facebook“ buvo sukurta šimtai suklastotų paskyrų, kurias valdo </w:t>
      </w:r>
      <w:proofErr w:type="spellStart"/>
      <w:r w:rsidR="009B4DE7" w:rsidRPr="009B4DE7">
        <w:t>Ilano</w:t>
      </w:r>
      <w:proofErr w:type="spellEnd"/>
      <w:r w:rsidR="009B4DE7" w:rsidRPr="009B4DE7">
        <w:t xml:space="preserve"> </w:t>
      </w:r>
      <w:proofErr w:type="spellStart"/>
      <w:r w:rsidR="009B4DE7" w:rsidRPr="009B4DE7">
        <w:t>Șoro</w:t>
      </w:r>
      <w:proofErr w:type="spellEnd"/>
      <w:r w:rsidR="009B4DE7" w:rsidRPr="009B4DE7">
        <w:t xml:space="preserve"> iš Maskvos kontroliuojamo politinio bloko „</w:t>
      </w:r>
      <w:proofErr w:type="spellStart"/>
      <w:r w:rsidR="009B4DE7" w:rsidRPr="009B4DE7">
        <w:t>Victorie</w:t>
      </w:r>
      <w:proofErr w:type="spellEnd"/>
      <w:r w:rsidR="009B4DE7" w:rsidRPr="009B4DE7">
        <w:t>“ aktyvistai; kadangi šis prieš Europą nukreiptas su Kremliaus naratyvais visiškai suderintas turinys buvo sistemingai stebimas ir koordinuojamas pasitelkiant slaptas programėlės „</w:t>
      </w:r>
      <w:proofErr w:type="spellStart"/>
      <w:r w:rsidR="009B4DE7" w:rsidRPr="009B4DE7">
        <w:t>Telegram</w:t>
      </w:r>
      <w:proofErr w:type="spellEnd"/>
      <w:r w:rsidR="009B4DE7" w:rsidRPr="009B4DE7">
        <w:t>“ grupes ir kanalus</w:t>
      </w:r>
      <w:r w:rsidR="009B4DE7">
        <w:rPr>
          <w:rStyle w:val="FootnoteReference"/>
        </w:rPr>
        <w:footnoteReference w:id="4"/>
      </w:r>
      <w:r w:rsidR="009B4DE7" w:rsidRPr="009B4DE7">
        <w:t xml:space="preserve">; </w:t>
      </w:r>
    </w:p>
    <w:p w14:paraId="38962D4C" w14:textId="4755C587" w:rsidR="00EF73C2" w:rsidRPr="00564FCD" w:rsidRDefault="00D632E2" w:rsidP="00EF73C2">
      <w:pPr>
        <w:pStyle w:val="NormalHanging12a"/>
      </w:pPr>
      <w:r>
        <w:t>H</w:t>
      </w:r>
      <w:r w:rsidR="00EF73C2" w:rsidRPr="00564FCD">
        <w:t>.</w:t>
      </w:r>
      <w:r w:rsidR="00EF73C2" w:rsidRPr="00564FCD">
        <w:tab/>
        <w:t>kadangi svarbu viešai parodyti tvirtą solidarumą su Moldovos tauta, kurią smarkiai paveikė Rusijos agresijos karas prieš Ukrainą, taip pat nuolatinės tikslinės Rusijos hibridinės grėsmės, kuriomis siekiama politiškai destabilizuoti šalį, pakenkti ekonominei gerovei ir susilpninti socialinę sanglaudą;</w:t>
      </w:r>
    </w:p>
    <w:p w14:paraId="74549014" w14:textId="4087B11F" w:rsidR="00EF73C2" w:rsidRPr="00564FCD" w:rsidRDefault="00D632E2" w:rsidP="00EF73C2">
      <w:pPr>
        <w:pStyle w:val="NormalHanging12a"/>
      </w:pPr>
      <w:r>
        <w:t>I</w:t>
      </w:r>
      <w:r w:rsidR="00EF73C2" w:rsidRPr="00564FCD">
        <w:t>.</w:t>
      </w:r>
      <w:r w:rsidR="00EF73C2" w:rsidRPr="00564FCD">
        <w:tab/>
        <w:t>kadangi, remiantis Moldovos skaičiavimais, į propagandos ir informavimo operacijas Moldovos Respublikoje Rusija jau yra investavusi virš 200 mln. EUR, t. y. daugiau kaip 1 proc. Moldovos BVP;</w:t>
      </w:r>
    </w:p>
    <w:p w14:paraId="6B283671" w14:textId="30A2CD60" w:rsidR="00EF73C2" w:rsidRPr="00564FCD" w:rsidRDefault="00D632E2" w:rsidP="00EF73C2">
      <w:pPr>
        <w:pStyle w:val="NormalHanging12a"/>
      </w:pPr>
      <w:r>
        <w:t>J</w:t>
      </w:r>
      <w:r w:rsidR="00EF73C2" w:rsidRPr="00564FCD">
        <w:t>.</w:t>
      </w:r>
      <w:r w:rsidR="00EF73C2" w:rsidRPr="00564FCD">
        <w:tab/>
        <w:t>kadangi Europos Parlamento delegacijos dalyvavimas Europos saugumo ir bendradarbiavimo organizacijos (ESBO) Demokratinių institucijų ir žmogaus teisių biuro (ODIHR) tarptautinėje rinkimų stebėjimo misijoje 2025 m. rugsėjo 28 d. vyksiančiuose Moldovos parlamento rinkimuose rodo Parlamento įsipareigojimą remti sąžiningą rinkimų procesą ir stiprinti demokratines institucijas Moldovoje;</w:t>
      </w:r>
    </w:p>
    <w:p w14:paraId="00BD6B8A" w14:textId="70ADB0EA" w:rsidR="00EF73C2" w:rsidRPr="00564FCD" w:rsidRDefault="00D632E2" w:rsidP="00EF73C2">
      <w:pPr>
        <w:pStyle w:val="NormalHanging12a"/>
      </w:pPr>
      <w:r>
        <w:t>K</w:t>
      </w:r>
      <w:r w:rsidR="00EF73C2" w:rsidRPr="00564FCD">
        <w:t>.</w:t>
      </w:r>
      <w:r w:rsidR="00EF73C2" w:rsidRPr="00564FCD">
        <w:tab/>
        <w:t>kadangi 2025 m. birželio mėn. Europos Vadovų Tarybos išvadose dar kartą patvirtinta visapusiška parama Moldovai pastarosios kelyje į ES ir Tarybos paprašyta stojimo procese imtis tolesnių veiksmų; kadangi ES plėtra grindžiama griežtomis sąlygomis ir principu, kad kiekviena šalis kandidatė būtų vertinama pagal savo nuopelnus ir reformų pažangą;</w:t>
      </w:r>
    </w:p>
    <w:p w14:paraId="7DD3428E" w14:textId="77777777" w:rsidR="00EF73C2" w:rsidRPr="00564FCD" w:rsidRDefault="00EF73C2" w:rsidP="00EF73C2">
      <w:pPr>
        <w:pStyle w:val="NormalHanging12a"/>
      </w:pPr>
      <w:r w:rsidRPr="00564FCD">
        <w:t>1.</w:t>
      </w:r>
      <w:r w:rsidRPr="00564FCD">
        <w:tab/>
        <w:t>reiškia solidarumą su Moldovos Respublikos tauta ir pakartoja visapusiškai remiantis šalies nepriklausomybę, suverenitetą ir teritorinį vientisumą, taip pat jos pastangas ginti savo demokratinio proceso integralumą, užsienio politikos sprendimų suverenumą ir savo tautos socialines ir ekonomines perspektyvas; todėl ragina Rusiją gerbti Moldovos nepriklausomybę, suverenitetą bei teritorinį vientisumą ir nustoti mėginti pakenkti Moldovos konstitucinei tvarkai ir demokratinėms institucijoms;</w:t>
      </w:r>
    </w:p>
    <w:p w14:paraId="2CAD2EFC" w14:textId="77777777" w:rsidR="00EF73C2" w:rsidRPr="00564FCD" w:rsidRDefault="00EF73C2" w:rsidP="00EF73C2">
      <w:pPr>
        <w:pStyle w:val="NormalHanging12a"/>
        <w:rPr>
          <w:szCs w:val="24"/>
        </w:rPr>
      </w:pPr>
      <w:r w:rsidRPr="00564FCD">
        <w:t>2.</w:t>
      </w:r>
      <w:r w:rsidRPr="00564FCD">
        <w:tab/>
        <w:t>smerkia nuolatinius Rusijos Federacijos, prorusiškų oligarchų ir Rusijos remiamų vietinių patikėtinių bandymus destabilizuoti Moldovą, pasėti nesantaiką Moldovos visuomenėje ir kliudyti šalies demokratijai ir pažangai siekiant narystės ES vykdant hibridinius išpuolius, politiniais tikslais manipuliuojant energijos tiekimu, teikiant neteisėtą finansavimą politiniams subjektams ir rengiant dezinformacijos, manipuliavimo ir bauginimo kampanijas, nukreiptas prieš pilietinės visuomenės organizacijas ir nepriklausomą žiniasklaidą;</w:t>
      </w:r>
    </w:p>
    <w:p w14:paraId="0AF0400F" w14:textId="77777777" w:rsidR="00EF73C2" w:rsidRPr="00564FCD" w:rsidRDefault="00EF73C2" w:rsidP="00EF73C2">
      <w:pPr>
        <w:pStyle w:val="NormalHanging12a"/>
        <w:rPr>
          <w:szCs w:val="24"/>
        </w:rPr>
      </w:pPr>
      <w:r w:rsidRPr="00564FCD">
        <w:t>3.</w:t>
      </w:r>
      <w:r w:rsidRPr="00564FCD">
        <w:tab/>
        <w:t>smerkia prieš 2025 m. rugsėjo 28 d. parlamento rinkimus intensyvėjančias Rusijos hibridines operacijas ir mėginimus kištis, kuriais aiškiai siekiama destabilizuoti šalį ir pakeisti jos demokratinę kryptį bei suverenius sprendimus, visų pirma susijusius su būsima naryste ES;</w:t>
      </w:r>
    </w:p>
    <w:p w14:paraId="3DD63001" w14:textId="77777777" w:rsidR="00EF73C2" w:rsidRPr="00564FCD" w:rsidRDefault="00EF73C2" w:rsidP="00EF73C2">
      <w:pPr>
        <w:pStyle w:val="NormalHanging12a"/>
        <w:rPr>
          <w:szCs w:val="24"/>
          <w:shd w:val="clear" w:color="auto" w:fill="FFFFFF"/>
        </w:rPr>
      </w:pPr>
      <w:r w:rsidRPr="00564FCD">
        <w:t>4.</w:t>
      </w:r>
      <w:r w:rsidRPr="00564FCD">
        <w:tab/>
      </w:r>
      <w:r w:rsidRPr="00564FCD">
        <w:rPr>
          <w:shd w:val="clear" w:color="auto" w:fill="FFFFFF"/>
        </w:rPr>
        <w:t xml:space="preserve">giria Moldovą už jos pavyzdinį įsipareigojimą ir nuolatinę pažangą su stojimu į ES susijusių reformų srityje – nepaisant didelių vidinių ir išorinių iššūkių, įskaitant Rusijos plataus masto agresijos karą prieš Ukrainą ir tikslines Rusijos hibridines grėsmes prieš Moldovą – kurie sudarė sąlygas stojimo derybas pradėti 2024 m. birželio mėn., </w:t>
      </w:r>
      <w:r w:rsidRPr="00564FCD">
        <w:rPr>
          <w:rStyle w:val="highlight-diff"/>
          <w:color w:val="000000"/>
          <w:shd w:val="clear" w:color="auto" w:fill="FFFFFF"/>
        </w:rPr>
        <w:t>praėjus vos pusmečiui nuo atitinkamo 2023 m. gruodžio 14 d. Europos Vadovų Tarybos sprendimo ir mažiau nei dvejiems metams nuo 2022 m. kovo 3 d., kai Moldova pateikė paraišką dėl narystės Europos Sąjungoje</w:t>
      </w:r>
      <w:r w:rsidRPr="00564FCD">
        <w:rPr>
          <w:shd w:val="clear" w:color="auto" w:fill="FFFFFF"/>
        </w:rPr>
        <w:t xml:space="preserve">; </w:t>
      </w:r>
      <w:r w:rsidRPr="00564FCD">
        <w:rPr>
          <w:rStyle w:val="highlight-diff"/>
          <w:color w:val="000000"/>
          <w:shd w:val="clear" w:color="auto" w:fill="FFFFFF"/>
        </w:rPr>
        <w:t>ragina Tarybą ir Komisiją laikytis vertinimo pagal nuopelnus principo ir kiekvieną šalį kandidatę vertinti atskirai, užtikrinant, kad pažanga stojimo etapuose, įskaitant derybų skyrių atidarymą, priklausytų nuo jos pačios pasiekimų ir aplinkybių;</w:t>
      </w:r>
      <w:r w:rsidRPr="00564FCD">
        <w:t xml:space="preserve"> </w:t>
      </w:r>
      <w:r w:rsidRPr="00564FCD">
        <w:rPr>
          <w:shd w:val="clear" w:color="auto" w:fill="FFFFFF"/>
        </w:rPr>
        <w:t>dar kartą patvirtina tvirtai remianti Moldovos narystės Europos Sąjungoje perspektyvas; be to, primygtinai ragina Tarybą greitai pradėti stojimo derybas dėl 1 grupės (pagrindiniai principai), taip įvertinant didelę pažangą, kurią Moldova padarė vykdydama esmines reformas;</w:t>
      </w:r>
    </w:p>
    <w:p w14:paraId="5CFC64D0" w14:textId="77777777" w:rsidR="00EF73C2" w:rsidRPr="00564FCD" w:rsidRDefault="00EF73C2" w:rsidP="00EF73C2">
      <w:pPr>
        <w:pStyle w:val="NormalHanging12a"/>
        <w:rPr>
          <w:szCs w:val="24"/>
        </w:rPr>
      </w:pPr>
      <w:r w:rsidRPr="00564FCD">
        <w:rPr>
          <w:shd w:val="clear" w:color="auto" w:fill="FFFFFF"/>
        </w:rPr>
        <w:t>5.</w:t>
      </w:r>
      <w:r w:rsidRPr="00564FCD">
        <w:rPr>
          <w:shd w:val="clear" w:color="auto" w:fill="FFFFFF"/>
        </w:rPr>
        <w:tab/>
        <w:t>ragina ES toliau remti Moldovos Respubliką užtikrinant, kad būtų surengti laisvi, sąžiningi ir skaidrūs rinkimai; pabrėžia svarbų tarptautinių stebėtojų vaidmenį ne tik stebint rinkimų procesą, bet ir stebint bei dokumentuojant piktavališką užsienio šalių kišimąsi, įskaitant dezinformaciją, neteisėtą finansavimą ir koordinuotas kibernetines ar įtakos operacijas;</w:t>
      </w:r>
    </w:p>
    <w:p w14:paraId="59B46038" w14:textId="77777777" w:rsidR="00EF73C2" w:rsidRPr="00564FCD" w:rsidRDefault="00EF73C2" w:rsidP="00EF73C2">
      <w:pPr>
        <w:pStyle w:val="NormalHanging12a"/>
      </w:pPr>
      <w:r w:rsidRPr="00564FCD">
        <w:t>6.</w:t>
      </w:r>
      <w:r w:rsidRPr="00564FCD">
        <w:tab/>
        <w:t>reiškia tvirtą įsitikinimą, jog tam, kad Moldova gebėtų konsoliduoti savo dabartinę pažangą vykdant su stojimu į ES susijusias reformas ir išlaikytų didelio užmojo tempą siekdama narystės ES, bus reikalinga tvirta ir tikra jos parlamento parama;</w:t>
      </w:r>
    </w:p>
    <w:p w14:paraId="77DC2A51" w14:textId="77777777" w:rsidR="00EF73C2" w:rsidRPr="00564FCD" w:rsidRDefault="00EF73C2" w:rsidP="00EF73C2">
      <w:pPr>
        <w:pStyle w:val="NormalHanging12a"/>
      </w:pPr>
      <w:r w:rsidRPr="00564FCD">
        <w:t>7.</w:t>
      </w:r>
      <w:r w:rsidRPr="00564FCD">
        <w:tab/>
        <w:t>su pasitenkinimu atkreipia dėmesį į ES pastangas teikti Moldovai politinę paramą aukščiausiu lygiu, visų pirma į 2025 m. liepos 4 d. Kišiniove įvykusį pirmąjį ES ir Moldovos aukščiausiojo lygio susitikimą, 2025 m. rugpjūčio 27 d. ES valstybių ar vyriausybių (Prancūzijos, Vokietijos ir Lenkijos) vadovų vizitą į Moldovą ir 2025 m. rugpjūčio 31 d. Rumunijos Prezidento vizitą į Moldovą, kurie visi padėjo dar kartą pabrėžti aiškią Moldovos stojimo į ES perspektyvą, grindžiamą nuopelnais ir pagarba demokratijos principams;</w:t>
      </w:r>
    </w:p>
    <w:p w14:paraId="54506DCB" w14:textId="77777777" w:rsidR="00EF73C2" w:rsidRPr="00564FCD" w:rsidRDefault="00EF73C2" w:rsidP="00EF73C2">
      <w:pPr>
        <w:pStyle w:val="NormalHanging12a"/>
        <w:rPr>
          <w:rStyle w:val="NormalHanging12aChar"/>
          <w:color w:val="000000"/>
          <w:szCs w:val="24"/>
        </w:rPr>
      </w:pPr>
      <w:r w:rsidRPr="00564FCD">
        <w:t>8.</w:t>
      </w:r>
      <w:r w:rsidRPr="00564FCD">
        <w:tab/>
      </w:r>
      <w:r w:rsidRPr="00564FCD">
        <w:rPr>
          <w:rStyle w:val="NormalHanging12aChar"/>
          <w:color w:val="000000"/>
        </w:rPr>
        <w:t>pakartoja savo raginimą ES ir toliau ne tik politiškai remti Moldovos vyriausybės pastangas kovoti su kišimusi į šalies demokratinius procesus, bet ir teikti didesnę finansinę ir techninę paramą, be kita ko, nustatyti papildomus sankcijų sąrašus, kaip 2025 m. liepos 15 d., suteikti papildomą paramą ES partnerystės misijai (EUPM) Moldovoje, keistis informacija apie įtartinus finansinius srautus, įskaitant kriptovaliutas, ir apie neskaidrius ar neteisėtus finansavimo tinklus, dalytis ekspertinėmis žiniomis užsienio vykdomo manipuliavimo informacija ir kišimosi (FIMI), priešinimosi hibridinėms grėsmėms ir atsparumo stiprinimo srityse;</w:t>
      </w:r>
      <w:bookmarkStart w:id="7" w:name="_Hlk194942091"/>
      <w:r w:rsidRPr="00564FCD">
        <w:rPr>
          <w:rStyle w:val="NormalHanging12aChar"/>
          <w:color w:val="000000"/>
        </w:rPr>
        <w:t xml:space="preserve"> dar kartą ragina Moldovos valdžios institucijas ir ES didinti paramą nepriklausomai žiniasklaidai ir už demokratiją pasisakančiai pilietinei visuomenei, siekiant sudaryti sąlygas žurnalistams nacionaliniu ir regioniniu lygmenimis kovoti su FIMI bei stiprinti skaitmeninį raštingumą;</w:t>
      </w:r>
      <w:bookmarkEnd w:id="7"/>
      <w:r w:rsidRPr="00564FCD">
        <w:rPr>
          <w:rStyle w:val="NormalHanging12aChar"/>
          <w:color w:val="000000"/>
        </w:rPr>
        <w:t xml:space="preserve"> palankiai vertina Komisijos paskelbtą pranešimą apie naują regioninį Europos skaitmeninės žiniasklaidos observatorijos (EDMO) centrą siekiant padėti Moldovai ir Ukrainai kovoti su dezinformacija; primygtinai ragina visas pagrindines interneto platformas, visų pirma „Meta“, „Google“, „Telegram“, „TikTok“, „Microsoft“ ir „Rakuten“, glaudžiai bendradarbiauti su Moldovos valdžios institucijomis, pilietine visuomene ir naujuoju EDMO centru; ragina Moldovą nedelsiant suderinti savo teisės aktus su ES skaitmeninių rinkų aktu</w:t>
      </w:r>
      <w:r w:rsidRPr="00564FCD">
        <w:rPr>
          <w:rStyle w:val="FootnoteReference"/>
          <w:color w:val="000000"/>
        </w:rPr>
        <w:footnoteReference w:id="5"/>
      </w:r>
      <w:r w:rsidRPr="00564FCD">
        <w:rPr>
          <w:rStyle w:val="NormalHanging12aChar"/>
          <w:color w:val="000000"/>
        </w:rPr>
        <w:t xml:space="preserve"> ir Skaitmeninių paslaugų aktu</w:t>
      </w:r>
      <w:r w:rsidRPr="00564FCD">
        <w:rPr>
          <w:rStyle w:val="FootnoteReference"/>
          <w:color w:val="000000"/>
        </w:rPr>
        <w:footnoteReference w:id="6"/>
      </w:r>
      <w:r w:rsidRPr="00564FCD">
        <w:rPr>
          <w:rStyle w:val="NormalHanging12aChar"/>
          <w:color w:val="000000"/>
        </w:rPr>
        <w:t>; ragina Komisiją šiuo atžvilgiu teikti Moldovai specialią paramą;</w:t>
      </w:r>
    </w:p>
    <w:p w14:paraId="2C90F511" w14:textId="77777777" w:rsidR="00EF73C2" w:rsidRPr="00564FCD" w:rsidRDefault="00EF73C2" w:rsidP="00EF73C2">
      <w:pPr>
        <w:pStyle w:val="NormalHanging12a"/>
        <w:rPr>
          <w:szCs w:val="24"/>
        </w:rPr>
      </w:pPr>
      <w:r w:rsidRPr="00564FCD">
        <w:t>9.</w:t>
      </w:r>
      <w:r w:rsidRPr="00564FCD">
        <w:tab/>
        <w:t>ragina Moldovos valdžios institucijas rengiantis 2025 m. rugsėjo 28 d. vyksiantiems parlamento rinkimams visapusiškai pasinaudoti EUPM ekspertinėmis žiniomis siekiant kovoti su bet kokiu pakartotiniu kišimusi į rinkimus; ragina Europos išorės veiksmų tarnybą ir Komisiją naudoti visas turimas ES priemonėmis siekiant remti Moldovą kovojant su hibridinėmis grėsmėmis, be kita ko, pasitelkiant Greitojo reagavimo į hibridines grėsmes ir Greitojo reagavimo į kibernetines grėsmes grupes bei Kibernetinio saugumo rezervą; palankiai vertina Moldovos strateginės komunikacijos ir kovos su dezinformacija centro pastangas koordinuoti įvairių Moldovos institucijų kovą su užsienio kišimusi, taip pat Nacionalinės kibernetinio saugumo agentūros ir Nacionalinio kibernetinio saugumo inovacijų instituto pastangas, ir ragina ES didinti šiais tikslais skiriamą paramą; pakartoja, kad svarbu gerinti Moldovos ir ES bei jos valstybių narių keitimąsi informacija ir žvalgybinį bendradarbiavimą grėsmių saugumui srityje; ragina ES pasimokyti iš Moldovoje įgytos patirtis, nes ji gali būti pritaikyta siekiant apsaugoti pačios ES rinkimų procesus ir demokratines institucijas;</w:t>
      </w:r>
    </w:p>
    <w:p w14:paraId="50164B5E" w14:textId="77777777" w:rsidR="00EF73C2" w:rsidRPr="00564FCD" w:rsidRDefault="00EF73C2" w:rsidP="00EF73C2">
      <w:pPr>
        <w:pStyle w:val="NormalHanging12a"/>
        <w:rPr>
          <w:szCs w:val="24"/>
        </w:rPr>
      </w:pPr>
      <w:r w:rsidRPr="00564FCD">
        <w:t>10.</w:t>
      </w:r>
      <w:r w:rsidRPr="00564FCD">
        <w:tab/>
        <w:t>atkreipia dėmesį į tai, kad Moldovos veiksmai nuosekliai derinami su ES bendros užsienio ir saugumo politikos pozicija ir kad Moldova nuo 2024 m. įgyvendina partnerystę saugumo ir gynybos srityje su ES ir naują 2024–2034 m. nacionalinę gynybos strategiją; todėl ragina valstybes nares padidinti finansavimą Moldovai pagal Europos taikos priemonę, be kita ko, atsižvelgiant į besikartojančius Moldovos Respublikos oro erdvės pažeidimus Rusijos bepiločiais orlaiviais ir raketomis, ir įtraukti Moldovą į bendrus viešuosius pirkimus gynybos srityje pagal Europos gynybos pramonės programą; pabrėžia Moldovos vaidmenį užtikrinant ES rytinės sienos ir Juodosios jūros regiono saugumą ir stabilumą, kilus humanitarinei ir energetikos krizėms dėl Rusijos agresijos karo prieš Ukrainą;</w:t>
      </w:r>
    </w:p>
    <w:p w14:paraId="025625DA" w14:textId="77777777" w:rsidR="00EF73C2" w:rsidRPr="00564FCD" w:rsidRDefault="00EF73C2" w:rsidP="00EF73C2">
      <w:pPr>
        <w:pStyle w:val="NormalHanging12a"/>
      </w:pPr>
      <w:r w:rsidRPr="00564FCD">
        <w:t>11.</w:t>
      </w:r>
      <w:r w:rsidRPr="00564FCD">
        <w:tab/>
        <w:t>ragina Rusijos Federaciją išvesti savo karines pajėgas bei išvežti karinę įrangą ir amuniciją iš Padniestrės regiono ir remti taikų konflikto sprendimą, laikantis tarptautinės teisės ir paisant Moldovos suvereniteto bei teritorinio vientisumo;</w:t>
      </w:r>
    </w:p>
    <w:p w14:paraId="3DF6C15C" w14:textId="5269076E" w:rsidR="00EF73C2" w:rsidRPr="00564FCD" w:rsidRDefault="00EF73C2" w:rsidP="00EF73C2">
      <w:pPr>
        <w:pStyle w:val="NormalHanging12a"/>
        <w:rPr>
          <w:szCs w:val="24"/>
        </w:rPr>
      </w:pPr>
      <w:r w:rsidRPr="00564FCD">
        <w:t>12.</w:t>
      </w:r>
      <w:r w:rsidRPr="00564FCD">
        <w:tab/>
        <w:t>primygtinai ragina Moldovos valdžios institucijas, pilietinę visuomenę ir ES stiprinti strateginę komunikaciją, demaskuoti Rusijos remiamus melagingus naratyvus apie ES bei jos politiką ir kovoti su jais bei pabrėžti konkrečią trumpalaikę ir ilgalaikę stojimo į ES naudą žmonėms visoje Moldovoje, ypatingą dėmesį skiriant komunikacijai tokiuose regionuose kaip Gagauzija ir nepalankioje socialinėje ir ekonominėje padėtyje esančiose kaimo vietovėse esančiose bendruomenėse;</w:t>
      </w:r>
      <w:bookmarkStart w:id="8" w:name="_Hlk196923727"/>
      <w:bookmarkEnd w:id="8"/>
      <w:r w:rsidRPr="00564FCD">
        <w:t xml:space="preserve"> pareiškia, kad yra pasirengęs toliau remti Moldovos parlamentą vykdant abipusiškai sutartą paramos demokratijai veiklą; todėl rekomenduoja visapusiškai naudotis Europos Parlamento ryšių biuru Kišiniove siekiant skleisti informaciją, kovoti su dezinformacija ir remti piliečių dalyvavimą, taip prisidedant prie Moldovos demokratinio atsparumo stiprinimo; yra labai susirūpinęs dėl Rusijos vykdomos plataus masto kampanijos pasinaudojant homofobija, įskaitant bauginimą ir fizinius išpuolius, ir ragina Komisiją, valstybes nares ir Moldovą investuoti ir į Moldovos visuomenės atsparumą, propaguojant lygybę visiems, nepaisant seksualinės orientacijos ar lytinės tapatybės;</w:t>
      </w:r>
    </w:p>
    <w:p w14:paraId="3E64C3DC" w14:textId="27590234" w:rsidR="00EF73C2" w:rsidRDefault="00EF73C2" w:rsidP="00EF73C2">
      <w:pPr>
        <w:pStyle w:val="NormalHanging12a"/>
      </w:pPr>
      <w:r w:rsidRPr="00564FCD">
        <w:t>13.</w:t>
      </w:r>
      <w:r w:rsidRPr="00564FCD">
        <w:tab/>
        <w:t xml:space="preserve">pažymi, kad Rusijos nacionalinėje saugumo strategijoje, kurią prezidentas V. Putinas patvirtino 2015 m. gruodžio 31 d., remdamasis 2014 m. gruodžio 25 d. karine doktrina, nuo tariamos Vakarų įtakos aiškiai ginamos vadinamosios „tradicinės Rusijos dvasinės ir moralinės vertybes“, tokiu būdu įrodant, kad Rusija šias vertybes ir jas ginančias institucijas instrumentalizuoja strateginiais tikslais; reiškia susirūpinimą dėl to, kad Rusija instrumentalizuoja vadinamąsias tradicines Rusijos vertybes, ir pabrėžia, kad vienas iš pagrindinių Rusijos propagandos kanalų Moldovoje yra su Maskva susijusi Kišiniovo ir visos Moldovos metropolija, pavaldi Rusijos stačiatikių bažnyčiai; </w:t>
      </w:r>
      <w:r w:rsidR="00EB1333" w:rsidRPr="00EB1333">
        <w:t xml:space="preserve">pabrėžia, kad 2024 m. balandžio mėn. Europos Tarybos Parlamentinė Asamblėja pripažino Rusų Stačiatikių Bažnyčią Kremliaus propagandos priemone, o 2024 m. rugpjūčio mėn. Konstantinopolio ekumeninis patriarchatas ją pasmerkė kaip militaristinę, </w:t>
      </w:r>
      <w:proofErr w:type="spellStart"/>
      <w:r w:rsidR="00EB1333" w:rsidRPr="00EB1333">
        <w:t>etnonacionalistinę</w:t>
      </w:r>
      <w:proofErr w:type="spellEnd"/>
      <w:r w:rsidR="00EB1333" w:rsidRPr="00EB1333">
        <w:t xml:space="preserve"> ir </w:t>
      </w:r>
      <w:proofErr w:type="spellStart"/>
      <w:r w:rsidR="00EB1333" w:rsidRPr="00EB1333">
        <w:t>eretišką</w:t>
      </w:r>
      <w:proofErr w:type="spellEnd"/>
      <w:r w:rsidR="00EB1333" w:rsidRPr="00EB1333">
        <w:t xml:space="preserve">; </w:t>
      </w:r>
      <w:r w:rsidRPr="00564FCD">
        <w:t>smerkia Rusijos patikėtinių vykdomą Besarabijos stačiatikių metropolijos dvasininkų bauginimą</w:t>
      </w:r>
      <w:r w:rsidR="009B4DE7">
        <w:rPr>
          <w:rStyle w:val="FootnoteReference"/>
        </w:rPr>
        <w:footnoteReference w:id="7"/>
      </w:r>
      <w:r w:rsidRPr="00564FCD">
        <w:t>;</w:t>
      </w:r>
    </w:p>
    <w:p w14:paraId="0B81C65A" w14:textId="224EDBB5" w:rsidR="009B4DE7" w:rsidRPr="00564FCD" w:rsidRDefault="00D85991" w:rsidP="00EF73C2">
      <w:pPr>
        <w:pStyle w:val="NormalHanging12a"/>
      </w:pPr>
      <w:r>
        <w:t>14</w:t>
      </w:r>
      <w:r w:rsidR="009B4DE7" w:rsidRPr="009B4DE7">
        <w:t>.</w:t>
      </w:r>
      <w:r w:rsidR="009B4DE7" w:rsidRPr="009B4DE7">
        <w:tab/>
        <w:t xml:space="preserve">pripažįsta, kad </w:t>
      </w:r>
      <w:proofErr w:type="spellStart"/>
      <w:r w:rsidR="009B4DE7" w:rsidRPr="009B4DE7">
        <w:t>Besarabijos</w:t>
      </w:r>
      <w:proofErr w:type="spellEnd"/>
      <w:r w:rsidR="009B4DE7" w:rsidRPr="009B4DE7">
        <w:t xml:space="preserve"> stačiatikių metropolija yra sovietų priespaudos auka; pažymi, kad po to, kai sovietų valdžios institucijos piktnaudžiaudamos panaikino </w:t>
      </w:r>
      <w:proofErr w:type="spellStart"/>
      <w:r w:rsidR="009B4DE7" w:rsidRPr="009B4DE7">
        <w:t>Besarabijos</w:t>
      </w:r>
      <w:proofErr w:type="spellEnd"/>
      <w:r w:rsidR="009B4DE7" w:rsidRPr="009B4DE7">
        <w:t xml:space="preserve"> stačiatikių metropoliją, ji buvo oficialiai pripažinta tik 2002 m., Europos Žmogaus Teisių Teismui priėmus sprendimą;</w:t>
      </w:r>
    </w:p>
    <w:p w14:paraId="3ABAACCF" w14:textId="464F72F0" w:rsidR="00EF73C2" w:rsidRPr="00564FCD" w:rsidRDefault="00D85991" w:rsidP="00EF73C2">
      <w:pPr>
        <w:pStyle w:val="NormalHanging12a"/>
        <w:rPr>
          <w:szCs w:val="24"/>
        </w:rPr>
      </w:pPr>
      <w:r>
        <w:t>15</w:t>
      </w:r>
      <w:r w:rsidR="00EF73C2" w:rsidRPr="00564FCD">
        <w:t>.</w:t>
      </w:r>
      <w:r w:rsidR="00EF73C2" w:rsidRPr="00564FCD">
        <w:tab/>
        <w:t>atkreipia dėmesį į svarbų pilietinės visuomenės organizacijų indėlį kovojant su dezinformacija ir piktavališka prieš reformas nusiteikusių politinių veikėjų bei Rusijos patikėtinių įtaka, taip pat ginant žmogaus teises, skatinant skaidrumą ir stebint valdymą bei pažangą vykdant demokratines ir su stojimu į ES susijusias reformas;</w:t>
      </w:r>
    </w:p>
    <w:p w14:paraId="26844B88" w14:textId="70F94643" w:rsidR="00EF73C2" w:rsidRPr="00564FCD" w:rsidRDefault="00D85991" w:rsidP="00EF73C2">
      <w:pPr>
        <w:pStyle w:val="NormalHanging12a"/>
        <w:rPr>
          <w:szCs w:val="24"/>
        </w:rPr>
      </w:pPr>
      <w:r>
        <w:t>16</w:t>
      </w:r>
      <w:r w:rsidR="00EF73C2" w:rsidRPr="00564FCD">
        <w:t>.</w:t>
      </w:r>
      <w:r w:rsidR="00EF73C2" w:rsidRPr="00564FCD">
        <w:tab/>
        <w:t>pabrėžia, kad visapusiška teisingumo sistemos reforma ir kova su korupcija yra labai svarbios tiek Moldovos atsparumo užsienio šalių kišimuisi ir hibridinėms grėsmėms, tiek demokratinių ir su stojimu į ES susijusių reformų sėkmės požiūriu; pripažįsta nuolatines Moldovos pastangas sukurti nepriklausomą, nešališką, atskaitingą ir profesionalią teismų sistemą ir iki 2026 m. pabaigos užbaigti tikrinimo procesą; pabrėžia, kad reikia užtikrinti geresnį visų pagrindinių kovos su korupcija ir teisingumo institucijų veiklos koordinavimą, siekiant pilnai įgyvendinti visa apimančias teisinės valstybės reformas, pasiekti įtikinamų veiksmingo baudžiamojo persekiojimo korupcijos bylose rezultatų, kartu paisant tinkamo proceso principo ir teisės į teisingą bylos nagrinėjimą, ir išlaikyti visuomenės pasitikėjimą demokratinėmis institucijomis ir reformų procesu; todėl ragina būsimą vyriausybę išlaikyti dabartinį užmojų lygį ir užbaigti teisinės valstybės reformas;</w:t>
      </w:r>
    </w:p>
    <w:p w14:paraId="3C525B13" w14:textId="260979D1" w:rsidR="00EF73C2" w:rsidRDefault="00D85991" w:rsidP="00EF73C2">
      <w:pPr>
        <w:pStyle w:val="NormalHanging12a"/>
      </w:pPr>
      <w:r>
        <w:t>17</w:t>
      </w:r>
      <w:r w:rsidR="00EF73C2" w:rsidRPr="00564FCD">
        <w:t>.</w:t>
      </w:r>
      <w:r w:rsidR="00EF73C2" w:rsidRPr="00564FCD">
        <w:tab/>
        <w:t>pabrėžia itin didelę energetinės nepriklausomybės ir jungčių svarbą siekiant didesnio atsparumo Rusijos hibridinėms grėsmėms energetikos sektoriuje, todėl ragina sparčiau įgyvendinti ekonomikos augimo planą; smerkia tai, kad Rusija toliau instrumentalizuoja energijos tiekimą, ir palankiai vertina Moldovos pažangą įvairinant savo energijos šaltinius, diegiant atsinaujinančiuosius energijos išteklius ir energijos kaupimo sistemas, mažinant priklausomybę nuo Rusijos dujų ir integruojantis į ES energijos rinką;</w:t>
      </w:r>
    </w:p>
    <w:p w14:paraId="4DD83817" w14:textId="2AA4D927" w:rsidR="009B4DE7" w:rsidRPr="00564FCD" w:rsidRDefault="00D85991" w:rsidP="00EF73C2">
      <w:pPr>
        <w:pStyle w:val="NormalHanging12a"/>
        <w:rPr>
          <w:szCs w:val="24"/>
        </w:rPr>
      </w:pPr>
      <w:r>
        <w:rPr>
          <w:szCs w:val="24"/>
        </w:rPr>
        <w:t>18</w:t>
      </w:r>
      <w:r w:rsidR="009B4DE7" w:rsidRPr="009B4DE7">
        <w:rPr>
          <w:szCs w:val="24"/>
        </w:rPr>
        <w:t>.</w:t>
      </w:r>
      <w:r w:rsidR="009B4DE7" w:rsidRPr="009B4DE7">
        <w:rPr>
          <w:szCs w:val="24"/>
        </w:rPr>
        <w:tab/>
        <w:t xml:space="preserve">giria Moldovos Respubliką už didelę pažangą, padarytą laipsniškai atsisakant Rusijos energijos šaltinių, spartinant jos energijos rūšių derinio priklausomybės nuo iškastinio kuro mažinimą bei </w:t>
      </w:r>
      <w:proofErr w:type="spellStart"/>
      <w:r w:rsidR="009B4DE7" w:rsidRPr="009B4DE7">
        <w:rPr>
          <w:szCs w:val="24"/>
        </w:rPr>
        <w:t>skaitmenizaciją</w:t>
      </w:r>
      <w:proofErr w:type="spellEnd"/>
      <w:r w:rsidR="009B4DE7" w:rsidRPr="009B4DE7">
        <w:rPr>
          <w:szCs w:val="24"/>
        </w:rPr>
        <w:t xml:space="preserve"> ir integruojantis į ES energijos rinką; pakartoja savo raginimą ES ir valstybėms narėms toliau remti Moldovos energetinį saugumą remiant ir finansuojant naujų elektros energetikos sistemų jungčių su kaimyninėmis šalimis tiesimą, skatinant energijos vartojimo efektyvumą ir atsinaujinančiųjų energijos išteklių bei energijos kaupimo sistemų diegimą laikantis jos nacionaliniame energetikos ir klimato srities veiksmų plane nustatytų tikslų;</w:t>
      </w:r>
    </w:p>
    <w:p w14:paraId="3E7CCA5C" w14:textId="112B81C4" w:rsidR="00EF73C2" w:rsidRPr="00564FCD" w:rsidRDefault="00D85991" w:rsidP="00EF73C2">
      <w:pPr>
        <w:pStyle w:val="NormalHanging12a"/>
        <w:rPr>
          <w:szCs w:val="24"/>
        </w:rPr>
      </w:pPr>
      <w:r>
        <w:t>19</w:t>
      </w:r>
      <w:r w:rsidR="00EF73C2" w:rsidRPr="00564FCD">
        <w:t>.</w:t>
      </w:r>
      <w:r w:rsidR="00EF73C2" w:rsidRPr="00564FCD">
        <w:tab/>
        <w:t>palankiai vertina tai, kad sklandžiai priimtas 1,9 mlrd. EUR vertės Moldovos ekonomikos augimo planas, pagal kurį bus teikiama precedento neturinčio lygio parama, kuria siekiama skatinti Moldovos ekonomiką ir padėti šiai šaliai daryti pažangą narystės ES kelyje spartinant pagrindines reformas tokiuose sektoriuose kaip energetika, aplinka, skaitmeninis sektorius, transportas ir kt.; palankiai vertina tai, kad išmokėta 270 mln. EUR išankstinio finansavimo dalis pagal 1,9 mlrd. EUR vertės ekonomikos augimo planą, ir ragina sparčiai išmokėti pirmąją paprastą dalį, skirtą pagrindinėms infrastruktūros, žmogiškojo kapitalo, verslo plėtros reformoms ir skaitmeninei bei žaliajai pertvarkai remti; primygtinai ragina ES ir Moldovą paspartinti laipsnišką šalies integraciją į ES bendrąją rinką, kuri duotų apčiuopiamos socialinės ir ekonominės naudos, dar iki šaliai oficialiai įstojant į ES; palankiai vertina neseniai pasiektą susitarimą peržiūrėti ir atnaujinti ES ir Moldovos išsamios ir visapusiškos laisvosios prekybos erdvės prekybos nuostatas, nes tai suteiks daugiau galimybių Moldovos žemės ūkio produktų eksportui, kuris dar nėra liberalizuotas, patekti į rinką; pritaria tam, kad pagal kitą daugiametę finansinę programą Moldova būtų įtraukta į šalių, kurioms teikiama parama pagal pasirengimo narystei priemonę, sąrašą; palankiai vertina 2025 m. liepos 25 d. Tarybos sprendimą nuo 2026 m. sausio 1 d. įtraukti Moldovą į tarptinklinio ryšio savo šalies kainomis erdvę, atsižvelgiant į panašų 2025 m. liepos 14 d. priimtą sprendimą dėl Ukrainos;</w:t>
      </w:r>
    </w:p>
    <w:p w14:paraId="7F575A95" w14:textId="524F529A" w:rsidR="00E365E1" w:rsidRPr="00564FCD" w:rsidRDefault="00332320" w:rsidP="000F6A2B">
      <w:pPr>
        <w:pStyle w:val="NormalHanging12a"/>
      </w:pPr>
      <w:r>
        <w:t>20</w:t>
      </w:r>
      <w:r w:rsidR="00EF73C2" w:rsidRPr="00564FCD">
        <w:t>.</w:t>
      </w:r>
      <w:r w:rsidR="00EF73C2" w:rsidRPr="00564FCD">
        <w:tab/>
        <w:t>paveda Pirmininkei perduoti šią rezoliuciją Komisijos Pirmininkės pavaduotojai ir Sąjungos vyriausiajai įgaliotinei užsienio reikalams ir saugumo politikai, Tarybai, Komisijai, valstybių narių vyriausybėms ir parlamentams, Europos Tarybai, Europos saugumo ir bendradarbiavimo organizacijai ir Moldovos prezidentei, vyriausybei bei parlamentui.</w:t>
      </w:r>
    </w:p>
    <w:sectPr w:rsidR="00E365E1" w:rsidRPr="00564FCD" w:rsidSect="00564F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B1BAC" w14:textId="77777777" w:rsidR="002A4B86" w:rsidRPr="00564FCD" w:rsidRDefault="002A4B86">
      <w:r w:rsidRPr="00564FCD">
        <w:separator/>
      </w:r>
    </w:p>
  </w:endnote>
  <w:endnote w:type="continuationSeparator" w:id="0">
    <w:p w14:paraId="0C881CB3" w14:textId="77777777" w:rsidR="002A4B86" w:rsidRPr="00564FCD" w:rsidRDefault="002A4B86">
      <w:r w:rsidRPr="00564F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14D8" w14:textId="77777777" w:rsidR="00064002" w:rsidRPr="00564F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C9E88" w14:textId="77777777" w:rsidR="00064002" w:rsidRPr="00564F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DAA4" w14:textId="77777777" w:rsidR="00064002" w:rsidRPr="00564F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56C66" w14:textId="77777777" w:rsidR="002A4B86" w:rsidRPr="00564FCD" w:rsidRDefault="002A4B86">
      <w:r w:rsidRPr="00564FCD">
        <w:separator/>
      </w:r>
    </w:p>
  </w:footnote>
  <w:footnote w:type="continuationSeparator" w:id="0">
    <w:p w14:paraId="1A520776" w14:textId="77777777" w:rsidR="002A4B86" w:rsidRPr="00564FCD" w:rsidRDefault="002A4B86">
      <w:r w:rsidRPr="00564FCD">
        <w:continuationSeparator/>
      </w:r>
    </w:p>
  </w:footnote>
  <w:footnote w:id="1">
    <w:p w14:paraId="18DB7BA2" w14:textId="6866965B" w:rsidR="00EF73C2" w:rsidRPr="00564FCD" w:rsidRDefault="00EF73C2" w:rsidP="00564FCD">
      <w:pPr>
        <w:pStyle w:val="FootnoteText"/>
        <w:ind w:left="567" w:hanging="567"/>
        <w:rPr>
          <w:sz w:val="24"/>
          <w:lang w:val="lt-LT"/>
        </w:rPr>
      </w:pPr>
      <w:r w:rsidRPr="00564FCD">
        <w:rPr>
          <w:rStyle w:val="FootnoteReference"/>
          <w:sz w:val="24"/>
          <w:lang w:val="lt-LT"/>
        </w:rPr>
        <w:footnoteRef/>
      </w:r>
      <w:r w:rsidR="00564FCD" w:rsidRPr="00564FCD">
        <w:rPr>
          <w:sz w:val="24"/>
          <w:lang w:val="lt-LT"/>
        </w:rPr>
        <w:t xml:space="preserve"> </w:t>
      </w:r>
      <w:r w:rsidR="00564FCD" w:rsidRPr="00564FCD">
        <w:rPr>
          <w:sz w:val="24"/>
          <w:lang w:val="lt-LT"/>
        </w:rPr>
        <w:tab/>
      </w:r>
      <w:r w:rsidRPr="00564FCD">
        <w:rPr>
          <w:sz w:val="24"/>
          <w:lang w:val="lt-LT"/>
        </w:rPr>
        <w:t>Priimti tekstai, P10_TA(2025)0131.</w:t>
      </w:r>
    </w:p>
  </w:footnote>
  <w:footnote w:id="2">
    <w:p w14:paraId="3722AC40" w14:textId="2A395E45" w:rsidR="00EF73C2" w:rsidRPr="00564FCD" w:rsidRDefault="00EF73C2" w:rsidP="00564FCD">
      <w:pPr>
        <w:pStyle w:val="FootnoteText"/>
        <w:ind w:left="567" w:hanging="567"/>
        <w:rPr>
          <w:sz w:val="24"/>
          <w:lang w:val="lt-LT"/>
        </w:rPr>
      </w:pPr>
      <w:r w:rsidRPr="00564FCD">
        <w:rPr>
          <w:rStyle w:val="FootnoteReference"/>
          <w:sz w:val="24"/>
          <w:lang w:val="lt-LT"/>
        </w:rPr>
        <w:footnoteRef/>
      </w:r>
      <w:r w:rsidR="00564FCD" w:rsidRPr="00564FCD">
        <w:rPr>
          <w:sz w:val="24"/>
          <w:lang w:val="lt-LT"/>
        </w:rPr>
        <w:t xml:space="preserve"> </w:t>
      </w:r>
      <w:r w:rsidR="00564FCD" w:rsidRPr="00564FCD">
        <w:rPr>
          <w:sz w:val="24"/>
          <w:lang w:val="lt-LT"/>
        </w:rPr>
        <w:tab/>
      </w:r>
      <w:r w:rsidRPr="00564FCD">
        <w:rPr>
          <w:sz w:val="24"/>
          <w:lang w:val="lt-LT"/>
        </w:rPr>
        <w:t xml:space="preserve">OL C, C/2025/204, 2025 1 14, ELI: </w:t>
      </w:r>
      <w:hyperlink r:id="rId1" w:history="1">
        <w:r w:rsidRPr="000F6A2B">
          <w:rPr>
            <w:rStyle w:val="Hyperlink"/>
            <w:lang w:val="fi-FI"/>
          </w:rPr>
          <w:t>http://data.europa.eu/eli/C/2025/204/oj</w:t>
        </w:r>
      </w:hyperlink>
      <w:r w:rsidRPr="00564FCD">
        <w:rPr>
          <w:sz w:val="24"/>
          <w:lang w:val="lt-LT"/>
        </w:rPr>
        <w:t>.</w:t>
      </w:r>
    </w:p>
  </w:footnote>
  <w:footnote w:id="3">
    <w:p w14:paraId="4836E825" w14:textId="2D772A85" w:rsidR="00EF73C2" w:rsidRPr="00564FCD" w:rsidRDefault="00EF73C2" w:rsidP="00564FCD">
      <w:pPr>
        <w:pStyle w:val="FootnoteText"/>
        <w:ind w:left="567" w:hanging="567"/>
        <w:rPr>
          <w:sz w:val="24"/>
          <w:lang w:val="lt-LT"/>
        </w:rPr>
      </w:pPr>
      <w:r w:rsidRPr="00564FCD">
        <w:rPr>
          <w:rStyle w:val="FootnoteReference"/>
          <w:sz w:val="24"/>
          <w:lang w:val="lt-LT"/>
        </w:rPr>
        <w:footnoteRef/>
      </w:r>
      <w:r w:rsidR="00564FCD" w:rsidRPr="00564FCD">
        <w:rPr>
          <w:sz w:val="24"/>
          <w:lang w:val="lt-LT"/>
        </w:rPr>
        <w:t xml:space="preserve"> </w:t>
      </w:r>
      <w:r w:rsidR="00564FCD" w:rsidRPr="00564FCD">
        <w:rPr>
          <w:sz w:val="24"/>
          <w:lang w:val="lt-LT"/>
        </w:rPr>
        <w:tab/>
      </w:r>
      <w:r w:rsidRPr="00564FCD">
        <w:rPr>
          <w:sz w:val="24"/>
          <w:lang w:val="lt-LT"/>
        </w:rPr>
        <w:t>OL L 260, 2014 8 30, p. </w:t>
      </w:r>
      <w:r w:rsidRPr="00564FCD">
        <w:rPr>
          <w:sz w:val="24"/>
          <w:lang w:val="lt-LT"/>
        </w:rPr>
        <w:t>4, ELI: </w:t>
      </w:r>
      <w:hyperlink r:id="rId2" w:tooltip="Prieiga prie šio dokumento suteikiama per ELI sistemoje jam suteiktą URI." w:history="1">
        <w:r w:rsidRPr="00564FCD">
          <w:rPr>
            <w:rStyle w:val="Hyperlink"/>
            <w:sz w:val="24"/>
            <w:lang w:val="lt-LT"/>
          </w:rPr>
          <w:t>http://data.europa.eu/eli/agree_internation/2014/492/oj</w:t>
        </w:r>
      </w:hyperlink>
      <w:r w:rsidRPr="00564FCD">
        <w:rPr>
          <w:sz w:val="24"/>
          <w:lang w:val="lt-LT"/>
        </w:rPr>
        <w:t>.</w:t>
      </w:r>
    </w:p>
  </w:footnote>
  <w:footnote w:id="4">
    <w:p w14:paraId="59F8AF8E" w14:textId="3EE6F739" w:rsidR="009B4DE7" w:rsidRPr="000F6A2B" w:rsidRDefault="009B4DE7" w:rsidP="000F6A2B">
      <w:pPr>
        <w:pStyle w:val="FootnoteText"/>
        <w:ind w:left="567" w:hanging="567"/>
        <w:rPr>
          <w:lang w:val="lt-LT"/>
        </w:rPr>
      </w:pPr>
      <w:r>
        <w:rPr>
          <w:rStyle w:val="FootnoteReference"/>
        </w:rPr>
        <w:footnoteRef/>
      </w:r>
      <w:r w:rsidRPr="000F6A2B">
        <w:rPr>
          <w:lang w:val="lt-LT"/>
        </w:rPr>
        <w:t xml:space="preserve"> </w:t>
      </w:r>
      <w:r>
        <w:rPr>
          <w:lang w:val="lt-LT"/>
        </w:rPr>
        <w:tab/>
      </w:r>
      <w:hyperlink r:id="rId3" w:history="1">
        <w:r w:rsidRPr="009B4DE7">
          <w:rPr>
            <w:rStyle w:val="Hyperlink"/>
            <w:lang w:val="lt-LT"/>
          </w:rPr>
          <w:t>https:/www.zdg.md/en/kremlins-digital-army-an-undercover-investigation-its-paid-let-me-tell-you-its-paid-directly-from-moscow/</w:t>
        </w:r>
      </w:hyperlink>
      <w:r w:rsidR="00D632E2">
        <w:rPr>
          <w:lang w:val="lt-LT"/>
        </w:rPr>
        <w:t>.</w:t>
      </w:r>
    </w:p>
  </w:footnote>
  <w:footnote w:id="5">
    <w:p w14:paraId="7D74A58F" w14:textId="723DD6A7" w:rsidR="00EF73C2" w:rsidRPr="00564FCD" w:rsidRDefault="00EF73C2" w:rsidP="00564FCD">
      <w:pPr>
        <w:pStyle w:val="FootnoteText"/>
        <w:ind w:left="567" w:hanging="567"/>
        <w:rPr>
          <w:sz w:val="24"/>
          <w:lang w:val="lt-LT"/>
        </w:rPr>
      </w:pPr>
      <w:r w:rsidRPr="00564FCD">
        <w:rPr>
          <w:rStyle w:val="FootnoteReference"/>
          <w:sz w:val="24"/>
          <w:lang w:val="lt-LT"/>
        </w:rPr>
        <w:footnoteRef/>
      </w:r>
      <w:r w:rsidR="00564FCD" w:rsidRPr="00564FCD">
        <w:rPr>
          <w:sz w:val="24"/>
          <w:lang w:val="lt-LT"/>
        </w:rPr>
        <w:t xml:space="preserve"> </w:t>
      </w:r>
      <w:r w:rsidR="00564FCD" w:rsidRPr="00564FCD">
        <w:rPr>
          <w:sz w:val="24"/>
          <w:lang w:val="lt-LT"/>
        </w:rPr>
        <w:tab/>
      </w:r>
      <w:r w:rsidRPr="00564FCD">
        <w:rPr>
          <w:sz w:val="24"/>
          <w:lang w:val="lt-LT"/>
        </w:rPr>
        <w:t xml:space="preserve">2022 m. rugsėjo 14 d. Europos Parlamento ir Tarybos reglamentas (ES) 2022/1925 dėl atvirų konkurencijai ir sąžiningų skaitmeninio sektoriaus rinkų, kuriuo iš dalies keičiamos direktyvos (ES) 2019/1937 ir (ES) 2020/1828 (OL L 265, 2022 10 12, p. 1, ELI: </w:t>
      </w:r>
      <w:hyperlink r:id="rId4" w:history="1">
        <w:r w:rsidRPr="001C3113">
          <w:rPr>
            <w:rStyle w:val="Hyperlink"/>
            <w:sz w:val="24"/>
            <w:lang w:val="lt-LT"/>
          </w:rPr>
          <w:t>http://data.europa.eu/eli/reg/2022/1925/oj</w:t>
        </w:r>
      </w:hyperlink>
      <w:r w:rsidRPr="00564FCD">
        <w:rPr>
          <w:sz w:val="24"/>
          <w:lang w:val="lt-LT"/>
        </w:rPr>
        <w:t>).</w:t>
      </w:r>
    </w:p>
  </w:footnote>
  <w:footnote w:id="6">
    <w:p w14:paraId="7F006225" w14:textId="03C909EB" w:rsidR="00EF73C2" w:rsidRPr="00564FCD" w:rsidRDefault="00EF73C2" w:rsidP="00564FCD">
      <w:pPr>
        <w:pStyle w:val="FootnoteText"/>
        <w:ind w:left="567" w:hanging="567"/>
        <w:rPr>
          <w:sz w:val="24"/>
          <w:lang w:val="lt-LT"/>
        </w:rPr>
      </w:pPr>
      <w:r w:rsidRPr="00564FCD">
        <w:rPr>
          <w:rStyle w:val="FootnoteReference"/>
          <w:sz w:val="24"/>
          <w:lang w:val="lt-LT"/>
        </w:rPr>
        <w:footnoteRef/>
      </w:r>
      <w:r w:rsidR="00564FCD" w:rsidRPr="00564FCD">
        <w:rPr>
          <w:sz w:val="24"/>
          <w:lang w:val="lt-LT"/>
        </w:rPr>
        <w:t xml:space="preserve"> </w:t>
      </w:r>
      <w:r w:rsidR="00564FCD" w:rsidRPr="00564FCD">
        <w:rPr>
          <w:sz w:val="24"/>
          <w:lang w:val="lt-LT"/>
        </w:rPr>
        <w:tab/>
      </w:r>
      <w:r w:rsidRPr="00564FCD">
        <w:rPr>
          <w:sz w:val="24"/>
          <w:lang w:val="lt-LT"/>
        </w:rPr>
        <w:t>2022 m. spalio 19 d. Europos Parlamento ir Tarybos reglamentas (ES) 2022/2065 dėl bendrosios skaitmeninių paslaugų rinkos, kuriuo iš dalies keičiama Direktyva 2000/31/EB (OL L 277, 2022 10 27, p. </w:t>
      </w:r>
      <w:r w:rsidRPr="00564FCD">
        <w:rPr>
          <w:sz w:val="24"/>
          <w:lang w:val="lt-LT"/>
        </w:rPr>
        <w:t xml:space="preserve">1, ELI: </w:t>
      </w:r>
      <w:hyperlink r:id="rId5" w:history="1">
        <w:r w:rsidRPr="001C3113">
          <w:rPr>
            <w:rStyle w:val="Hyperlink"/>
            <w:sz w:val="24"/>
            <w:lang w:val="lt-LT"/>
          </w:rPr>
          <w:t>http://data.europa.eu/eli/reg/2022/2065/oj</w:t>
        </w:r>
      </w:hyperlink>
      <w:r w:rsidRPr="00564FCD">
        <w:rPr>
          <w:sz w:val="24"/>
          <w:lang w:val="lt-LT"/>
        </w:rPr>
        <w:t>).</w:t>
      </w:r>
    </w:p>
  </w:footnote>
  <w:footnote w:id="7">
    <w:p w14:paraId="1CB657C4" w14:textId="1C49CA26" w:rsidR="009B4DE7" w:rsidRDefault="009B4DE7" w:rsidP="009B4DE7">
      <w:pPr>
        <w:pStyle w:val="FootnoteText"/>
        <w:ind w:left="567" w:hanging="567"/>
        <w:rPr>
          <w:lang w:val="lt-LT"/>
        </w:rPr>
      </w:pPr>
      <w:r w:rsidRPr="009B4DE7">
        <w:rPr>
          <w:rStyle w:val="FootnoteReference"/>
        </w:rPr>
        <w:footnoteRef/>
      </w:r>
      <w:r w:rsidRPr="009B4DE7">
        <w:rPr>
          <w:lang w:val="lt-LT"/>
        </w:rPr>
        <w:t xml:space="preserve"> </w:t>
      </w:r>
      <w:r w:rsidRPr="009B4DE7">
        <w:rPr>
          <w:lang w:val="lt-LT"/>
        </w:rPr>
        <w:tab/>
      </w:r>
      <w:hyperlink r:id="rId6" w:history="1">
        <w:r w:rsidRPr="009B7418">
          <w:rPr>
            <w:rStyle w:val="Hyperlink"/>
            <w:lang w:val="lt-LT"/>
          </w:rPr>
          <w:t>https://pace.coe.int/en/files/33808/html</w:t>
        </w:r>
      </w:hyperlink>
      <w:r w:rsidR="00D85991">
        <w:rPr>
          <w:lang w:val="lt-LT"/>
        </w:rPr>
        <w:t xml:space="preserve">, </w:t>
      </w:r>
    </w:p>
    <w:p w14:paraId="1A51A9A3" w14:textId="4073FF90" w:rsidR="009B4DE7" w:rsidRPr="009B7418" w:rsidRDefault="009B4DE7" w:rsidP="009B4DE7">
      <w:pPr>
        <w:pStyle w:val="FootnoteText"/>
        <w:ind w:left="567" w:firstLine="0"/>
        <w:rPr>
          <w:lang w:val="lt-LT"/>
        </w:rPr>
      </w:pPr>
      <w:hyperlink r:id="rId7" w:history="1">
        <w:r w:rsidRPr="009B4DE7">
          <w:rPr>
            <w:rStyle w:val="Hyperlink"/>
            <w:lang w:val="lt-LT"/>
          </w:rPr>
          <w:t>https://www.thetablet.co.uk/news/bartholomew-accuses-russian-church-of-ethno-nationalist-heresy/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6383A" w14:textId="77777777" w:rsidR="00064002" w:rsidRPr="00564F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8663E" w14:textId="77777777" w:rsidR="00064002" w:rsidRPr="00564F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3F0B" w14:textId="77777777" w:rsidR="00064002" w:rsidRPr="00564F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0156554">
    <w:abstractNumId w:val="9"/>
  </w:num>
  <w:num w:numId="2" w16cid:durableId="480317886">
    <w:abstractNumId w:val="9"/>
  </w:num>
  <w:num w:numId="3" w16cid:durableId="1391688402">
    <w:abstractNumId w:val="7"/>
  </w:num>
  <w:num w:numId="4" w16cid:durableId="1153714006">
    <w:abstractNumId w:val="7"/>
  </w:num>
  <w:num w:numId="5" w16cid:durableId="1243489001">
    <w:abstractNumId w:val="6"/>
  </w:num>
  <w:num w:numId="6" w16cid:durableId="1389645126">
    <w:abstractNumId w:val="6"/>
  </w:num>
  <w:num w:numId="7" w16cid:durableId="718356752">
    <w:abstractNumId w:val="5"/>
  </w:num>
  <w:num w:numId="8" w16cid:durableId="884101694">
    <w:abstractNumId w:val="5"/>
  </w:num>
  <w:num w:numId="9" w16cid:durableId="1839419590">
    <w:abstractNumId w:val="4"/>
  </w:num>
  <w:num w:numId="10" w16cid:durableId="1466462459">
    <w:abstractNumId w:val="4"/>
  </w:num>
  <w:num w:numId="11" w16cid:durableId="631714834">
    <w:abstractNumId w:val="8"/>
  </w:num>
  <w:num w:numId="12" w16cid:durableId="1857501048">
    <w:abstractNumId w:val="8"/>
  </w:num>
  <w:num w:numId="13" w16cid:durableId="1891991469">
    <w:abstractNumId w:val="3"/>
  </w:num>
  <w:num w:numId="14" w16cid:durableId="73285128">
    <w:abstractNumId w:val="3"/>
  </w:num>
  <w:num w:numId="15" w16cid:durableId="1613854821">
    <w:abstractNumId w:val="2"/>
  </w:num>
  <w:num w:numId="16" w16cid:durableId="1144734344">
    <w:abstractNumId w:val="2"/>
  </w:num>
  <w:num w:numId="17" w16cid:durableId="1486698612">
    <w:abstractNumId w:val="1"/>
  </w:num>
  <w:num w:numId="18" w16cid:durableId="814225904">
    <w:abstractNumId w:val="1"/>
  </w:num>
  <w:num w:numId="19" w16cid:durableId="122120927">
    <w:abstractNumId w:val="0"/>
  </w:num>
  <w:num w:numId="20" w16cid:durableId="1421681733">
    <w:abstractNumId w:val="0"/>
  </w:num>
  <w:num w:numId="21" w16cid:durableId="1568956840">
    <w:abstractNumId w:val="9"/>
  </w:num>
  <w:num w:numId="22" w16cid:durableId="1391726657">
    <w:abstractNumId w:val="7"/>
  </w:num>
  <w:num w:numId="23" w16cid:durableId="1364018041">
    <w:abstractNumId w:val="6"/>
  </w:num>
  <w:num w:numId="24" w16cid:durableId="319312580">
    <w:abstractNumId w:val="5"/>
  </w:num>
  <w:num w:numId="25" w16cid:durableId="1590655144">
    <w:abstractNumId w:val="4"/>
  </w:num>
  <w:num w:numId="26" w16cid:durableId="244800126">
    <w:abstractNumId w:val="8"/>
  </w:num>
  <w:num w:numId="27" w16cid:durableId="703332419">
    <w:abstractNumId w:val="3"/>
  </w:num>
  <w:num w:numId="28" w16cid:durableId="1759403029">
    <w:abstractNumId w:val="2"/>
  </w:num>
  <w:num w:numId="29" w16cid:durableId="1834369451">
    <w:abstractNumId w:val="1"/>
  </w:num>
  <w:num w:numId="30" w16cid:durableId="189148211">
    <w:abstractNumId w:val="0"/>
  </w:num>
  <w:num w:numId="31" w16cid:durableId="1807509154">
    <w:abstractNumId w:val="9"/>
  </w:num>
  <w:num w:numId="32" w16cid:durableId="1657567125">
    <w:abstractNumId w:val="7"/>
  </w:num>
  <w:num w:numId="33" w16cid:durableId="1960331174">
    <w:abstractNumId w:val="6"/>
  </w:num>
  <w:num w:numId="34" w16cid:durableId="93287804">
    <w:abstractNumId w:val="5"/>
  </w:num>
  <w:num w:numId="35" w16cid:durableId="1838418464">
    <w:abstractNumId w:val="4"/>
  </w:num>
  <w:num w:numId="36" w16cid:durableId="479931708">
    <w:abstractNumId w:val="8"/>
  </w:num>
  <w:num w:numId="37" w16cid:durableId="720861244">
    <w:abstractNumId w:val="3"/>
  </w:num>
  <w:num w:numId="38" w16cid:durableId="2049259976">
    <w:abstractNumId w:val="2"/>
  </w:num>
  <w:num w:numId="39" w16cid:durableId="302927985">
    <w:abstractNumId w:val="1"/>
  </w:num>
  <w:num w:numId="40" w16cid:durableId="269355465">
    <w:abstractNumId w:val="0"/>
  </w:num>
  <w:num w:numId="41" w16cid:durableId="1331133259">
    <w:abstractNumId w:val="10"/>
  </w:num>
  <w:num w:numId="42" w16cid:durableId="2103261276">
    <w:abstractNumId w:val="10"/>
  </w:num>
  <w:num w:numId="43" w16cid:durableId="817110363">
    <w:abstractNumId w:val="10"/>
  </w:num>
  <w:num w:numId="44" w16cid:durableId="2055226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 0357, 0356, 0359 ir 0361/2025"/>
    <w:docVar w:name="dvlangue" w:val="LT"/>
    <w:docVar w:name="dvnumam" w:val="0"/>
    <w:docVar w:name="dvpe" w:val="776.179"/>
    <w:docVar w:name="dvtitre" w:val="2025 m. rugsejo 10 d. Europos Parlamento rezoliucija dėl Moldovos atsparumo Rusijos hibridinėms grėsmėms ir piktavališkam kišimuisi stiprinimo(2025/2811(RSP))"/>
  </w:docVars>
  <w:rsids>
    <w:rsidRoot w:val="002A4B86"/>
    <w:rsid w:val="00002272"/>
    <w:rsid w:val="00064002"/>
    <w:rsid w:val="000677B9"/>
    <w:rsid w:val="000831BA"/>
    <w:rsid w:val="000A42CC"/>
    <w:rsid w:val="000E7DD9"/>
    <w:rsid w:val="000F6A2B"/>
    <w:rsid w:val="0010095E"/>
    <w:rsid w:val="00125B37"/>
    <w:rsid w:val="00187494"/>
    <w:rsid w:val="001C3113"/>
    <w:rsid w:val="001F32AE"/>
    <w:rsid w:val="002767FF"/>
    <w:rsid w:val="002A4B86"/>
    <w:rsid w:val="002B18FE"/>
    <w:rsid w:val="002B5493"/>
    <w:rsid w:val="00332320"/>
    <w:rsid w:val="00343214"/>
    <w:rsid w:val="00361C00"/>
    <w:rsid w:val="003877F6"/>
    <w:rsid w:val="0039010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FCD"/>
    <w:rsid w:val="005C2568"/>
    <w:rsid w:val="005F1B17"/>
    <w:rsid w:val="006037C0"/>
    <w:rsid w:val="006631B6"/>
    <w:rsid w:val="00680577"/>
    <w:rsid w:val="006F74FA"/>
    <w:rsid w:val="00703E53"/>
    <w:rsid w:val="00731ADD"/>
    <w:rsid w:val="00734777"/>
    <w:rsid w:val="00747932"/>
    <w:rsid w:val="00751A4A"/>
    <w:rsid w:val="00756632"/>
    <w:rsid w:val="00762C74"/>
    <w:rsid w:val="00786EC0"/>
    <w:rsid w:val="0079295E"/>
    <w:rsid w:val="007B0F23"/>
    <w:rsid w:val="007D1690"/>
    <w:rsid w:val="007E22AD"/>
    <w:rsid w:val="00817416"/>
    <w:rsid w:val="00842779"/>
    <w:rsid w:val="00850246"/>
    <w:rsid w:val="00865F67"/>
    <w:rsid w:val="00881A7B"/>
    <w:rsid w:val="008840E5"/>
    <w:rsid w:val="00887B3E"/>
    <w:rsid w:val="008C2AC6"/>
    <w:rsid w:val="00930C23"/>
    <w:rsid w:val="0093193B"/>
    <w:rsid w:val="009509D8"/>
    <w:rsid w:val="00950B64"/>
    <w:rsid w:val="00981893"/>
    <w:rsid w:val="0098236C"/>
    <w:rsid w:val="009B4DE7"/>
    <w:rsid w:val="00A1687D"/>
    <w:rsid w:val="00A43E52"/>
    <w:rsid w:val="00A4678D"/>
    <w:rsid w:val="00A7582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2E2"/>
    <w:rsid w:val="00D834A0"/>
    <w:rsid w:val="00D85991"/>
    <w:rsid w:val="00D872DF"/>
    <w:rsid w:val="00D91E21"/>
    <w:rsid w:val="00DA7FCD"/>
    <w:rsid w:val="00E365E1"/>
    <w:rsid w:val="00E820A4"/>
    <w:rsid w:val="00EB006A"/>
    <w:rsid w:val="00EB1333"/>
    <w:rsid w:val="00EB4772"/>
    <w:rsid w:val="00ED169E"/>
    <w:rsid w:val="00ED4235"/>
    <w:rsid w:val="00EF73C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1EC3D"/>
  <w15:chartTrackingRefBased/>
  <w15:docId w15:val="{24EC8B8F-A803-45AE-BF4F-F95709FA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F73C2"/>
    <w:pPr>
      <w:spacing w:after="240"/>
      <w:ind w:left="567" w:hanging="567"/>
    </w:pPr>
  </w:style>
  <w:style w:type="paragraph" w:customStyle="1" w:styleId="EPComma">
    <w:name w:val="EPComma"/>
    <w:basedOn w:val="Normal"/>
    <w:rsid w:val="00EF73C2"/>
    <w:pPr>
      <w:spacing w:before="480" w:after="240"/>
    </w:pPr>
  </w:style>
  <w:style w:type="character" w:customStyle="1" w:styleId="NormalHanging12aChar">
    <w:name w:val="NormalHanging12a Char"/>
    <w:basedOn w:val="DefaultParagraphFont"/>
    <w:link w:val="NormalHanging12a"/>
    <w:locked/>
    <w:rsid w:val="00EF73C2"/>
    <w:rPr>
      <w:sz w:val="24"/>
      <w:lang w:val="lt-L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EF73C2"/>
    <w:pPr>
      <w:widowControl/>
      <w:spacing w:after="160" w:line="240" w:lineRule="exact"/>
    </w:pPr>
    <w:rPr>
      <w:sz w:val="20"/>
      <w:vertAlign w:val="superscript"/>
      <w:lang w:val="en-GB"/>
    </w:rPr>
  </w:style>
  <w:style w:type="character" w:styleId="Hyperlink">
    <w:name w:val="Hyperlink"/>
    <w:basedOn w:val="DefaultParagraphFont"/>
    <w:uiPriority w:val="99"/>
    <w:unhideWhenUsed/>
    <w:rsid w:val="00EF73C2"/>
    <w:rPr>
      <w:color w:val="0000FF"/>
      <w:u w:val="single"/>
    </w:rPr>
  </w:style>
  <w:style w:type="character" w:customStyle="1" w:styleId="highlight-diff">
    <w:name w:val="highlight-diff"/>
    <w:basedOn w:val="DefaultParagraphFont"/>
    <w:rsid w:val="00EF73C2"/>
  </w:style>
  <w:style w:type="character" w:styleId="Strong">
    <w:name w:val="Strong"/>
    <w:basedOn w:val="DefaultParagraphFont"/>
    <w:uiPriority w:val="22"/>
    <w:qFormat/>
    <w:rsid w:val="00EF73C2"/>
    <w:rPr>
      <w:b/>
      <w:bCs/>
    </w:rPr>
  </w:style>
  <w:style w:type="paragraph" w:styleId="Revision">
    <w:name w:val="Revision"/>
    <w:hidden/>
    <w:uiPriority w:val="99"/>
    <w:semiHidden/>
    <w:rsid w:val="001C3113"/>
    <w:rPr>
      <w:sz w:val="24"/>
      <w:lang w:val="lt-LT"/>
    </w:rPr>
  </w:style>
  <w:style w:type="character" w:styleId="UnresolvedMention">
    <w:name w:val="Unresolved Mention"/>
    <w:basedOn w:val="DefaultParagraphFont"/>
    <w:uiPriority w:val="99"/>
    <w:semiHidden/>
    <w:unhideWhenUsed/>
    <w:rsid w:val="001C3113"/>
    <w:rPr>
      <w:color w:val="605E5C"/>
      <w:shd w:val="clear" w:color="auto" w:fill="E1DFDD"/>
    </w:rPr>
  </w:style>
  <w:style w:type="character" w:styleId="FollowedHyperlink">
    <w:name w:val="FollowedHyperlink"/>
    <w:basedOn w:val="DefaultParagraphFont"/>
    <w:rsid w:val="009B4DE7"/>
    <w:rPr>
      <w:color w:val="954F72" w:themeColor="followedHyperlink"/>
      <w:u w:val="single"/>
    </w:rPr>
  </w:style>
  <w:style w:type="paragraph" w:styleId="EndnoteText">
    <w:name w:val="endnote text"/>
    <w:basedOn w:val="Normal"/>
    <w:link w:val="EndnoteTextChar"/>
    <w:rsid w:val="00A75821"/>
    <w:rPr>
      <w:sz w:val="20"/>
    </w:rPr>
  </w:style>
  <w:style w:type="character" w:customStyle="1" w:styleId="EndnoteTextChar">
    <w:name w:val="Endnote Text Char"/>
    <w:basedOn w:val="DefaultParagraphFont"/>
    <w:link w:val="EndnoteText"/>
    <w:rsid w:val="00A75821"/>
    <w:rPr>
      <w:lang w:val="lt-LT"/>
    </w:rPr>
  </w:style>
  <w:style w:type="character" w:styleId="EndnoteReference">
    <w:name w:val="endnote reference"/>
    <w:basedOn w:val="DefaultParagraphFont"/>
    <w:rsid w:val="00A758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zdg.md/en/kremlins-digital-army-an-undercover-investigation-its-paid-let-me-tell-you-its-paid-directly-from-moscow/" TargetMode="External"/><Relationship Id="rId7" Type="http://schemas.openxmlformats.org/officeDocument/2006/relationships/hyperlink" Target="https://www.thetablet.co.uk/news/bartholomew-accuses-russian-church-of-ethno-nationalist-heresy/" TargetMode="External"/><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C/2025/204/oj" TargetMode="External"/><Relationship Id="rId6" Type="http://schemas.openxmlformats.org/officeDocument/2006/relationships/hyperlink" Target="https://pace.coe.int/en/files/33808/html"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2551</Words>
  <Characters>17814</Characters>
  <Application>Microsoft Office Word</Application>
  <DocSecurity>0</DocSecurity>
  <Lines>148</Lines>
  <Paragraphs>40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P10_TA(2025)0191</vt:lpstr>
      <vt:lpstr>    Moldovos atsparumo Rusijos hibridinėms grėsmėms ir piktavališkam kišimuisi stipr</vt:lpstr>
      <vt:lpstr>        2025 m. rugsėjo 10 d. Europos Parlamento rezoliucija dėl Moldovos atsparumo Rusi</vt:lpstr>
    </vt:vector>
  </TitlesOfParts>
  <Company/>
  <LinksUpToDate>false</LinksUpToDate>
  <CharactersWithSpaces>20325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2025-09-10T14:09:00Z</dcterms:created>
  <dcterms:modified xsi:type="dcterms:W3CDTF">2025-09-10T14:09:00Z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B10-0355, 0357, 0356, 0359 ir 0361/2025</vt:lpwstr>
  </property>
  <property fmtid="{D5CDD505-2E9C-101B-9397-08002B2CF9AE}" pid="4" name="&lt;Type&gt;">
    <vt:lpwstr>RR</vt:lpwstr>
  </property>
</Properties>
</file>