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7005" w14:paraId="256E864D" w14:textId="77777777" w:rsidTr="0010095E">
        <w:trPr>
          <w:trHeight w:hRule="exact" w:val="1418"/>
        </w:trPr>
        <w:tc>
          <w:tcPr>
            <w:tcW w:w="6804" w:type="dxa"/>
            <w:shd w:val="clear" w:color="auto" w:fill="auto"/>
            <w:vAlign w:val="center"/>
          </w:tcPr>
          <w:p w14:paraId="0DEBE966" w14:textId="77777777" w:rsidR="00751A4A" w:rsidRPr="00377005" w:rsidRDefault="00ED647C" w:rsidP="0010095E">
            <w:pPr>
              <w:pStyle w:val="EPName"/>
            </w:pPr>
            <w:r w:rsidRPr="00377005">
              <w:t>Eiropas Parlaments</w:t>
            </w:r>
          </w:p>
          <w:p w14:paraId="2E65AA00" w14:textId="77777777" w:rsidR="00751A4A" w:rsidRPr="00377005" w:rsidRDefault="005F1B17" w:rsidP="005F1B17">
            <w:pPr>
              <w:pStyle w:val="EPTerm"/>
              <w:rPr>
                <w:rStyle w:val="HideTWBExt"/>
                <w:noProof w:val="0"/>
                <w:vanish w:val="0"/>
                <w:color w:val="auto"/>
              </w:rPr>
            </w:pPr>
            <w:r w:rsidRPr="00377005">
              <w:t>2024</w:t>
            </w:r>
            <w:r w:rsidR="00817416" w:rsidRPr="00377005">
              <w:t>-202</w:t>
            </w:r>
            <w:r w:rsidRPr="00377005">
              <w:t>9</w:t>
            </w:r>
          </w:p>
        </w:tc>
        <w:tc>
          <w:tcPr>
            <w:tcW w:w="2268" w:type="dxa"/>
            <w:shd w:val="clear" w:color="auto" w:fill="auto"/>
          </w:tcPr>
          <w:p w14:paraId="0D378178" w14:textId="77777777" w:rsidR="00751A4A" w:rsidRPr="00377005" w:rsidRDefault="00187494" w:rsidP="0010095E">
            <w:pPr>
              <w:pStyle w:val="EPLogo"/>
            </w:pPr>
            <w:r w:rsidRPr="00377005">
              <w:rPr>
                <w:noProof/>
                <w:lang w:eastAsia="ja-JP"/>
              </w:rPr>
              <w:drawing>
                <wp:inline distT="0" distB="0" distL="0" distR="0" wp14:anchorId="3B2CC633" wp14:editId="3FBC59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230A2C" w14:textId="77777777" w:rsidR="00D058B8" w:rsidRPr="00377005" w:rsidRDefault="00D058B8" w:rsidP="004C5D52">
      <w:pPr>
        <w:pStyle w:val="LineTop"/>
      </w:pPr>
    </w:p>
    <w:p w14:paraId="0749F76E" w14:textId="77777777" w:rsidR="00680577" w:rsidRPr="00377005" w:rsidRDefault="00ED647C" w:rsidP="00680577">
      <w:pPr>
        <w:pStyle w:val="EPBodyTA1"/>
      </w:pPr>
      <w:r w:rsidRPr="00377005">
        <w:t>PIEŅEMTIE TEKSTI</w:t>
      </w:r>
    </w:p>
    <w:p w14:paraId="3BA5E857" w14:textId="77777777" w:rsidR="00D058B8" w:rsidRPr="00377005" w:rsidRDefault="00D058B8" w:rsidP="00D058B8">
      <w:pPr>
        <w:pStyle w:val="LineBottom"/>
      </w:pPr>
    </w:p>
    <w:p w14:paraId="66CF1FFA" w14:textId="02341B9B" w:rsidR="00ED647C" w:rsidRPr="00377005" w:rsidRDefault="00ED647C" w:rsidP="00ED647C">
      <w:pPr>
        <w:pStyle w:val="ATHeading1"/>
      </w:pPr>
      <w:bookmarkStart w:id="0" w:name="TANumber"/>
      <w:r w:rsidRPr="00377005">
        <w:t>P10_TA(2025)0</w:t>
      </w:r>
      <w:bookmarkEnd w:id="0"/>
      <w:r w:rsidR="00461330" w:rsidRPr="00377005">
        <w:t>191</w:t>
      </w:r>
    </w:p>
    <w:p w14:paraId="330AB9E0" w14:textId="3684482D" w:rsidR="00ED647C" w:rsidRPr="00377005" w:rsidRDefault="00FB36EB" w:rsidP="00ED647C">
      <w:pPr>
        <w:pStyle w:val="ATHeading2"/>
      </w:pPr>
      <w:r w:rsidRPr="00377005">
        <w:rPr>
          <w:bCs/>
        </w:rPr>
        <w:t>Moldovas notur</w:t>
      </w:r>
      <w:r w:rsidRPr="00377005">
        <w:rPr>
          <w:rFonts w:hint="eastAsia"/>
          <w:bCs/>
        </w:rPr>
        <w:t>ī</w:t>
      </w:r>
      <w:r w:rsidRPr="00377005">
        <w:rPr>
          <w:bCs/>
        </w:rPr>
        <w:t>bas stiprin</w:t>
      </w:r>
      <w:r w:rsidRPr="00377005">
        <w:rPr>
          <w:rFonts w:hint="eastAsia"/>
          <w:bCs/>
        </w:rPr>
        <w:t>āš</w:t>
      </w:r>
      <w:r w:rsidRPr="00377005">
        <w:rPr>
          <w:bCs/>
        </w:rPr>
        <w:t>ana saist</w:t>
      </w:r>
      <w:r w:rsidRPr="00377005">
        <w:rPr>
          <w:rFonts w:hint="eastAsia"/>
          <w:bCs/>
        </w:rPr>
        <w:t>ī</w:t>
      </w:r>
      <w:r w:rsidRPr="00377005">
        <w:rPr>
          <w:bCs/>
        </w:rPr>
        <w:t>b</w:t>
      </w:r>
      <w:r w:rsidRPr="00377005">
        <w:rPr>
          <w:rFonts w:hint="eastAsia"/>
          <w:bCs/>
        </w:rPr>
        <w:t>ā</w:t>
      </w:r>
      <w:r w:rsidRPr="00377005">
        <w:rPr>
          <w:bCs/>
        </w:rPr>
        <w:t xml:space="preserve"> ar Krievijas hibr</w:t>
      </w:r>
      <w:r w:rsidRPr="00377005">
        <w:rPr>
          <w:rFonts w:hint="eastAsia"/>
          <w:bCs/>
        </w:rPr>
        <w:t>ī</w:t>
      </w:r>
      <w:r w:rsidRPr="00377005">
        <w:rPr>
          <w:bCs/>
        </w:rPr>
        <w:t xml:space="preserve">ddraudiem un </w:t>
      </w:r>
      <w:r w:rsidRPr="00377005">
        <w:rPr>
          <w:rFonts w:hint="eastAsia"/>
          <w:bCs/>
        </w:rPr>
        <w:t>ļ</w:t>
      </w:r>
      <w:r w:rsidRPr="00377005">
        <w:rPr>
          <w:bCs/>
        </w:rPr>
        <w:t>aunpr</w:t>
      </w:r>
      <w:r w:rsidRPr="00377005">
        <w:rPr>
          <w:rFonts w:hint="eastAsia"/>
          <w:bCs/>
        </w:rPr>
        <w:t>ā</w:t>
      </w:r>
      <w:r w:rsidRPr="00377005">
        <w:rPr>
          <w:bCs/>
        </w:rPr>
        <w:t>t</w:t>
      </w:r>
      <w:r w:rsidRPr="00377005">
        <w:rPr>
          <w:rFonts w:hint="eastAsia"/>
          <w:bCs/>
        </w:rPr>
        <w:t>ī</w:t>
      </w:r>
      <w:r w:rsidRPr="00377005">
        <w:rPr>
          <w:bCs/>
        </w:rPr>
        <w:t>gu iejauk</w:t>
      </w:r>
      <w:r w:rsidRPr="00377005">
        <w:rPr>
          <w:rFonts w:hint="eastAsia"/>
          <w:bCs/>
        </w:rPr>
        <w:t>š</w:t>
      </w:r>
      <w:r w:rsidRPr="00377005">
        <w:rPr>
          <w:bCs/>
        </w:rPr>
        <w:t>anos</w:t>
      </w:r>
    </w:p>
    <w:p w14:paraId="3D898A1C" w14:textId="14C63554" w:rsidR="00ED647C" w:rsidRPr="00377005" w:rsidRDefault="00ED647C" w:rsidP="00ED647C">
      <w:pPr>
        <w:rPr>
          <w:i/>
          <w:vanish/>
        </w:rPr>
      </w:pPr>
      <w:r w:rsidRPr="00377005">
        <w:rPr>
          <w:i/>
        </w:rPr>
        <w:fldChar w:fldCharType="begin"/>
      </w:r>
      <w:r w:rsidRPr="00377005">
        <w:rPr>
          <w:i/>
        </w:rPr>
        <w:instrText xml:space="preserve"> TC"(</w:instrText>
      </w:r>
      <w:bookmarkStart w:id="1" w:name="DocNumber"/>
      <w:r w:rsidR="00FB36EB" w:rsidRPr="00377005">
        <w:rPr>
          <w:i/>
        </w:rPr>
        <w:instrText>B10-0355, 0357, 0356, 0359 un 0361/2025</w:instrText>
      </w:r>
      <w:bookmarkEnd w:id="1"/>
      <w:r w:rsidRPr="00377005">
        <w:rPr>
          <w:i/>
        </w:rPr>
        <w:instrText xml:space="preserve">)"\l3 \n&gt; \* MERGEFORMAT </w:instrText>
      </w:r>
      <w:r w:rsidRPr="00377005">
        <w:rPr>
          <w:i/>
        </w:rPr>
        <w:fldChar w:fldCharType="end"/>
      </w:r>
    </w:p>
    <w:p w14:paraId="608435CD" w14:textId="77777777" w:rsidR="00ED647C" w:rsidRPr="00377005" w:rsidRDefault="00ED647C" w:rsidP="00ED647C">
      <w:pPr>
        <w:rPr>
          <w:vanish/>
        </w:rPr>
      </w:pPr>
      <w:bookmarkStart w:id="2" w:name="PE"/>
      <w:r w:rsidRPr="00377005">
        <w:rPr>
          <w:vanish/>
        </w:rPr>
        <w:t>PE776.179</w:t>
      </w:r>
      <w:bookmarkEnd w:id="2"/>
    </w:p>
    <w:p w14:paraId="4B10ED50" w14:textId="49B1BEE8" w:rsidR="00ED647C" w:rsidRPr="00377005" w:rsidRDefault="00ED647C" w:rsidP="00ED647C">
      <w:pPr>
        <w:pStyle w:val="ATHeading3"/>
      </w:pPr>
      <w:bookmarkStart w:id="3" w:name="Sujet"/>
      <w:r w:rsidRPr="00377005">
        <w:t xml:space="preserve">Eiropas Parlamenta 2025. gada </w:t>
      </w:r>
      <w:r w:rsidR="00FB36EB" w:rsidRPr="00377005">
        <w:t>10</w:t>
      </w:r>
      <w:r w:rsidRPr="00377005">
        <w:t xml:space="preserve">. </w:t>
      </w:r>
      <w:r w:rsidR="00FB36EB" w:rsidRPr="00377005">
        <w:t>septembra</w:t>
      </w:r>
      <w:r w:rsidRPr="00377005">
        <w:t xml:space="preserve"> rezolūcija par Moldovas noturības stiprināšanu saistībā ar Krievijas hibrīddraudiem un ļaunprātīgu iejaukšanos</w:t>
      </w:r>
      <w:bookmarkEnd w:id="3"/>
      <w:r w:rsidRPr="00377005">
        <w:t xml:space="preserve"> </w:t>
      </w:r>
      <w:bookmarkStart w:id="4" w:name="References"/>
      <w:r w:rsidRPr="00377005">
        <w:t>(2025/2811(RSP))</w:t>
      </w:r>
      <w:bookmarkEnd w:id="4"/>
    </w:p>
    <w:p w14:paraId="7EF5177E" w14:textId="77777777" w:rsidR="00AF1141" w:rsidRPr="00377005" w:rsidRDefault="00AF1141" w:rsidP="00AF1141">
      <w:pPr>
        <w:pStyle w:val="EPComma"/>
      </w:pPr>
      <w:bookmarkStart w:id="5" w:name="TextBodyBegin"/>
      <w:bookmarkEnd w:id="5"/>
      <w:r w:rsidRPr="00377005">
        <w:rPr>
          <w:i/>
        </w:rPr>
        <w:t>Eiropas Parlaments</w:t>
      </w:r>
      <w:r w:rsidRPr="00377005">
        <w:t>,</w:t>
      </w:r>
    </w:p>
    <w:p w14:paraId="1B932A9F" w14:textId="77777777" w:rsidR="00AF1141" w:rsidRPr="00377005" w:rsidRDefault="00AF1141" w:rsidP="00AF1141">
      <w:pPr>
        <w:pStyle w:val="NormalHanging12a"/>
      </w:pPr>
      <w:r w:rsidRPr="00377005">
        <w:t>–</w:t>
      </w:r>
      <w:r w:rsidRPr="00377005">
        <w:tab/>
        <w:t>ņemot vērā iepriekšējās rezolūcijas par Moldovu, jo īpaši 2025. gada 18. jūnija rezolūciju par Komisijas 2023. un 2024. gada ziņojumiem par Moldovu</w:t>
      </w:r>
      <w:r w:rsidRPr="00377005">
        <w:rPr>
          <w:vertAlign w:val="superscript"/>
        </w:rPr>
        <w:footnoteReference w:id="1"/>
      </w:r>
      <w:r w:rsidRPr="00377005">
        <w:t xml:space="preserve"> un 2024. gada 9. oktobra rezolūciju par pasākumiem spēcīgākai Moldovas noturībai pret Krievijas iejaukšanos gaidāmo prezidenta vēlēšanu kontekstā un saistībā ar konstitucionālo referendumu par integrāciju ES</w:t>
      </w:r>
      <w:r w:rsidRPr="00377005">
        <w:rPr>
          <w:vertAlign w:val="superscript"/>
        </w:rPr>
        <w:footnoteReference w:id="2"/>
      </w:r>
      <w:r w:rsidRPr="00377005">
        <w:t>,</w:t>
      </w:r>
    </w:p>
    <w:p w14:paraId="77D6D453" w14:textId="77777777" w:rsidR="00AF1141" w:rsidRPr="00377005" w:rsidRDefault="00AF1141" w:rsidP="00AF1141">
      <w:pPr>
        <w:pStyle w:val="NormalHanging12a"/>
      </w:pPr>
      <w:r w:rsidRPr="00377005">
        <w:t>–</w:t>
      </w:r>
      <w:r w:rsidRPr="00377005">
        <w:tab/>
        <w:t>ņemot vērā Asociācijas nolīgumu starp Eiropas Savienību un Eiropas Atomenerģijas kopienu un to dalībvalstīm, no vienas puses, un Moldovas Republiku, no otras puses</w:t>
      </w:r>
      <w:r w:rsidRPr="00377005">
        <w:rPr>
          <w:vertAlign w:val="superscript"/>
        </w:rPr>
        <w:footnoteReference w:id="3"/>
      </w:r>
      <w:r w:rsidRPr="00377005">
        <w:t>, kurš ietver padziļinātu un visaptverošu brīvās tirdzniecības zonu,</w:t>
      </w:r>
    </w:p>
    <w:p w14:paraId="079C67B2" w14:textId="77777777" w:rsidR="00AF1141" w:rsidRPr="00377005" w:rsidRDefault="00AF1141" w:rsidP="00AF1141">
      <w:pPr>
        <w:pStyle w:val="NormalHanging12a"/>
      </w:pPr>
      <w:r w:rsidRPr="00377005">
        <w:t>–</w:t>
      </w:r>
      <w:r w:rsidRPr="00377005">
        <w:tab/>
        <w:t>ņemot vērā Eiropadomes 2025. gada 27. jūnija secinājumus par Moldovu,</w:t>
      </w:r>
    </w:p>
    <w:p w14:paraId="1642CEBD" w14:textId="77777777" w:rsidR="00AF1141" w:rsidRPr="00377005" w:rsidRDefault="00AF1141" w:rsidP="00AF1141">
      <w:pPr>
        <w:pStyle w:val="NormalHanging12a"/>
      </w:pPr>
      <w:r w:rsidRPr="00377005">
        <w:t>–</w:t>
      </w:r>
      <w:r w:rsidRPr="00377005">
        <w:tab/>
        <w:t>ņemot vērā trīs ES valstu vai to valdību vadītāju (Francijas, Vācijas un Polijas) vizīti Moldovā 2025. gada 27. augustā un Rumānijas prezidenta vizīti Moldovā 2025. gada 31. augustā,</w:t>
      </w:r>
    </w:p>
    <w:p w14:paraId="1C01EF8B" w14:textId="77777777" w:rsidR="00AF1141" w:rsidRPr="00377005" w:rsidRDefault="00AF1141" w:rsidP="00AF1141">
      <w:pPr>
        <w:pStyle w:val="NormalHanging12a"/>
      </w:pPr>
      <w:r w:rsidRPr="00377005">
        <w:t>–</w:t>
      </w:r>
      <w:r w:rsidRPr="00377005">
        <w:tab/>
        <w:t>ņemot vērā Moldovas Republikas prezidentes Eiropas Parlamenta apmeklējumu 2025. gada 9. septembrī,</w:t>
      </w:r>
    </w:p>
    <w:p w14:paraId="114F7AE5" w14:textId="77777777" w:rsidR="00AF1141" w:rsidRPr="00377005" w:rsidRDefault="00AF1141" w:rsidP="00AF1141">
      <w:pPr>
        <w:pStyle w:val="NormalHanging12a"/>
      </w:pPr>
      <w:r w:rsidRPr="00377005">
        <w:t>–</w:t>
      </w:r>
      <w:r w:rsidRPr="00377005">
        <w:tab/>
        <w:t>ņemot vērā kopīgo deklarāciju pēc 2025. gada 4. jūlijā notikušā pirmā Moldovas Republikas un ES samita,</w:t>
      </w:r>
    </w:p>
    <w:p w14:paraId="312A5D0A" w14:textId="77777777" w:rsidR="00AF1141" w:rsidRPr="00377005" w:rsidRDefault="00AF1141" w:rsidP="00AF1141">
      <w:pPr>
        <w:pStyle w:val="NormalHanging12a"/>
      </w:pPr>
      <w:r w:rsidRPr="00377005">
        <w:t>–</w:t>
      </w:r>
      <w:r w:rsidRPr="00377005">
        <w:tab/>
        <w:t xml:space="preserve">ņemot vērā paplašināšanās komisāres vizīti Moldovā 2025. gada 9. maijā (Eiropas </w:t>
      </w:r>
      <w:r w:rsidRPr="00377005">
        <w:lastRenderedPageBreak/>
        <w:t>dienā),</w:t>
      </w:r>
    </w:p>
    <w:p w14:paraId="414004CD" w14:textId="77777777" w:rsidR="00AF1141" w:rsidRPr="00377005" w:rsidRDefault="00AF1141" w:rsidP="00AF1141">
      <w:pPr>
        <w:pStyle w:val="NormalHanging12a"/>
      </w:pPr>
      <w:r w:rsidRPr="00377005">
        <w:t>–</w:t>
      </w:r>
      <w:r w:rsidRPr="00377005">
        <w:tab/>
        <w:t>ņemot vērā Reglamenta 136. panta 2. un 4. punktu,</w:t>
      </w:r>
    </w:p>
    <w:p w14:paraId="500500D7" w14:textId="77777777" w:rsidR="00AF1141" w:rsidRPr="00377005" w:rsidRDefault="00AF1141" w:rsidP="00AF1141">
      <w:pPr>
        <w:pStyle w:val="NormalHanging12a"/>
      </w:pPr>
      <w:r w:rsidRPr="00377005">
        <w:t>A.</w:t>
      </w:r>
      <w:r w:rsidRPr="00377005">
        <w:tab/>
        <w:t>tā kā 2025. gada 28. septembrī Moldovas Republika rīkos parlamenta vēlēšanas, kas noteiks valsts turpmāko demokrātisko konsolidāciju un vēl lielāku progresu ceļā uz pievienošanos ES, kā arī tās kā brīvas un suverēnas demokrātijas nākotni ES; tā kā šīs parlamenta vēlēšanas notiek situācijā, kuru iezīmē pastāvīga Krievijas iejaukšanās un mēģinājumi destabilizēt politisko stāvokli valstī un demokrātiskus vēlēšanu procesus;</w:t>
      </w:r>
    </w:p>
    <w:p w14:paraId="6AFE262C" w14:textId="77777777" w:rsidR="00AF1141" w:rsidRPr="00377005" w:rsidRDefault="00AF1141" w:rsidP="00AF1141">
      <w:pPr>
        <w:pStyle w:val="NormalHanging12a"/>
      </w:pPr>
      <w:r w:rsidRPr="00377005">
        <w:t>B.</w:t>
      </w:r>
      <w:r w:rsidRPr="00377005">
        <w:tab/>
        <w:t>tā kā Moldova 2024. gada 20. oktobrī rīkoja referendumu, kura iznākums apstiprināja, ka pievienošanās ES tiks nostiprināta Moldovas konstitūcijā, neraugoties uz Krievijas nepieredzēti apjomīgo manipulatīvo iejaukšanos nolūkā destabilizēt valsti, tostarp politisko dalībnieku nelikumīgu finansēšanu, dezinformācijas kampaņām un kiberuzbrukumiem;</w:t>
      </w:r>
    </w:p>
    <w:p w14:paraId="330B5FAB" w14:textId="77777777" w:rsidR="00AF1141" w:rsidRPr="00377005" w:rsidRDefault="00AF1141" w:rsidP="00AF1141">
      <w:pPr>
        <w:pStyle w:val="NormalHanging12a"/>
        <w:rPr>
          <w:i/>
          <w:iCs/>
        </w:rPr>
      </w:pPr>
      <w:r w:rsidRPr="00377005">
        <w:t>C.</w:t>
      </w:r>
      <w:r w:rsidRPr="00377005">
        <w:tab/>
        <w:t>tā kā ir saņemti daudzi ziņojumi par Krievijas un Krievijas pastarpināto spēku dezinformācijas, destabilizācijas un iejaukšanās mēģinājumu atjaunošanu un pastiprināšanos, lai izjauktu Moldovas demokrātisko reformu un Eiropas integrācijas procesu, atjaunotu politisko kontroli pār to un vēl vairāk pilnveidotu hibrīdtaktiku pret Moldovu, Ukrainu un citām Eiropas valstīm, kā tas nesen notika Rumānijā;</w:t>
      </w:r>
    </w:p>
    <w:p w14:paraId="5661FC5C" w14:textId="77777777" w:rsidR="00AF1141" w:rsidRPr="00377005" w:rsidRDefault="00AF1141" w:rsidP="00AF1141">
      <w:pPr>
        <w:pStyle w:val="NormalHanging12a"/>
      </w:pPr>
      <w:r w:rsidRPr="00377005">
        <w:t>D.</w:t>
      </w:r>
      <w:r w:rsidRPr="00377005">
        <w:tab/>
        <w:t>tā kā pēc Augstākās drošības padomes 2025. gada 30. jūlija sanāksmes prezidente Maija Sandu iepazīstināja ar Moldovas specializēto iestāžu konstatējumiem par hibrīdkara metodēm, kuros bija apzināti 10 galvenie ārvalstu iejaukšanās instrumenti Moldovas politiskajos un vēlēšanu procesos;</w:t>
      </w:r>
    </w:p>
    <w:p w14:paraId="081B3C14" w14:textId="77777777" w:rsidR="00AF1141" w:rsidRPr="00377005" w:rsidRDefault="00AF1141" w:rsidP="00AF1141">
      <w:pPr>
        <w:pStyle w:val="NormalHanging12a"/>
      </w:pPr>
      <w:r w:rsidRPr="00377005">
        <w:t>E.</w:t>
      </w:r>
      <w:r w:rsidRPr="00377005">
        <w:tab/>
        <w:t xml:space="preserve">tā kā 2025. gada 15. jūlijā ES noteica sankcijas pret septiņām personām un trim vienībām, kas ir atbildīgas par darbībām ar mērķi destabilizēt, graut vai apdraudēt Moldovas suverenitāti un neatkarību, kā arī demokrātiju, tiesiskumu un stabilitāti valstī; tā kā šīs sankcijas ir vērstas pret </w:t>
      </w:r>
      <w:r w:rsidRPr="00377005">
        <w:rPr>
          <w:i/>
          <w:iCs/>
        </w:rPr>
        <w:t>Ilan Shor</w:t>
      </w:r>
      <w:r w:rsidRPr="00377005">
        <w:t xml:space="preserve"> tuvākajiem līdzgaitniekiem un aizliegtās partijas </w:t>
      </w:r>
      <w:r w:rsidRPr="00377005">
        <w:rPr>
          <w:i/>
          <w:iCs/>
        </w:rPr>
        <w:t>ȘOR</w:t>
      </w:r>
      <w:r w:rsidRPr="00377005">
        <w:t xml:space="preserve"> dalībniekiem — cilvēkiem, kuri ir aktīvi iesaistīti balsu pirkšanas shēmās un korumpētu politiķu piekukuļošanā;</w:t>
      </w:r>
    </w:p>
    <w:p w14:paraId="17DC78E6" w14:textId="77777777" w:rsidR="00AF1141" w:rsidRPr="00377005" w:rsidRDefault="00AF1141" w:rsidP="00AF1141">
      <w:pPr>
        <w:pStyle w:val="NormalHanging12a"/>
      </w:pPr>
      <w:r w:rsidRPr="00377005">
        <w:t>F.</w:t>
      </w:r>
      <w:r w:rsidRPr="00377005">
        <w:tab/>
        <w:t>tā kā Moldovas pilsoniskajai sabiedrībai un neatkarīgajiem medijiem ir izšķirīga nozīme dezinformācijas atklāšanā, noturības stiprināšanā un demokrātisko vērtību aizstāvēšanā; tā kā Moldovas Republikai ir izdevies ievērojami nostiprināt savu demokrātiju, turpināt reformu virzību un pilnveidot attiecības ar ES; tā kā šīs valsts demokrātiskās sistēmas uzlabojumus apliecina tās progress, kas reģistrēts dažādos starptautiskajos indeksos; tā kā Moldova ir panākusi ievērojamu progresu tiesu sistēmas reformēšanā, tostarp attiecībā uz tiesu iestāžu pārbaudi un pārstrukturēšanu, to neatkarības stiprināšanu un korupcijas apkarošanas regulējuma uzlabošanu; tā kā sabiedrības uzticēšanās demokrātiskajām iestādēm ir būtiska Moldovas stabilitātei un noturībai pret ļaunprātīgu iejaukšanos;</w:t>
      </w:r>
    </w:p>
    <w:p w14:paraId="12DF732F" w14:textId="28D35586" w:rsidR="00461330" w:rsidRPr="00377005" w:rsidRDefault="00377005" w:rsidP="00AF1141">
      <w:pPr>
        <w:pStyle w:val="NormalHanging12a"/>
      </w:pPr>
      <w:r w:rsidRPr="00377005">
        <w:t>G</w:t>
      </w:r>
      <w:r w:rsidR="00461330" w:rsidRPr="00377005">
        <w:t>.</w:t>
      </w:r>
      <w:r w:rsidR="00461330" w:rsidRPr="00377005">
        <w:tab/>
        <w:t xml:space="preserve">tā kā nesenā žurnālistikas pētījumā, kura ietvaros no 2024. gada slepens reportieris iefiltrējās Šora partijas tīklā, atklājās, ka, lai izplatītu Krievijas propagandu TikTok un Facebook, šajās platformās tika izveidoti simtiem viltus kontu, ko pārvaldīja Ilana Šora no Maskavas kontrolētā politiskā bloka “Uzvara” aktīvisti; tā kā šajos kontos publicētais pret Eiropu vērstais saturs, kas pilnībā atbilda Kremļa vēstījumiem, tika sistemātiski </w:t>
      </w:r>
      <w:r w:rsidR="00461330" w:rsidRPr="00377005">
        <w:lastRenderedPageBreak/>
        <w:t>uzraudzīts un koordinēts slepenās Telegram grupās un kanālos</w:t>
      </w:r>
      <w:r w:rsidR="00461330" w:rsidRPr="00377005">
        <w:rPr>
          <w:rStyle w:val="FootnoteReference"/>
        </w:rPr>
        <w:footnoteReference w:id="4"/>
      </w:r>
      <w:r w:rsidR="00461330" w:rsidRPr="00377005">
        <w:t xml:space="preserve">; </w:t>
      </w:r>
    </w:p>
    <w:p w14:paraId="0016DAC9" w14:textId="7F86A5AE" w:rsidR="00AF1141" w:rsidRPr="00377005" w:rsidRDefault="00377005" w:rsidP="00AF1141">
      <w:pPr>
        <w:pStyle w:val="NormalHanging12a"/>
      </w:pPr>
      <w:r w:rsidRPr="00377005">
        <w:t>H</w:t>
      </w:r>
      <w:r w:rsidR="00AF1141" w:rsidRPr="00377005">
        <w:t>.</w:t>
      </w:r>
      <w:r w:rsidR="00AF1141" w:rsidRPr="00377005">
        <w:tab/>
        <w:t>tā kā ir svarīgi publiski apliecināt nelokāmu solidaritāti ar Moldovas iedzīvotājiem, kurus ir nopietni skāris Krievijas agresijas karš pret Ukrainu, kā arī pastāvīgie mērķtiecīgie Krievijas hibrīddraudi ar mērķi politiski destabilizēt valsti, apdraudēt ekonomisko labklājību un vājināt sociālo kohēziju;</w:t>
      </w:r>
    </w:p>
    <w:p w14:paraId="07D41296" w14:textId="6B8F022A" w:rsidR="00AF1141" w:rsidRPr="00377005" w:rsidRDefault="00377005" w:rsidP="00AF1141">
      <w:pPr>
        <w:pStyle w:val="NormalHanging12a"/>
      </w:pPr>
      <w:r w:rsidRPr="00377005">
        <w:t>I</w:t>
      </w:r>
      <w:r w:rsidR="00AF1141" w:rsidRPr="00377005">
        <w:t>.</w:t>
      </w:r>
      <w:r w:rsidR="00AF1141" w:rsidRPr="00377005">
        <w:tab/>
        <w:t>tā kā saskaņā ar Moldovas aplēsēm Krievija propagandas un informācijas operācijās Moldovas Republikā jau ir ieguldījusi vairāk nekā 200 miljonus EUR, kas ir vairāk nekā 1 % no Moldovas IKP;</w:t>
      </w:r>
    </w:p>
    <w:p w14:paraId="6DD9B57F" w14:textId="6852EC22" w:rsidR="00AF1141" w:rsidRPr="00377005" w:rsidRDefault="00377005" w:rsidP="00AF1141">
      <w:pPr>
        <w:pStyle w:val="NormalHanging12a"/>
      </w:pPr>
      <w:r w:rsidRPr="00377005">
        <w:t>J</w:t>
      </w:r>
      <w:r w:rsidR="00AF1141" w:rsidRPr="00377005">
        <w:t>.</w:t>
      </w:r>
      <w:r w:rsidR="00AF1141" w:rsidRPr="00377005">
        <w:tab/>
        <w:t>tā kā Eiropas Parlamenta delegācijas dalība Eiropas Drošības un sadarbības organizācijas (EDSO) Demokrātisku iestāžu un cilvēktiesību biroja (</w:t>
      </w:r>
      <w:r w:rsidR="00AF1141" w:rsidRPr="00377005">
        <w:rPr>
          <w:i/>
          <w:iCs/>
        </w:rPr>
        <w:t>ODIHR</w:t>
      </w:r>
      <w:r w:rsidR="00AF1141" w:rsidRPr="00377005">
        <w:t>) starptautiskajā vēlēšanu novērošanas misijā saistībā ar Moldovas parlamenta vēlēšanām 2025. gada 28. septembrī liecina par Parlamenta apņemšanos atbalstīt vēlēšanu procesu integritāti un stiprināt demokrātiskās iestādes Moldovā;</w:t>
      </w:r>
    </w:p>
    <w:p w14:paraId="5414A8B0" w14:textId="5039BD53" w:rsidR="00AF1141" w:rsidRPr="00377005" w:rsidRDefault="00377005" w:rsidP="00AF1141">
      <w:pPr>
        <w:pStyle w:val="NormalHanging12a"/>
      </w:pPr>
      <w:r w:rsidRPr="00377005">
        <w:t>K</w:t>
      </w:r>
      <w:r w:rsidR="00AF1141" w:rsidRPr="00377005">
        <w:t>.</w:t>
      </w:r>
      <w:r w:rsidR="00AF1141" w:rsidRPr="00377005">
        <w:tab/>
        <w:t>tā kā Eiropadomes 2025. gada jūnija secinājumos tika atkārtoti apstiprināts pilnīgs atbalsts Moldovas virzībai uz ES un Padome tika aicināta veikt nākamos pasākumus pievienošanās procesā; tā kā ES paplašināšanās pamatā ir stingri nosacījumi un princips, ka katra kandidātvalsts tiek novērtēta pēc tās nopelniem un reformu progresa,</w:t>
      </w:r>
    </w:p>
    <w:p w14:paraId="379850C3" w14:textId="77777777" w:rsidR="00AF1141" w:rsidRPr="00377005" w:rsidRDefault="00AF1141" w:rsidP="00AF1141">
      <w:pPr>
        <w:pStyle w:val="NormalHanging12a"/>
      </w:pPr>
      <w:r w:rsidRPr="00377005">
        <w:t>1.</w:t>
      </w:r>
      <w:r w:rsidRPr="00377005">
        <w:tab/>
        <w:t>solidarizējas ar Moldovas Republikas iedzīvotājiem un atkārtoti pauž pilnīgu atbalstu šīs valsts neatkarībai, suverenitātei un teritoriālajai integritātei un tās centieniem aizsargāt demokrātisko procesu integritāti un ārpolitikas lēmumu suverenitāti un nodrošināt iedzīvotājiem sociālekonomiskās iespējas nākotnē; tāpēc aicina Krieviju respektēt Moldovas neatkarību, suverenitāti un teritoriālo integritāti un pārtraukt centienus graut Moldovas konstitucionālo kārtību un demokrātiskās iestādes;</w:t>
      </w:r>
    </w:p>
    <w:p w14:paraId="695F2719" w14:textId="77777777" w:rsidR="00AF1141" w:rsidRPr="00377005" w:rsidRDefault="00AF1141" w:rsidP="00AF1141">
      <w:pPr>
        <w:pStyle w:val="NormalHanging12a"/>
        <w:rPr>
          <w:szCs w:val="24"/>
        </w:rPr>
      </w:pPr>
      <w:r w:rsidRPr="00377005">
        <w:t>2.</w:t>
      </w:r>
      <w:r w:rsidRPr="00377005">
        <w:tab/>
        <w:t>nosoda Krievijas Federācijas, Krievijai lojālo oligarhu un Krievijas sponsorēto vietējo pastarpināto spēku atkārtotos mēģinājumus destabilizēt Moldovu, šķelt Moldovas sabiedrību un kavēt valsts demokrātiju un progresu virzībā uz pievienošanos ES, izmantojot hibrīduzbrukumus, manipulācijas ar energoapgādi, lai sasniegtu politiskus rezultātus, politisko dalībnieku nelikumīgu finansēšanu un dezinformācijas, manipulācijas un iebiedēšanas kampaņas, kas vērstas pret pilsoniskās sabiedrības organizācijām un neatkarīgiem medijiem;</w:t>
      </w:r>
    </w:p>
    <w:p w14:paraId="026BD742" w14:textId="77777777" w:rsidR="00AF1141" w:rsidRPr="00377005" w:rsidRDefault="00AF1141" w:rsidP="00AF1141">
      <w:pPr>
        <w:pStyle w:val="NormalHanging12a"/>
        <w:rPr>
          <w:szCs w:val="24"/>
        </w:rPr>
      </w:pPr>
      <w:r w:rsidRPr="00377005">
        <w:t>3.</w:t>
      </w:r>
      <w:r w:rsidRPr="00377005">
        <w:tab/>
        <w:t>nosoda Krievijas aizvien intensīvākās hibrīdoperācijas un iejaukšanās mēģinājumus pirms parlamenta vēlēšanām 2025. gada 28. septembrī, jo to mērķis nepārprotami ir destabilizēt valsti un apvērst tās demokrātisko virzību un suverēnos lēmumus, jo īpaši attiecībā uz dalību ES nākotnē;</w:t>
      </w:r>
    </w:p>
    <w:p w14:paraId="7E2DA509" w14:textId="77777777" w:rsidR="00AF1141" w:rsidRPr="00377005" w:rsidRDefault="00AF1141" w:rsidP="00AF1141">
      <w:pPr>
        <w:pStyle w:val="NormalHanging12a"/>
        <w:rPr>
          <w:szCs w:val="24"/>
          <w:shd w:val="clear" w:color="auto" w:fill="FFFFFF"/>
        </w:rPr>
      </w:pPr>
      <w:r w:rsidRPr="00377005">
        <w:t>4.</w:t>
      </w:r>
      <w:r w:rsidRPr="00377005">
        <w:tab/>
      </w:r>
      <w:r w:rsidRPr="00377005">
        <w:rPr>
          <w:shd w:val="clear" w:color="auto" w:fill="FFFFFF"/>
        </w:rPr>
        <w:t xml:space="preserve">atzinīgi vērtē Moldovas priekšzīmīgos centienus un stabilo progresu ar pievienošanos ES saistīto reformu īstenošanā, neraugoties uz būtiskām iekšējām un ārējām problēmām, tostarp Krievijas pilna mēroga agresijas karu pret Ukrainu un pret Moldovu tieši vērstiem Krievijas hibrīddraudiem, tādējādi ļaujot sākt pievienošanās sarunas 2024. gada jūnijā, proti, tikai sešus mēnešus pēc attiecīgā Eiropadomes 2023. gada 14. decembra lēmuma un mazāk nekā divus gadus pēc 2022. gada 3. marta, kad </w:t>
      </w:r>
      <w:r w:rsidRPr="00377005">
        <w:rPr>
          <w:shd w:val="clear" w:color="auto" w:fill="FFFFFF"/>
        </w:rPr>
        <w:lastRenderedPageBreak/>
        <w:t xml:space="preserve">Moldova iesniedza pieteikumu dalībai ES; </w:t>
      </w:r>
      <w:r w:rsidRPr="00377005">
        <w:rPr>
          <w:rStyle w:val="highlight-diff"/>
          <w:color w:val="000000"/>
          <w:shd w:val="clear" w:color="auto" w:fill="FFFFFF"/>
        </w:rPr>
        <w:t>aicina Padomi un Komisiju ievērot uz nopelniem balstītu principu, novērtējot katru kandidātvalsti atsevišķi un nodrošinot, ka progresu pievienošanās posmos, tostarp sarunu sadaļu atvēršanu, nosaka tās sasniegumi un apstākļi;</w:t>
      </w:r>
      <w:r w:rsidRPr="00377005">
        <w:t xml:space="preserve"> </w:t>
      </w:r>
      <w:r w:rsidRPr="00377005">
        <w:rPr>
          <w:shd w:val="clear" w:color="auto" w:fill="FFFFFF"/>
        </w:rPr>
        <w:t>atkārtoti pauž nelokāmu atbalstu Moldovas izredzēm pievienoties ES; turklāt mudina Padomi ātri sākt pievienošanās sarunas par 1. kopu (pamatjautājumi), atzīstot Moldovas ievērojamo progresu būtisku reformu īstenošanā;</w:t>
      </w:r>
    </w:p>
    <w:p w14:paraId="382154F7" w14:textId="77777777" w:rsidR="00AF1141" w:rsidRPr="00377005" w:rsidRDefault="00AF1141" w:rsidP="00AF1141">
      <w:pPr>
        <w:pStyle w:val="NormalHanging12a"/>
        <w:rPr>
          <w:szCs w:val="24"/>
        </w:rPr>
      </w:pPr>
      <w:r w:rsidRPr="00377005">
        <w:rPr>
          <w:shd w:val="clear" w:color="auto" w:fill="FFFFFF"/>
        </w:rPr>
        <w:t>5.</w:t>
      </w:r>
      <w:r w:rsidRPr="00377005">
        <w:rPr>
          <w:shd w:val="clear" w:color="auto" w:fill="FFFFFF"/>
        </w:rPr>
        <w:tab/>
        <w:t>aicina ES turpināt atbalstīt Moldovas Republiku brīvu, godīgu un pārredzamu vēlēšanu nodrošināšanā; uzsver starptautisko novērotāju būtisko lomu ne tikai vēlēšanu procesa uzraudzībā, bet arī ļaunprātīgas ārvalstu iejaukšanās, tostarp dezinformācijas, nelikumīgas finansēšanas un koordinētu kiberoperāciju vai ietekmēšanas operāciju, uzraudzībā un dokumentēšanā;</w:t>
      </w:r>
    </w:p>
    <w:p w14:paraId="71C55A86" w14:textId="77777777" w:rsidR="00AF1141" w:rsidRPr="00377005" w:rsidRDefault="00AF1141" w:rsidP="00AF1141">
      <w:pPr>
        <w:pStyle w:val="NormalHanging12a"/>
      </w:pPr>
      <w:r w:rsidRPr="00377005">
        <w:t>6.</w:t>
      </w:r>
      <w:r w:rsidRPr="00377005">
        <w:tab/>
        <w:t>pauž stingru pārliecību, ka Moldovas spēja nostiprināt pašreizējo progresu attiecībā uz reformām, kas saistītas ar pievienošanos ES, un saglabāt vērienīgo tempu virzībā uz dalību ES būs atkarīga no spēcīga un patiesa tās parlamenta atbalsta;</w:t>
      </w:r>
    </w:p>
    <w:p w14:paraId="3B2EBBDE" w14:textId="77777777" w:rsidR="00AF1141" w:rsidRPr="00377005" w:rsidRDefault="00AF1141" w:rsidP="00AF1141">
      <w:pPr>
        <w:pStyle w:val="NormalHanging12a"/>
      </w:pPr>
      <w:r w:rsidRPr="00377005">
        <w:t>7.</w:t>
      </w:r>
      <w:r w:rsidRPr="00377005">
        <w:tab/>
        <w:t>ar gandarījumu norāda uz ES centieniem sniegt politisku atbalstu Moldovai visaugstākajā līmenī, jo īpaši pirmo ES un Moldovas samitu Kišiņevā 2025. gada 4. jūlijā, ES valstu vai to valdību vadītāju (Francijas, Vācijas un Polijas) vizīti Moldovā 2025. gada 27. augustā un Rumānijas prezidenta vizīti Moldovā 2025. gada 31. augustā, norādot, ka visi šie pasākumi kalpoja tam, lai vēlreiz uzsvērtu Moldovas nepārprotamās izredzes pievienoties ES, pamatojoties uz nopelniem un demokrātijas principu ievērošanu;</w:t>
      </w:r>
    </w:p>
    <w:p w14:paraId="0AEA10CA" w14:textId="77777777" w:rsidR="00AF1141" w:rsidRPr="00377005" w:rsidRDefault="00AF1141" w:rsidP="00AF1141">
      <w:pPr>
        <w:pStyle w:val="NormalHanging12a"/>
        <w:rPr>
          <w:rStyle w:val="NormalHanging12aChar"/>
          <w:rFonts w:eastAsiaTheme="majorEastAsia"/>
          <w:color w:val="000000"/>
        </w:rPr>
      </w:pPr>
      <w:r w:rsidRPr="00377005">
        <w:t>8.</w:t>
      </w:r>
      <w:r w:rsidRPr="00377005">
        <w:tab/>
      </w:r>
      <w:r w:rsidRPr="00377005">
        <w:rPr>
          <w:rStyle w:val="NormalHanging12aChar"/>
          <w:color w:val="000000"/>
        </w:rPr>
        <w:t>atkārtoti aicina ES arī turpmāk papildināt savu politisko atbalstu ar finansiālo un tehnisko palīdzību Moldovas valdības centieniem apkarot ārvalstu iejaukšanos valsts demokrātiskajos procesos, tostarp pieņemot papildu sankciju sarakstus, kā tas tika darīts 2025. gada 15. jūlijā, piešķirt papildu atbalstu ES partnerības misijai (</w:t>
      </w:r>
      <w:r w:rsidRPr="00377005">
        <w:rPr>
          <w:rStyle w:val="NormalHanging12aChar"/>
          <w:i/>
          <w:iCs/>
          <w:color w:val="000000"/>
        </w:rPr>
        <w:t>EUPM</w:t>
      </w:r>
      <w:r w:rsidRPr="00377005">
        <w:rPr>
          <w:rStyle w:val="NormalHanging12aChar"/>
          <w:color w:val="000000"/>
        </w:rPr>
        <w:t>) Moldovā un apmainīties ar speciālajām zināšanām par ārvalstu īstenotu informācijas manipulāciju un iejaukšanos (</w:t>
      </w:r>
      <w:r w:rsidRPr="00377005">
        <w:rPr>
          <w:rStyle w:val="NormalHanging12aChar"/>
          <w:i/>
          <w:iCs/>
          <w:color w:val="000000"/>
        </w:rPr>
        <w:t>FIMI</w:t>
      </w:r>
      <w:r w:rsidRPr="00377005">
        <w:rPr>
          <w:rStyle w:val="NormalHanging12aChar"/>
          <w:color w:val="000000"/>
        </w:rPr>
        <w:t>), lai apkarotu hibrīddraudus un stiprinātu</w:t>
      </w:r>
      <w:r w:rsidRPr="00377005">
        <w:t xml:space="preserve"> </w:t>
      </w:r>
      <w:bookmarkStart w:id="6" w:name="_Hlk194942091"/>
      <w:r w:rsidRPr="00377005">
        <w:rPr>
          <w:rStyle w:val="NormalHanging12aChar"/>
          <w:color w:val="000000"/>
        </w:rPr>
        <w:t>noturību</w:t>
      </w:r>
      <w:r w:rsidRPr="00377005">
        <w:t>;</w:t>
      </w:r>
      <w:r w:rsidRPr="00377005">
        <w:rPr>
          <w:rStyle w:val="NormalHanging12aChar"/>
          <w:color w:val="000000"/>
        </w:rPr>
        <w:t xml:space="preserve"> atkārtoti aicina Moldovas iestādes un ES palielināt atbalstu neatkarīgiem medijiem un demokrātiju atbalstošajai pilsoniskajai sabiedrībai, lai žurnālisti valsts un reģionālā līmenī varētu vērsties pret </w:t>
      </w:r>
      <w:r w:rsidRPr="00377005">
        <w:rPr>
          <w:rStyle w:val="NormalHanging12aChar"/>
          <w:i/>
          <w:iCs/>
          <w:color w:val="000000"/>
        </w:rPr>
        <w:t>FIMI</w:t>
      </w:r>
      <w:r w:rsidRPr="00377005">
        <w:rPr>
          <w:rStyle w:val="NormalHanging12aChar"/>
          <w:color w:val="000000"/>
        </w:rPr>
        <w:t xml:space="preserve"> un uzlabot digitālo pratību;</w:t>
      </w:r>
      <w:bookmarkEnd w:id="6"/>
      <w:r w:rsidRPr="00377005">
        <w:rPr>
          <w:rStyle w:val="NormalHanging12aChar"/>
          <w:color w:val="000000"/>
        </w:rPr>
        <w:t xml:space="preserve"> atzinīgi vērtē Komisija paziņojumu par jauna Eiropas Digitālo mediju observatorijas (</w:t>
      </w:r>
      <w:r w:rsidRPr="00377005">
        <w:rPr>
          <w:rStyle w:val="NormalHanging12aChar"/>
          <w:i/>
          <w:iCs/>
          <w:color w:val="000000"/>
        </w:rPr>
        <w:t>EDMO</w:t>
      </w:r>
      <w:r w:rsidRPr="00377005">
        <w:rPr>
          <w:rStyle w:val="NormalHanging12aChar"/>
          <w:color w:val="000000"/>
        </w:rPr>
        <w:t xml:space="preserve">) reģionālā centra izveidi, lai atbalstītu Ukrainu un Moldovu dezinformācijas apkarošanā; mudina visas lielākās tiešsaistes platformas, jo īpaši </w:t>
      </w:r>
      <w:r w:rsidRPr="00377005">
        <w:rPr>
          <w:rStyle w:val="NormalHanging12aChar"/>
          <w:i/>
          <w:iCs/>
          <w:color w:val="000000"/>
        </w:rPr>
        <w:t>Meta</w:t>
      </w:r>
      <w:r w:rsidRPr="00377005">
        <w:rPr>
          <w:rStyle w:val="NormalHanging12aChar"/>
          <w:color w:val="000000"/>
        </w:rPr>
        <w:t xml:space="preserve">, </w:t>
      </w:r>
      <w:r w:rsidRPr="00377005">
        <w:rPr>
          <w:rStyle w:val="NormalHanging12aChar"/>
          <w:i/>
          <w:iCs/>
          <w:color w:val="000000"/>
        </w:rPr>
        <w:t>Google</w:t>
      </w:r>
      <w:r w:rsidRPr="00377005">
        <w:rPr>
          <w:rStyle w:val="NormalHanging12aChar"/>
          <w:color w:val="000000"/>
        </w:rPr>
        <w:t xml:space="preserve">, </w:t>
      </w:r>
      <w:r w:rsidRPr="00377005">
        <w:rPr>
          <w:rStyle w:val="NormalHanging12aChar"/>
          <w:i/>
          <w:iCs/>
          <w:color w:val="000000"/>
        </w:rPr>
        <w:t>Telegram</w:t>
      </w:r>
      <w:r w:rsidRPr="00377005">
        <w:rPr>
          <w:rStyle w:val="NormalHanging12aChar"/>
          <w:color w:val="000000"/>
        </w:rPr>
        <w:t xml:space="preserve">, </w:t>
      </w:r>
      <w:r w:rsidRPr="00377005">
        <w:rPr>
          <w:rStyle w:val="NormalHanging12aChar"/>
          <w:i/>
          <w:iCs/>
          <w:color w:val="000000"/>
        </w:rPr>
        <w:t>TikTok</w:t>
      </w:r>
      <w:r w:rsidRPr="00377005">
        <w:rPr>
          <w:rStyle w:val="NormalHanging12aChar"/>
          <w:color w:val="000000"/>
        </w:rPr>
        <w:t xml:space="preserve">, </w:t>
      </w:r>
      <w:r w:rsidRPr="00377005">
        <w:rPr>
          <w:rStyle w:val="NormalHanging12aChar"/>
          <w:i/>
          <w:iCs/>
          <w:color w:val="000000"/>
        </w:rPr>
        <w:t>Microsoft</w:t>
      </w:r>
      <w:r w:rsidRPr="00377005">
        <w:rPr>
          <w:rStyle w:val="NormalHanging12aChar"/>
          <w:color w:val="000000"/>
        </w:rPr>
        <w:t xml:space="preserve"> un </w:t>
      </w:r>
      <w:r w:rsidRPr="00377005">
        <w:rPr>
          <w:rStyle w:val="NormalHanging12aChar"/>
          <w:i/>
          <w:iCs/>
          <w:color w:val="000000"/>
        </w:rPr>
        <w:t>Rakuten</w:t>
      </w:r>
      <w:r w:rsidRPr="00377005">
        <w:rPr>
          <w:rStyle w:val="NormalHanging12aChar"/>
          <w:color w:val="000000"/>
        </w:rPr>
        <w:t xml:space="preserve">, cieši sadarboties ar Moldovas iestādēm, pilsonisko sabiedrību un jauno </w:t>
      </w:r>
      <w:r w:rsidRPr="00377005">
        <w:rPr>
          <w:rStyle w:val="NormalHanging12aChar"/>
          <w:i/>
          <w:iCs/>
          <w:color w:val="000000"/>
        </w:rPr>
        <w:t>EDMO</w:t>
      </w:r>
      <w:r w:rsidRPr="00377005">
        <w:rPr>
          <w:rStyle w:val="NormalHanging12aChar"/>
          <w:color w:val="000000"/>
        </w:rPr>
        <w:t xml:space="preserve"> centru; aicina Moldovu nekavējoties pieskaņot savus tiesību aktus ES Digitālo tirgu aktam</w:t>
      </w:r>
      <w:r w:rsidRPr="00377005">
        <w:rPr>
          <w:rStyle w:val="FootnoteReference"/>
          <w:color w:val="000000"/>
        </w:rPr>
        <w:footnoteReference w:id="5"/>
      </w:r>
      <w:r w:rsidRPr="00377005">
        <w:rPr>
          <w:rStyle w:val="NormalHanging12aChar"/>
          <w:color w:val="000000"/>
        </w:rPr>
        <w:t xml:space="preserve"> un Digitālo pakalpojumu aktam</w:t>
      </w:r>
      <w:r w:rsidRPr="00377005">
        <w:rPr>
          <w:rStyle w:val="FootnoteReference"/>
          <w:color w:val="000000"/>
        </w:rPr>
        <w:footnoteReference w:id="6"/>
      </w:r>
      <w:r w:rsidRPr="00377005">
        <w:rPr>
          <w:rStyle w:val="NormalHanging12aChar"/>
          <w:color w:val="000000"/>
        </w:rPr>
        <w:t>; aicina Komisiju sniegt Moldovai īpašu atbalstu šajā jomā;</w:t>
      </w:r>
    </w:p>
    <w:p w14:paraId="5092C064" w14:textId="77777777" w:rsidR="00AF1141" w:rsidRPr="00377005" w:rsidRDefault="00AF1141" w:rsidP="00AF1141">
      <w:pPr>
        <w:pStyle w:val="NormalHanging12a"/>
        <w:rPr>
          <w:szCs w:val="24"/>
        </w:rPr>
      </w:pPr>
      <w:r w:rsidRPr="00377005">
        <w:t>9.</w:t>
      </w:r>
      <w:r w:rsidRPr="00377005">
        <w:tab/>
        <w:t xml:space="preserve">mudina Moldovas iestādes pilnībā izmantot </w:t>
      </w:r>
      <w:r w:rsidRPr="00377005">
        <w:rPr>
          <w:i/>
          <w:iCs/>
        </w:rPr>
        <w:t>EUPM</w:t>
      </w:r>
      <w:r w:rsidRPr="00377005">
        <w:t xml:space="preserve"> speciālās zināšanas, lai pirms </w:t>
      </w:r>
      <w:r w:rsidRPr="00377005">
        <w:lastRenderedPageBreak/>
        <w:t>gaidāmajām parlamenta vēlēšanām 2025. gada 28. septembrī novērstu jebkādu atkārtotu iejaukšanos vēlēšanās; mudina Eiropas Ārējās darbības dienestu un Komisiju izmantot visus pieejamos ES instrumentus, lai atbalstītu Moldovu hibrīddraudu apkarošanā, tostarp Hibrīddraudu novēršanas ātrās reaģēšanas vienību, Kiberdrošības ātrās reaģēšanas vienību un ES kiberdrošības rezervi; atzinīgi vērtē Moldovas Stratēģiskās komunikācijas un dezinformācijas apkarošanas centra centienus koordinēt cīņu pret ārvalstu iejaukšanos starp dažādām Moldovas iestādēm, kā arī Valsts Kiberdrošības aģentūras un Valsts Kiberdrošības inovāciju institūta centienus; atkārtoti uzsver, ka ir svarīgi uzlabot informācijas apmaiņu un sadarbību izlūkošanas jomā starp Moldovu un ES un tās dalībvalstīm saistībā ar drošības apdraudējumiem; aicina ES izmantot Moldovā gūto pieredzi, lai aizsargātu pašas ES vēlēšanu procesus un demokrātijas institūcijas;</w:t>
      </w:r>
    </w:p>
    <w:p w14:paraId="28EBA036" w14:textId="77777777" w:rsidR="00AF1141" w:rsidRPr="00377005" w:rsidRDefault="00AF1141" w:rsidP="00AF1141">
      <w:pPr>
        <w:pStyle w:val="NormalHanging12a"/>
        <w:rPr>
          <w:szCs w:val="24"/>
        </w:rPr>
      </w:pPr>
      <w:r w:rsidRPr="00377005">
        <w:t>10.</w:t>
      </w:r>
      <w:r w:rsidRPr="00377005">
        <w:tab/>
        <w:t>norāda uz to, ka Moldova pastāvīgi pieskaņojas ES kopējās ārpolitikas un drošības politikas nostājām, kopš 2024. gada īsteno drošības un aizsardzības partnerību ar ES un ir pieņēmusi jaunu valsts aizsardzības stratēģiju 2024.–2034. gadam; tādēļ aicina dalībvalstis palielināt finansējumu Moldovai, izmantojot Eiropas Miera mehānismu, arī ņemot vērā to, ka Krievijas droni un raķetes atkārtoti pārkāpj Moldovas gaisa telpu, un iekļaut Moldovu kopīgajā aizsardzības iepirkumā, ko īsteno saskaņā ar Eiropas aizsardzības rūpniecības programmu; uzsver Moldovas lomu ES austrumu robežas un Melnās jūras reģiona drošības un stabilitātes nodrošināšanā saistībā ar humanitārajām un enerģētikas krīzēm, ko izraisījis Krievijas agresijas karš pret Ukrainu;</w:t>
      </w:r>
    </w:p>
    <w:p w14:paraId="726DEFF6" w14:textId="77777777" w:rsidR="00AF1141" w:rsidRPr="00377005" w:rsidRDefault="00AF1141" w:rsidP="00AF1141">
      <w:pPr>
        <w:pStyle w:val="NormalHanging12a"/>
      </w:pPr>
      <w:r w:rsidRPr="00377005">
        <w:t>11.</w:t>
      </w:r>
      <w:r w:rsidRPr="00377005">
        <w:tab/>
        <w:t>aicina Krievijas Federāciju izvest savus militāros spēkus, ekipējumu un munīciju no Piedņestras reģiona un atbalstīt konflikta miermīlīgu atrisināšanu saskaņā ar starptautiskajām tiesībām un Moldovas suverenitāti un teritoriālo integritāti;</w:t>
      </w:r>
    </w:p>
    <w:p w14:paraId="7E9BA0FB" w14:textId="6FFE3383" w:rsidR="00AF1141" w:rsidRPr="00377005" w:rsidRDefault="00AF1141" w:rsidP="00AF1141">
      <w:pPr>
        <w:pStyle w:val="NormalHanging12a"/>
      </w:pPr>
      <w:r w:rsidRPr="00377005">
        <w:t>12.</w:t>
      </w:r>
      <w:r w:rsidRPr="00377005">
        <w:tab/>
        <w:t>mudina Moldovas iestādes, pilsonisko sabiedrību un ES uzlabot stratēģisko komunikāciju, atspēkot Krievijas popularizētos nepatiesos vēstījumus par ES un tās politiku un vērsties pret tiem, kā arī uzsvērt konkrētos īstermiņa un ilgtermiņa ieguvumus, ko cilvēkiem visā Moldovā sniedz pievienošanās ES,</w:t>
      </w:r>
      <w:bookmarkStart w:id="7" w:name="_Hlk196923727"/>
      <w:r w:rsidRPr="00377005">
        <w:t xml:space="preserve"> īpašu uzmanību pievēršot komunikācijai tādos reģionos kā Gagauzija un sociālekonomiski nelabvēlīgās kopienās lauku apvidos;</w:t>
      </w:r>
      <w:bookmarkEnd w:id="7"/>
      <w:r w:rsidRPr="00377005">
        <w:t xml:space="preserve"> pauž gatavību arī turpmāk atbalstīt Moldovas parlamentu ar savstarpēji saskaņotām demokrātijas atbalsta darbībām; tādēļ iesaka pilnībā izmantot Eiropas Parlamenta vietējā biroja Kišiņevā sniegtās iespējas, lai izplatītu informāciju, apkarotu dezinformāciju un atbalstītu iedzīvotāju iesaistīšanos, tādējādi palīdzot stiprināt Moldovas demokrātisko noturību; pauž dziļas bažas par Krievijas plašo homofobijas izmantošanas kampaņu, tostarp iebiedēšanu un fiziskus uzbrukumus, un aicina Komisiju un dalībvalstis šajā sakarā sniegt savu devumu Moldovas sabiedrības noturībā un iestājoties par visu personu līdztiesību neatkarīgi no seksuālās orientācijas vai dzimtes identitātes;</w:t>
      </w:r>
    </w:p>
    <w:p w14:paraId="337BBDB0" w14:textId="75ACFF8A" w:rsidR="00AF1141" w:rsidRPr="00377005" w:rsidRDefault="00AF1141" w:rsidP="00461330">
      <w:pPr>
        <w:pStyle w:val="NormalHanging12a"/>
      </w:pPr>
      <w:r w:rsidRPr="00377005">
        <w:t>13.</w:t>
      </w:r>
      <w:r w:rsidRPr="00377005">
        <w:tab/>
      </w:r>
      <w:r w:rsidR="00461330" w:rsidRPr="00377005">
        <w:t xml:space="preserve">norāda, ka Krievijas Nacionālās drošības stratēģijā, ko prezidents Putins apstiprināja 2015. gada 31. decembrī, pamatojoties uz 2014. gada 25. decembra militāro doktrīnu, ir skaidri aizstāvētas t. s. “tradicionālās Krievijas garīgās un morālās vērtības” pret šķietamo Rietumu ietekmi, tādējādi apliecinot, ka Krievija šīs vērtības un to iestādes izmanto kā instrumentu stratēģiskiem mērķiem; pauž bažas par to, ka Krievija instrumentalizē t. s. “tradicionālās Krievijas vērtības”, un uzsver, ka viens no galvenajiem Krievijas propagandas kanāliem Moldovā ir ar Maskavu saistītā Kišiņevas un visas Moldovas metropolija, kas ir Krievijas Pareizticīgo baznīcas jurisdikcijā; uzsver, ka 2024. gada aprīlī Eiropas Padomes Parlamentārā asambleja atzina Krievijas </w:t>
      </w:r>
      <w:r w:rsidR="00461330" w:rsidRPr="00377005">
        <w:lastRenderedPageBreak/>
        <w:t>Pareizticīgo baznīcu par Kremļa propagandas instrumentu un 2024. gada augustā Konstantinopoles ekumēniskais patriarhs to nosodīja kā militāristisku, etnonacionālistisku un zaimojošu; nosoda to, ka Krievijas pastarpinātie spēki iebiedē Besarābijas Pareizticīgo metropolijas garīdzniekus</w:t>
      </w:r>
      <w:r w:rsidR="00461330" w:rsidRPr="00377005">
        <w:rPr>
          <w:rStyle w:val="FootnoteReference"/>
        </w:rPr>
        <w:footnoteReference w:id="7"/>
      </w:r>
      <w:r w:rsidR="00461330" w:rsidRPr="00377005">
        <w:t>;</w:t>
      </w:r>
    </w:p>
    <w:p w14:paraId="2D157D52" w14:textId="71B8167F" w:rsidR="00461330" w:rsidRPr="00377005" w:rsidRDefault="00461330" w:rsidP="00461330">
      <w:pPr>
        <w:pStyle w:val="NormalHanging12a"/>
      </w:pPr>
      <w:r w:rsidRPr="00377005">
        <w:t>1</w:t>
      </w:r>
      <w:r w:rsidR="00377005" w:rsidRPr="00377005">
        <w:t>4</w:t>
      </w:r>
      <w:r w:rsidRPr="00377005">
        <w:t>.</w:t>
      </w:r>
      <w:r w:rsidRPr="00377005">
        <w:tab/>
        <w:t>atzīst, ka padomju vara ir apspiedusi Besarābijas Pareizticīgo metropoliju; norāda, ka pēc tam, kad Padomju iestādes to patvaļīgi likvidēja, Besarābijas Pareizticīgā metropolija tika oficiāli atzīta tikai 2002. gadā pēc Eiropas Cilvēktiesību tiesas lēmuma;</w:t>
      </w:r>
    </w:p>
    <w:p w14:paraId="2D28D032" w14:textId="08D45A1B" w:rsidR="00AF1141" w:rsidRPr="00377005" w:rsidRDefault="00377005" w:rsidP="00AF1141">
      <w:pPr>
        <w:pStyle w:val="NormalHanging12a"/>
        <w:rPr>
          <w:szCs w:val="24"/>
        </w:rPr>
      </w:pPr>
      <w:r w:rsidRPr="00377005">
        <w:t>15</w:t>
      </w:r>
      <w:r w:rsidR="00AF1141" w:rsidRPr="00377005">
        <w:t>.</w:t>
      </w:r>
      <w:r w:rsidR="00AF1141" w:rsidRPr="00377005">
        <w:tab/>
        <w:t>norāda uz pilsoniskās sabiedrības organizāciju nozīmīgo ieguldījumu cīņā pret dezinformāciju un pret reformām vērsto politisko dalībnieku un Krievijas pastarpināto spēku ļaunprātīgo ietekmi, kā arī šo organizāciju ieguldījumu cilvēktiesību aizsardzībā, pārredzamības veicināšanā, kā arī demokrātisko un ar pievienošanos ES saistīto reformu pārvaldības un progresa uzraudzībā;</w:t>
      </w:r>
    </w:p>
    <w:p w14:paraId="11C7DE0A" w14:textId="559172C8" w:rsidR="00AF1141" w:rsidRPr="00377005" w:rsidRDefault="00AF1141" w:rsidP="00AF1141">
      <w:pPr>
        <w:pStyle w:val="NormalHanging12a"/>
        <w:rPr>
          <w:szCs w:val="24"/>
        </w:rPr>
      </w:pPr>
      <w:r w:rsidRPr="00377005">
        <w:t>1</w:t>
      </w:r>
      <w:r w:rsidR="00377005" w:rsidRPr="00377005">
        <w:t>6</w:t>
      </w:r>
      <w:r w:rsidRPr="00377005">
        <w:t>.</w:t>
      </w:r>
      <w:r w:rsidRPr="00377005">
        <w:tab/>
        <w:t>uzsver, ka visaptverošai tiesu sistēmas reformai un cīņai pret korupciju ir izšķiroša nozīme gan Moldovas noturībā pret ārvalstu iejaukšanos un hibrīddraudiem, gan demokrātisko un ar pievienošanos ES saistīto reformu sekmīgā īstenošanā; atzīst Moldovas pastāvīgos centienus izveidot neatkarīgu, objektīvu, atbildīgu un profesionālu tiesu sistēmu un līdz 2026. gada beigām pabeigt izvērtēšanas procedūru; uzsver, ka ir jāuzlabo koordinācija starp visām galvenajām korupcijas apkarošanas un tiesu iestādēm, lai pilnībā īstenotu visaptverošas reformas tiesiskuma jomā, panāktu pārliecinošus rezultātus attiecībā uz efektīvu kriminālvajāšanu korupcijas lietās, vienlaikus ievērojot likumā paredzēto kārtību un tiesības uz taisnīgu tiesu, un saglabātu sabiedrības uzticēšanos demokrātijas institūcijām un reformu procesam; tādēļ aicina nākamo valdību saglabāt pašreizējo apņēmību un pabeigt tiesiskuma reformas;</w:t>
      </w:r>
    </w:p>
    <w:p w14:paraId="3B9DF13C" w14:textId="47ED4C9B" w:rsidR="00AF1141" w:rsidRPr="00377005" w:rsidRDefault="00AF1141" w:rsidP="00AF1141">
      <w:pPr>
        <w:pStyle w:val="NormalHanging12a"/>
      </w:pPr>
      <w:r w:rsidRPr="00377005">
        <w:t>1</w:t>
      </w:r>
      <w:r w:rsidR="00377005" w:rsidRPr="00377005">
        <w:t>7</w:t>
      </w:r>
      <w:r w:rsidRPr="00377005">
        <w:t>.</w:t>
      </w:r>
      <w:r w:rsidRPr="00377005">
        <w:tab/>
        <w:t>uzsver enerģētiskās neatkarības un savienotības īpaši būtisko nozīmi, lai palielinātu noturību pret Krievijas hibrīddraudiem enerģētikas nozarē, un tādēļ aicina ātrāk īstenot izaugsmes plānu; nosoda to, ka Krievija turpina izmantot energoapgādi par ieroci, un atzinīgi vērtē Moldovas progresu savu energoresursu dažādošanā, atjaunīgo energoresursu un enerģijas uzkrāšanas sistēmu ieviešanā, atkarības no Krievijas gāzes samazināšanā un integrācijā ES enerģijas tirgū;</w:t>
      </w:r>
    </w:p>
    <w:p w14:paraId="48FDEE5C" w14:textId="092DEE73" w:rsidR="00461330" w:rsidRPr="00377005" w:rsidRDefault="00461330" w:rsidP="00AF1141">
      <w:pPr>
        <w:pStyle w:val="NormalHanging12a"/>
        <w:rPr>
          <w:szCs w:val="24"/>
        </w:rPr>
      </w:pPr>
      <w:r w:rsidRPr="00377005">
        <w:rPr>
          <w:szCs w:val="24"/>
        </w:rPr>
        <w:t>1</w:t>
      </w:r>
      <w:r w:rsidR="00377005" w:rsidRPr="00377005">
        <w:rPr>
          <w:szCs w:val="24"/>
        </w:rPr>
        <w:t>8</w:t>
      </w:r>
      <w:r w:rsidRPr="00377005">
        <w:rPr>
          <w:szCs w:val="24"/>
        </w:rPr>
        <w:t>.</w:t>
      </w:r>
      <w:r w:rsidRPr="00377005">
        <w:rPr>
          <w:szCs w:val="24"/>
        </w:rPr>
        <w:tab/>
        <w:t>uzteic Moldovas Republiku par sasniegto ievērojamo progresu Krievijas energoresursu izmantošanas pakāpeniskā izbeigšanā, savas energoresursu struktūras dekarbonizācijas un digitalizācijas paātrināšanā un integrācijā ES enerģijas tirgū; atkārtoti aicina ES un tās dalībvalstis arī turpmāk atbalstīt Moldovas enerģētisko drošību, atbalstot jaunu elektrotīklu starpsavienojumu izbūvi ar kaimiņvalstīm un to finansēšanu, energoefektivitātes veicināšanu un atjaunojamo energoresursu un enerģijas uzglabāšanas sistēmu izmantošanu saskaņā ar to nacionālajos enerģētikas un klimata plānos noteiktajiem mērķrādītājiem;</w:t>
      </w:r>
    </w:p>
    <w:p w14:paraId="353C6F34" w14:textId="75A0AA00" w:rsidR="00AF1141" w:rsidRPr="00377005" w:rsidRDefault="00AF1141" w:rsidP="00AF1141">
      <w:pPr>
        <w:pStyle w:val="NormalHanging12a"/>
        <w:rPr>
          <w:szCs w:val="24"/>
        </w:rPr>
      </w:pPr>
      <w:r w:rsidRPr="00377005">
        <w:t>1</w:t>
      </w:r>
      <w:r w:rsidR="00377005" w:rsidRPr="00377005">
        <w:t>9</w:t>
      </w:r>
      <w:r w:rsidRPr="00377005">
        <w:t>.</w:t>
      </w:r>
      <w:r w:rsidRPr="00377005">
        <w:tab/>
        <w:t xml:space="preserve">atzinīgi vērtē 1,9 miljardus EUR vērtā Moldovas izaugsmes plāna raito pieņemšanu, norādot, ka šis ir vēl nepieredzēta līmeņa atbalsts, kura mērķis ir stimulēt Moldovas ekonomiku un palīdzēt valstij straujāk virzīties uz pievienošanos ES, paātrinot nozīmīgākās reformas tādās nozarēs kā enerģētika, vide, digitālā nozare, transports u. c.; atzinīgi vērtē priekšfinansējuma izmaksu 270 miljonu EUR apmērā no 1,9 miljardus </w:t>
      </w:r>
      <w:r w:rsidRPr="00377005">
        <w:lastRenderedPageBreak/>
        <w:t>vērtā izaugsmes plāna un aicina ātri izmaksāt pirmo kārtējo maksājumu, lai atbalstītu būtiskas reformas infrastruktūras, cilvēkkapitāla, uzņēmējdarbības attīstības un digitālās un zaļās pārkārtošanās jomā; mudina ES un Moldovu paātrināt valsts pakāpenisko integrāciju ES vienotajā tirgū, lai sniegtu taustāmus sociālekonomiskos ieguvumus pat pirms oficiālās pievienošanās ES; atzinīgi vērtē neseno vienošanos pārskatīt un atjaunināt tirdzniecības noteikumus, ko paredz ES un Moldovas padziļinātās un visaptverošās brīvās tirdzniecības zona, lai tādējādi nodrošinātu vēl neliberalizētajam Moldovas lauksaimniecības produktu eksportam lielāku piekļuvi tirgum; atbalsta Moldovas iekļaušanu pirmspievienošanās instrumentā saskaņā ar nākamo daudzgadu finanšu shēmu; atzinīgi vērtē Padomes 2025. gada 25. jūlija lēmumu no 2026. gada 1. janvāra integrēt Moldovu “viesabonēšana kā mājās” teritorijā pēc 2025. gada 14. jūlijā pieņemta līdzīga lēmuma attiecībā uz Ukrainu;</w:t>
      </w:r>
    </w:p>
    <w:p w14:paraId="6A82E0A6" w14:textId="2FA6BE15" w:rsidR="00EE4A1E" w:rsidRPr="00377005" w:rsidRDefault="00377005" w:rsidP="00EE4A1E">
      <w:pPr>
        <w:pStyle w:val="NormalHanging12a"/>
      </w:pPr>
      <w:r w:rsidRPr="00377005">
        <w:t>20</w:t>
      </w:r>
      <w:r w:rsidR="00AF1141" w:rsidRPr="00377005">
        <w:t>.</w:t>
      </w:r>
      <w:r w:rsidR="00AF1141" w:rsidRPr="00377005">
        <w:tab/>
        <w:t>uzdod priekšsēdētājai šo rezolūciju nosūtīt Komisijas priekšsēdētājas vietniecei / Savienības Augstajai pārstāvei ārlietās un drošības politikas jautājumos, Padomei, Komisijai, dalībvalstu valdībām un parlamentiem, Eiropas Padomei, Eiropas Drošības un sadarbības organizācijai un Moldovas prezidentei, valdībai un parlamentam.</w:t>
      </w:r>
    </w:p>
    <w:p w14:paraId="55F89286" w14:textId="78B8DCCB" w:rsidR="00E365E1" w:rsidRPr="00377005" w:rsidRDefault="00E365E1" w:rsidP="00ED647C"/>
    <w:sectPr w:rsidR="00E365E1" w:rsidRPr="00377005" w:rsidSect="00EE4A1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B576D" w14:textId="77777777" w:rsidR="00ED647C" w:rsidRPr="00EE4A1E" w:rsidRDefault="00ED647C">
      <w:r w:rsidRPr="00EE4A1E">
        <w:separator/>
      </w:r>
    </w:p>
  </w:endnote>
  <w:endnote w:type="continuationSeparator" w:id="0">
    <w:p w14:paraId="2463696D" w14:textId="77777777" w:rsidR="00ED647C" w:rsidRPr="00EE4A1E" w:rsidRDefault="00ED647C">
      <w:r w:rsidRPr="00EE4A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BC088" w14:textId="77777777" w:rsidR="00064002" w:rsidRPr="00EE4A1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3F52E" w14:textId="77777777" w:rsidR="00064002" w:rsidRPr="00EE4A1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80F4" w14:textId="77777777" w:rsidR="00064002" w:rsidRPr="00EE4A1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F4794" w14:textId="77777777" w:rsidR="00ED647C" w:rsidRPr="00EE4A1E" w:rsidRDefault="00ED647C">
      <w:r w:rsidRPr="00EE4A1E">
        <w:separator/>
      </w:r>
    </w:p>
  </w:footnote>
  <w:footnote w:type="continuationSeparator" w:id="0">
    <w:p w14:paraId="24F3A4AB" w14:textId="77777777" w:rsidR="00ED647C" w:rsidRPr="00EE4A1E" w:rsidRDefault="00ED647C">
      <w:r w:rsidRPr="00EE4A1E">
        <w:continuationSeparator/>
      </w:r>
    </w:p>
  </w:footnote>
  <w:footnote w:id="1">
    <w:p w14:paraId="765BB75F" w14:textId="31833BB0" w:rsidR="00AF1141" w:rsidRPr="00EE4A1E" w:rsidRDefault="00AF1141" w:rsidP="00EE4A1E">
      <w:pPr>
        <w:pStyle w:val="FootnoteText"/>
        <w:ind w:left="567" w:hanging="567"/>
        <w:rPr>
          <w:sz w:val="24"/>
          <w:lang w:val="lv-LV"/>
        </w:rPr>
      </w:pPr>
      <w:r w:rsidRPr="00EE4A1E">
        <w:rPr>
          <w:rStyle w:val="FootnoteReference"/>
          <w:sz w:val="24"/>
          <w:lang w:val="lv-LV"/>
        </w:rPr>
        <w:footnoteRef/>
      </w:r>
      <w:r w:rsidR="00EE4A1E" w:rsidRPr="00EE4A1E">
        <w:rPr>
          <w:sz w:val="24"/>
          <w:lang w:val="lv-LV"/>
        </w:rPr>
        <w:t xml:space="preserve"> </w:t>
      </w:r>
      <w:r w:rsidR="00EE4A1E" w:rsidRPr="00EE4A1E">
        <w:rPr>
          <w:sz w:val="24"/>
          <w:lang w:val="lv-LV"/>
        </w:rPr>
        <w:tab/>
      </w:r>
      <w:r w:rsidRPr="00EE4A1E">
        <w:rPr>
          <w:sz w:val="24"/>
          <w:lang w:val="lv-LV"/>
        </w:rPr>
        <w:t>Pieņemtie teksti, P10_TA(2025)0131.</w:t>
      </w:r>
    </w:p>
  </w:footnote>
  <w:footnote w:id="2">
    <w:p w14:paraId="3796ABCD" w14:textId="78B314C5" w:rsidR="00AF1141" w:rsidRPr="00EE4A1E" w:rsidRDefault="00AF1141" w:rsidP="00EE4A1E">
      <w:pPr>
        <w:pStyle w:val="FootnoteText"/>
        <w:ind w:left="567" w:hanging="567"/>
        <w:rPr>
          <w:sz w:val="24"/>
          <w:lang w:val="lv-LV"/>
        </w:rPr>
      </w:pPr>
      <w:r w:rsidRPr="00EE4A1E">
        <w:rPr>
          <w:rStyle w:val="FootnoteReference"/>
          <w:sz w:val="24"/>
          <w:lang w:val="lv-LV"/>
        </w:rPr>
        <w:footnoteRef/>
      </w:r>
      <w:r w:rsidR="00EE4A1E" w:rsidRPr="00EE4A1E">
        <w:rPr>
          <w:sz w:val="24"/>
          <w:lang w:val="lv-LV"/>
        </w:rPr>
        <w:t xml:space="preserve"> </w:t>
      </w:r>
      <w:r w:rsidR="00EE4A1E" w:rsidRPr="00EE4A1E">
        <w:rPr>
          <w:sz w:val="24"/>
          <w:lang w:val="lv-LV"/>
        </w:rPr>
        <w:tab/>
      </w:r>
      <w:r w:rsidRPr="00EE4A1E">
        <w:rPr>
          <w:sz w:val="24"/>
          <w:lang w:val="lv-LV"/>
        </w:rPr>
        <w:t xml:space="preserve">OV C, C/2025/204, 14.1.2025., ELI: </w:t>
      </w:r>
      <w:hyperlink r:id="rId1" w:history="1">
        <w:r w:rsidR="00FB36EB" w:rsidRPr="00461330">
          <w:rPr>
            <w:rStyle w:val="Hyperlink"/>
            <w:sz w:val="24"/>
            <w:lang w:val="fi-FI"/>
          </w:rPr>
          <w:t>http://data.europa.eu/eli/C/2025/204/oj</w:t>
        </w:r>
      </w:hyperlink>
      <w:r w:rsidRPr="00EE4A1E">
        <w:rPr>
          <w:sz w:val="24"/>
          <w:lang w:val="lv-LV"/>
        </w:rPr>
        <w:t>.</w:t>
      </w:r>
    </w:p>
  </w:footnote>
  <w:footnote w:id="3">
    <w:p w14:paraId="2A49ADB7" w14:textId="2AC82997" w:rsidR="00AF1141" w:rsidRPr="00EE4A1E" w:rsidRDefault="00AF1141" w:rsidP="00EE4A1E">
      <w:pPr>
        <w:pStyle w:val="FootnoteText"/>
        <w:ind w:left="567" w:hanging="567"/>
        <w:rPr>
          <w:sz w:val="24"/>
          <w:lang w:val="lv-LV"/>
        </w:rPr>
      </w:pPr>
      <w:r w:rsidRPr="00EE4A1E">
        <w:rPr>
          <w:rStyle w:val="FootnoteReference"/>
          <w:sz w:val="24"/>
          <w:lang w:val="lv-LV"/>
        </w:rPr>
        <w:footnoteRef/>
      </w:r>
      <w:r w:rsidR="00EE4A1E" w:rsidRPr="00EE4A1E">
        <w:rPr>
          <w:sz w:val="24"/>
          <w:lang w:val="lv-LV"/>
        </w:rPr>
        <w:t xml:space="preserve"> </w:t>
      </w:r>
      <w:r w:rsidR="00EE4A1E" w:rsidRPr="00EE4A1E">
        <w:rPr>
          <w:sz w:val="24"/>
          <w:lang w:val="lv-LV"/>
        </w:rPr>
        <w:tab/>
      </w:r>
      <w:r w:rsidRPr="00EE4A1E">
        <w:rPr>
          <w:sz w:val="24"/>
          <w:lang w:val="lv-LV"/>
        </w:rPr>
        <w:t>OV L 260, 30.8.2014., 4. lpp., ELI: </w:t>
      </w:r>
      <w:hyperlink r:id="rId2" w:tooltip="Piekļuve dokumentam ar tā ELI URI." w:history="1">
        <w:r w:rsidRPr="00EE4A1E">
          <w:rPr>
            <w:rStyle w:val="Hyperlink"/>
            <w:sz w:val="24"/>
            <w:lang w:val="lv-LV"/>
          </w:rPr>
          <w:t>http://data.europa.eu/eli/agree_internation/2014/492/oj</w:t>
        </w:r>
      </w:hyperlink>
      <w:r w:rsidRPr="00EE4A1E">
        <w:rPr>
          <w:sz w:val="24"/>
          <w:lang w:val="lv-LV"/>
        </w:rPr>
        <w:t>.</w:t>
      </w:r>
    </w:p>
  </w:footnote>
  <w:footnote w:id="4">
    <w:p w14:paraId="4069B0BD" w14:textId="7C4E6CBD" w:rsidR="00461330" w:rsidRPr="00377005" w:rsidRDefault="00461330">
      <w:pPr>
        <w:pStyle w:val="FootnoteText"/>
        <w:rPr>
          <w:sz w:val="24"/>
          <w:szCs w:val="24"/>
          <w:lang w:val="lv-LV"/>
        </w:rPr>
      </w:pPr>
      <w:r w:rsidRPr="00377005">
        <w:rPr>
          <w:rStyle w:val="FootnoteReference"/>
          <w:sz w:val="24"/>
          <w:szCs w:val="24"/>
        </w:rPr>
        <w:footnoteRef/>
      </w:r>
      <w:r w:rsidRPr="00377005">
        <w:rPr>
          <w:sz w:val="24"/>
          <w:szCs w:val="24"/>
          <w:lang w:val="lv-LV"/>
        </w:rPr>
        <w:t xml:space="preserve"> </w:t>
      </w:r>
      <w:r w:rsidRPr="00377005">
        <w:rPr>
          <w:sz w:val="24"/>
          <w:szCs w:val="24"/>
          <w:lang w:val="lv-LV"/>
        </w:rPr>
        <w:tab/>
        <w:t>https:/www.zdg.md/en/kremlins-digital-army-an-undercover-investigation-its-paid-let-me-tell-you-its-paid-directly-from-moscow/.</w:t>
      </w:r>
    </w:p>
  </w:footnote>
  <w:footnote w:id="5">
    <w:p w14:paraId="679A21F1" w14:textId="1DA17BC7" w:rsidR="00AF1141" w:rsidRPr="00EE4A1E" w:rsidRDefault="00AF1141" w:rsidP="00EE4A1E">
      <w:pPr>
        <w:pStyle w:val="FootnoteText"/>
        <w:ind w:left="567" w:hanging="567"/>
        <w:rPr>
          <w:sz w:val="24"/>
          <w:lang w:val="lv-LV"/>
        </w:rPr>
      </w:pPr>
      <w:r w:rsidRPr="00EE4A1E">
        <w:rPr>
          <w:rStyle w:val="FootnoteReference"/>
          <w:sz w:val="24"/>
          <w:lang w:val="lv-LV"/>
        </w:rPr>
        <w:footnoteRef/>
      </w:r>
      <w:r w:rsidR="00EE4A1E" w:rsidRPr="00EE4A1E">
        <w:rPr>
          <w:sz w:val="24"/>
          <w:lang w:val="lv-LV"/>
        </w:rPr>
        <w:t xml:space="preserve"> </w:t>
      </w:r>
      <w:r w:rsidR="00EE4A1E" w:rsidRPr="00EE4A1E">
        <w:rPr>
          <w:sz w:val="24"/>
          <w:lang w:val="lv-LV"/>
        </w:rPr>
        <w:tab/>
      </w:r>
      <w:r w:rsidRPr="00EE4A1E">
        <w:rPr>
          <w:sz w:val="24"/>
          <w:lang w:val="lv-LV"/>
        </w:rPr>
        <w:t xml:space="preserve">Eiropas Parlamenta un Padomes Regula (ES) 2022/1925 (2022. gada 14. septembris) par sāncensīgiem un godīgiem tirgiem digitālajā nozarē un ar ko groza Direktīvas (ES) 2019/1937 un (ES) 2020/1828 (OV L 265, 12.10.2022., 1. lpp., ELI: </w:t>
      </w:r>
      <w:hyperlink r:id="rId3" w:history="1">
        <w:r w:rsidR="00FB36EB" w:rsidRPr="00461330">
          <w:rPr>
            <w:rStyle w:val="Hyperlink"/>
            <w:sz w:val="24"/>
            <w:lang w:val="lv-LV"/>
          </w:rPr>
          <w:t>http://data.europa.eu/eli/reg/2022/1925/oj</w:t>
        </w:r>
      </w:hyperlink>
      <w:r w:rsidRPr="00EE4A1E">
        <w:rPr>
          <w:sz w:val="24"/>
          <w:lang w:val="lv-LV"/>
        </w:rPr>
        <w:t>).</w:t>
      </w:r>
    </w:p>
  </w:footnote>
  <w:footnote w:id="6">
    <w:p w14:paraId="1F14F9F0" w14:textId="71CC46BE" w:rsidR="00AF1141" w:rsidRPr="00EE4A1E" w:rsidRDefault="00AF1141" w:rsidP="00EE4A1E">
      <w:pPr>
        <w:pStyle w:val="FootnoteText"/>
        <w:ind w:left="567" w:hanging="567"/>
        <w:rPr>
          <w:sz w:val="24"/>
          <w:lang w:val="lv-LV"/>
        </w:rPr>
      </w:pPr>
      <w:r w:rsidRPr="00EE4A1E">
        <w:rPr>
          <w:rStyle w:val="FootnoteReference"/>
          <w:sz w:val="24"/>
          <w:lang w:val="lv-LV"/>
        </w:rPr>
        <w:footnoteRef/>
      </w:r>
      <w:r w:rsidR="00EE4A1E" w:rsidRPr="00EE4A1E">
        <w:rPr>
          <w:sz w:val="24"/>
          <w:lang w:val="lv-LV"/>
        </w:rPr>
        <w:t xml:space="preserve"> </w:t>
      </w:r>
      <w:r w:rsidR="00EE4A1E" w:rsidRPr="00EE4A1E">
        <w:rPr>
          <w:sz w:val="24"/>
          <w:lang w:val="lv-LV"/>
        </w:rPr>
        <w:tab/>
      </w:r>
      <w:r w:rsidRPr="00EE4A1E">
        <w:rPr>
          <w:sz w:val="24"/>
          <w:lang w:val="lv-LV"/>
        </w:rPr>
        <w:t>Eiropas Parlamenta un Padomes Regula (ES) 2022/2065 (2022. gada 19. oktobris) par digitālo pakalpojumu vienoto tirgu un ar ko groza Direktīvu 2000/31/EK (O</w:t>
      </w:r>
      <w:r w:rsidR="00BA72CF">
        <w:rPr>
          <w:sz w:val="24"/>
          <w:lang w:val="lv-LV"/>
        </w:rPr>
        <w:t>V</w:t>
      </w:r>
      <w:r w:rsidRPr="00EE4A1E">
        <w:rPr>
          <w:sz w:val="24"/>
          <w:lang w:val="lv-LV"/>
        </w:rPr>
        <w:t xml:space="preserve"> L 277, 27.10.2022., 1. lpp., ELI: </w:t>
      </w:r>
      <w:hyperlink r:id="rId4" w:history="1">
        <w:r w:rsidR="00FB36EB" w:rsidRPr="00461330">
          <w:rPr>
            <w:rStyle w:val="Hyperlink"/>
            <w:sz w:val="24"/>
            <w:lang w:val="lv-LV"/>
          </w:rPr>
          <w:t>http://data.europa.eu/eli/reg/2022/2065/oj</w:t>
        </w:r>
      </w:hyperlink>
      <w:r w:rsidRPr="00EE4A1E">
        <w:rPr>
          <w:sz w:val="24"/>
          <w:lang w:val="lv-LV"/>
        </w:rPr>
        <w:t>).</w:t>
      </w:r>
    </w:p>
  </w:footnote>
  <w:footnote w:id="7">
    <w:p w14:paraId="7CCC9E64" w14:textId="385B3063" w:rsidR="00461330" w:rsidRPr="00377005" w:rsidRDefault="00461330">
      <w:pPr>
        <w:pStyle w:val="FootnoteText"/>
        <w:rPr>
          <w:sz w:val="24"/>
          <w:szCs w:val="24"/>
          <w:lang w:val="lv-LV"/>
        </w:rPr>
      </w:pPr>
      <w:r w:rsidRPr="00377005">
        <w:rPr>
          <w:rStyle w:val="FootnoteReference"/>
          <w:sz w:val="24"/>
          <w:szCs w:val="24"/>
        </w:rPr>
        <w:footnoteRef/>
      </w:r>
      <w:r w:rsidRPr="00377005">
        <w:rPr>
          <w:sz w:val="24"/>
          <w:szCs w:val="24"/>
          <w:lang w:val="lv-LV"/>
        </w:rPr>
        <w:t xml:space="preserve"> </w:t>
      </w:r>
      <w:r w:rsidRPr="00377005">
        <w:rPr>
          <w:sz w:val="24"/>
          <w:szCs w:val="24"/>
          <w:lang w:val="lv-LV"/>
        </w:rPr>
        <w:tab/>
        <w:t>https://pace.coe.int/en/files/33808/html, https://www.thetablet.co.uk/news/bartholomew-accuses-russian-church-of-ethno-nationalist-heresy/.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E43AA" w14:textId="77777777" w:rsidR="00064002" w:rsidRPr="00EE4A1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D8979" w14:textId="77777777" w:rsidR="00064002" w:rsidRPr="00EE4A1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89628" w14:textId="77777777" w:rsidR="00064002" w:rsidRPr="00EE4A1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2796085">
    <w:abstractNumId w:val="9"/>
  </w:num>
  <w:num w:numId="2" w16cid:durableId="1869559382">
    <w:abstractNumId w:val="9"/>
  </w:num>
  <w:num w:numId="3" w16cid:durableId="2025325588">
    <w:abstractNumId w:val="7"/>
  </w:num>
  <w:num w:numId="4" w16cid:durableId="1568372913">
    <w:abstractNumId w:val="7"/>
  </w:num>
  <w:num w:numId="5" w16cid:durableId="734621624">
    <w:abstractNumId w:val="6"/>
  </w:num>
  <w:num w:numId="6" w16cid:durableId="1659918539">
    <w:abstractNumId w:val="6"/>
  </w:num>
  <w:num w:numId="7" w16cid:durableId="583076379">
    <w:abstractNumId w:val="5"/>
  </w:num>
  <w:num w:numId="8" w16cid:durableId="1125081998">
    <w:abstractNumId w:val="5"/>
  </w:num>
  <w:num w:numId="9" w16cid:durableId="1116020843">
    <w:abstractNumId w:val="4"/>
  </w:num>
  <w:num w:numId="10" w16cid:durableId="1426220366">
    <w:abstractNumId w:val="4"/>
  </w:num>
  <w:num w:numId="11" w16cid:durableId="1365400401">
    <w:abstractNumId w:val="8"/>
  </w:num>
  <w:num w:numId="12" w16cid:durableId="543563675">
    <w:abstractNumId w:val="8"/>
  </w:num>
  <w:num w:numId="13" w16cid:durableId="929462235">
    <w:abstractNumId w:val="3"/>
  </w:num>
  <w:num w:numId="14" w16cid:durableId="354963926">
    <w:abstractNumId w:val="3"/>
  </w:num>
  <w:num w:numId="15" w16cid:durableId="1042099014">
    <w:abstractNumId w:val="2"/>
  </w:num>
  <w:num w:numId="16" w16cid:durableId="2081560066">
    <w:abstractNumId w:val="2"/>
  </w:num>
  <w:num w:numId="17" w16cid:durableId="1903322810">
    <w:abstractNumId w:val="1"/>
  </w:num>
  <w:num w:numId="18" w16cid:durableId="808550362">
    <w:abstractNumId w:val="1"/>
  </w:num>
  <w:num w:numId="19" w16cid:durableId="2104181836">
    <w:abstractNumId w:val="0"/>
  </w:num>
  <w:num w:numId="20" w16cid:durableId="197739526">
    <w:abstractNumId w:val="0"/>
  </w:num>
  <w:num w:numId="21" w16cid:durableId="1706708960">
    <w:abstractNumId w:val="9"/>
  </w:num>
  <w:num w:numId="22" w16cid:durableId="1246568494">
    <w:abstractNumId w:val="7"/>
  </w:num>
  <w:num w:numId="23" w16cid:durableId="2134321635">
    <w:abstractNumId w:val="6"/>
  </w:num>
  <w:num w:numId="24" w16cid:durableId="893388805">
    <w:abstractNumId w:val="5"/>
  </w:num>
  <w:num w:numId="25" w16cid:durableId="1963145185">
    <w:abstractNumId w:val="4"/>
  </w:num>
  <w:num w:numId="26" w16cid:durableId="1303392524">
    <w:abstractNumId w:val="8"/>
  </w:num>
  <w:num w:numId="27" w16cid:durableId="1542135260">
    <w:abstractNumId w:val="3"/>
  </w:num>
  <w:num w:numId="28" w16cid:durableId="1163278874">
    <w:abstractNumId w:val="2"/>
  </w:num>
  <w:num w:numId="29" w16cid:durableId="678235398">
    <w:abstractNumId w:val="1"/>
  </w:num>
  <w:num w:numId="30" w16cid:durableId="78866690">
    <w:abstractNumId w:val="0"/>
  </w:num>
  <w:num w:numId="31" w16cid:durableId="162625669">
    <w:abstractNumId w:val="9"/>
  </w:num>
  <w:num w:numId="32" w16cid:durableId="1861967408">
    <w:abstractNumId w:val="7"/>
  </w:num>
  <w:num w:numId="33" w16cid:durableId="2100785466">
    <w:abstractNumId w:val="6"/>
  </w:num>
  <w:num w:numId="34" w16cid:durableId="72358070">
    <w:abstractNumId w:val="5"/>
  </w:num>
  <w:num w:numId="35" w16cid:durableId="649678396">
    <w:abstractNumId w:val="4"/>
  </w:num>
  <w:num w:numId="36" w16cid:durableId="1289705478">
    <w:abstractNumId w:val="8"/>
  </w:num>
  <w:num w:numId="37" w16cid:durableId="1529834968">
    <w:abstractNumId w:val="3"/>
  </w:num>
  <w:num w:numId="38" w16cid:durableId="457576497">
    <w:abstractNumId w:val="2"/>
  </w:num>
  <w:num w:numId="39" w16cid:durableId="489953508">
    <w:abstractNumId w:val="1"/>
  </w:num>
  <w:num w:numId="40" w16cid:durableId="903877444">
    <w:abstractNumId w:val="0"/>
  </w:num>
  <w:num w:numId="41" w16cid:durableId="345399457">
    <w:abstractNumId w:val="10"/>
  </w:num>
  <w:num w:numId="42" w16cid:durableId="234781457">
    <w:abstractNumId w:val="10"/>
  </w:num>
  <w:num w:numId="43" w16cid:durableId="80957455">
    <w:abstractNumId w:val="10"/>
  </w:num>
  <w:num w:numId="44" w16cid:durableId="16195275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55/2025"/>
    <w:docVar w:name="dvlangue" w:val="LV"/>
    <w:docVar w:name="dvnumam" w:val="0"/>
    <w:docVar w:name="dvpe" w:val="776.179"/>
    <w:docVar w:name="dvtitre" w:val="Eiropas Parlamenta 2025. gada XX. XXX  rezolūcija par Moldovas noturības stiprināšanu saistībā ar Krievijas hibrīddraudiem un ļaunprātīgu iejaukšanos(2025/2811(RSP))"/>
  </w:docVars>
  <w:rsids>
    <w:rsidRoot w:val="00ED647C"/>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7005"/>
    <w:rsid w:val="00395FA1"/>
    <w:rsid w:val="003E15D4"/>
    <w:rsid w:val="00411CCE"/>
    <w:rsid w:val="0041666E"/>
    <w:rsid w:val="00421060"/>
    <w:rsid w:val="00461330"/>
    <w:rsid w:val="00471C19"/>
    <w:rsid w:val="004867E3"/>
    <w:rsid w:val="00494A28"/>
    <w:rsid w:val="004C0004"/>
    <w:rsid w:val="004C5D52"/>
    <w:rsid w:val="004C62B1"/>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06CF"/>
    <w:rsid w:val="00A1687D"/>
    <w:rsid w:val="00A43E52"/>
    <w:rsid w:val="00A4678D"/>
    <w:rsid w:val="00A778C7"/>
    <w:rsid w:val="00AB441E"/>
    <w:rsid w:val="00AB6293"/>
    <w:rsid w:val="00AE0928"/>
    <w:rsid w:val="00AF1141"/>
    <w:rsid w:val="00AF3B82"/>
    <w:rsid w:val="00B12E95"/>
    <w:rsid w:val="00B22876"/>
    <w:rsid w:val="00B558F0"/>
    <w:rsid w:val="00BA72C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647C"/>
    <w:rsid w:val="00EE4A1E"/>
    <w:rsid w:val="00F04346"/>
    <w:rsid w:val="00F075DC"/>
    <w:rsid w:val="00F149E9"/>
    <w:rsid w:val="00F5134D"/>
    <w:rsid w:val="00F74202"/>
    <w:rsid w:val="00F87713"/>
    <w:rsid w:val="00FB36E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5F64EF"/>
  <w15:chartTrackingRefBased/>
  <w15:docId w15:val="{D2521BA7-A4AE-4419-93EA-5D244F3C5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F1141"/>
    <w:rPr>
      <w:b/>
    </w:rPr>
  </w:style>
  <w:style w:type="paragraph" w:customStyle="1" w:styleId="NormalHanging12a">
    <w:name w:val="NormalHanging12a"/>
    <w:basedOn w:val="Normal"/>
    <w:link w:val="NormalHanging12aChar"/>
    <w:rsid w:val="00AF1141"/>
    <w:pPr>
      <w:spacing w:after="240"/>
      <w:ind w:left="567" w:hanging="567"/>
    </w:pPr>
  </w:style>
  <w:style w:type="paragraph" w:customStyle="1" w:styleId="EPComma">
    <w:name w:val="EPComma"/>
    <w:basedOn w:val="Normal"/>
    <w:link w:val="EPCommaChar"/>
    <w:rsid w:val="00AF1141"/>
    <w:pPr>
      <w:spacing w:before="480" w:after="240"/>
    </w:pPr>
  </w:style>
  <w:style w:type="character" w:customStyle="1" w:styleId="EPCommaChar">
    <w:name w:val="EPComma Char"/>
    <w:basedOn w:val="DefaultParagraphFont"/>
    <w:link w:val="EPComma"/>
    <w:rsid w:val="00AF1141"/>
    <w:rPr>
      <w:sz w:val="24"/>
      <w:lang w:val="lv-LV"/>
    </w:rPr>
  </w:style>
  <w:style w:type="character" w:customStyle="1" w:styleId="NormalHanging12aChar">
    <w:name w:val="NormalHanging12a Char"/>
    <w:basedOn w:val="DefaultParagraphFont"/>
    <w:link w:val="NormalHanging12a"/>
    <w:locked/>
    <w:rsid w:val="00AF1141"/>
    <w:rPr>
      <w:sz w:val="24"/>
      <w:lang w:val="lv-LV"/>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rsid w:val="00AF1141"/>
    <w:pPr>
      <w:widowControl/>
      <w:spacing w:after="160" w:line="240" w:lineRule="exact"/>
    </w:pPr>
    <w:rPr>
      <w:sz w:val="20"/>
      <w:vertAlign w:val="superscript"/>
      <w:lang w:val="en-GB"/>
    </w:rPr>
  </w:style>
  <w:style w:type="character" w:styleId="Hyperlink">
    <w:name w:val="Hyperlink"/>
    <w:basedOn w:val="DefaultParagraphFont"/>
    <w:uiPriority w:val="99"/>
    <w:unhideWhenUsed/>
    <w:rsid w:val="00AF1141"/>
    <w:rPr>
      <w:color w:val="0000FF"/>
      <w:u w:val="single"/>
    </w:rPr>
  </w:style>
  <w:style w:type="character" w:customStyle="1" w:styleId="highlight-diff">
    <w:name w:val="highlight-diff"/>
    <w:basedOn w:val="DefaultParagraphFont"/>
    <w:rsid w:val="00AF1141"/>
  </w:style>
  <w:style w:type="paragraph" w:styleId="Revision">
    <w:name w:val="Revision"/>
    <w:hidden/>
    <w:uiPriority w:val="99"/>
    <w:semiHidden/>
    <w:rsid w:val="00461330"/>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1925/oj" TargetMode="External"/><Relationship Id="rId2" Type="http://schemas.openxmlformats.org/officeDocument/2006/relationships/hyperlink" Target="http://data.europa.eu/eli/agree_internation/2014/492/oj" TargetMode="External"/><Relationship Id="rId1" Type="http://schemas.openxmlformats.org/officeDocument/2006/relationships/hyperlink" Target="http://data.europa.eu/eli/C/2025/204/oj" TargetMode="External"/><Relationship Id="rId4" Type="http://schemas.openxmlformats.org/officeDocument/2006/relationships/hyperlink" Target="http://data.europa.eu/eli/reg/2022/2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2415</Words>
  <Characters>16892</Characters>
  <Application>Microsoft Office Word</Application>
  <DocSecurity>0</DocSecurity>
  <Lines>337</Lines>
  <Paragraphs>153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2025-10-13T14:36:00Z</dcterms:created>
  <dcterms:modified xsi:type="dcterms:W3CDTF">2025-10-13T14:36:00Z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B10-0355/2025</vt:lpwstr>
  </property>
  <property fmtid="{D5CDD505-2E9C-101B-9397-08002B2CF9AE}" pid="4" name="&lt;Type&gt;">
    <vt:lpwstr>RR</vt:lpwstr>
  </property>
</Properties>
</file>