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6677" w14:paraId="422AE3D9" w14:textId="77777777" w:rsidTr="0010095E">
        <w:trPr>
          <w:trHeight w:hRule="exact" w:val="1418"/>
        </w:trPr>
        <w:tc>
          <w:tcPr>
            <w:tcW w:w="6804" w:type="dxa"/>
            <w:shd w:val="clear" w:color="auto" w:fill="auto"/>
            <w:vAlign w:val="center"/>
          </w:tcPr>
          <w:p w14:paraId="74A3D183" w14:textId="77777777" w:rsidR="00751A4A" w:rsidRPr="00C96677" w:rsidRDefault="00692EA5" w:rsidP="0010095E">
            <w:pPr>
              <w:pStyle w:val="EPName"/>
            </w:pPr>
            <w:r w:rsidRPr="00C96677">
              <w:t>Europees Parlement</w:t>
            </w:r>
          </w:p>
          <w:p w14:paraId="4BA9758A" w14:textId="77777777" w:rsidR="00751A4A" w:rsidRPr="00C96677" w:rsidRDefault="005F1B17" w:rsidP="005F1B17">
            <w:pPr>
              <w:pStyle w:val="EPTerm"/>
              <w:rPr>
                <w:rStyle w:val="HideTWBExt"/>
                <w:noProof w:val="0"/>
                <w:vanish w:val="0"/>
                <w:color w:val="auto"/>
              </w:rPr>
            </w:pPr>
            <w:r w:rsidRPr="00C96677">
              <w:t>2024</w:t>
            </w:r>
            <w:r w:rsidR="00817416" w:rsidRPr="00C96677">
              <w:t>-202</w:t>
            </w:r>
            <w:r w:rsidRPr="00C96677">
              <w:t>9</w:t>
            </w:r>
          </w:p>
        </w:tc>
        <w:tc>
          <w:tcPr>
            <w:tcW w:w="2268" w:type="dxa"/>
            <w:shd w:val="clear" w:color="auto" w:fill="auto"/>
          </w:tcPr>
          <w:p w14:paraId="3F0F1F27" w14:textId="77777777" w:rsidR="00751A4A" w:rsidRPr="00C96677" w:rsidRDefault="00187494" w:rsidP="0010095E">
            <w:pPr>
              <w:pStyle w:val="EPLogo"/>
            </w:pPr>
            <w:r w:rsidRPr="00C96677">
              <w:rPr>
                <w:noProof/>
                <w:lang w:eastAsia="ja-JP"/>
              </w:rPr>
              <w:drawing>
                <wp:inline distT="0" distB="0" distL="0" distR="0" wp14:anchorId="499E2093" wp14:editId="525496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73DD05" w14:textId="77777777" w:rsidR="00D058B8" w:rsidRPr="00C96677" w:rsidRDefault="00D058B8" w:rsidP="004C5D52">
      <w:pPr>
        <w:pStyle w:val="LineTop"/>
      </w:pPr>
    </w:p>
    <w:p w14:paraId="31F2AC7C" w14:textId="77777777" w:rsidR="00680577" w:rsidRPr="00C96677" w:rsidRDefault="00692EA5" w:rsidP="00680577">
      <w:pPr>
        <w:pStyle w:val="EPBodyTA1"/>
      </w:pPr>
      <w:r w:rsidRPr="00C96677">
        <w:t>AANGENOMEN TEKSTEN</w:t>
      </w:r>
    </w:p>
    <w:p w14:paraId="45CFD635" w14:textId="77777777" w:rsidR="00D058B8" w:rsidRPr="00C96677" w:rsidRDefault="00D058B8" w:rsidP="00D058B8">
      <w:pPr>
        <w:pStyle w:val="LineBottom"/>
      </w:pPr>
    </w:p>
    <w:p w14:paraId="515992D5" w14:textId="682E74FE" w:rsidR="00692EA5" w:rsidRPr="00C96677" w:rsidRDefault="00692EA5" w:rsidP="00692EA5">
      <w:pPr>
        <w:pStyle w:val="ATHeading1"/>
      </w:pPr>
      <w:bookmarkStart w:id="0" w:name="TANumber"/>
      <w:r w:rsidRPr="00C96677">
        <w:t>P10_TA(2025)0</w:t>
      </w:r>
      <w:r w:rsidR="00B66AF7" w:rsidRPr="00C96677">
        <w:t>191</w:t>
      </w:r>
      <w:bookmarkEnd w:id="0"/>
    </w:p>
    <w:p w14:paraId="7462DE93" w14:textId="77777777" w:rsidR="00692EA5" w:rsidRPr="00C96677" w:rsidRDefault="00692EA5" w:rsidP="00692EA5">
      <w:pPr>
        <w:pStyle w:val="ATHeading2"/>
      </w:pPr>
      <w:bookmarkStart w:id="1" w:name="title"/>
      <w:r w:rsidRPr="00C96677">
        <w:t>Versterking van de weerbaarheid van Moldavië tegen Russische hybride dreigingen en kwaadwillige inmenging</w:t>
      </w:r>
      <w:bookmarkEnd w:id="1"/>
    </w:p>
    <w:p w14:paraId="1001AE82" w14:textId="77777777" w:rsidR="00692EA5" w:rsidRPr="00C96677" w:rsidRDefault="00692EA5" w:rsidP="00692EA5">
      <w:pPr>
        <w:rPr>
          <w:i/>
          <w:vanish/>
        </w:rPr>
      </w:pPr>
      <w:r w:rsidRPr="00C96677">
        <w:rPr>
          <w:i/>
        </w:rPr>
        <w:fldChar w:fldCharType="begin"/>
      </w:r>
      <w:r w:rsidRPr="00C96677">
        <w:rPr>
          <w:i/>
        </w:rPr>
        <w:instrText xml:space="preserve"> TC"(</w:instrText>
      </w:r>
      <w:bookmarkStart w:id="2" w:name="DocNumber"/>
      <w:r w:rsidRPr="00C96677">
        <w:rPr>
          <w:i/>
        </w:rPr>
        <w:instrText>B10-0355, 0357, 0256, 0359 en 0361/2025</w:instrText>
      </w:r>
      <w:bookmarkEnd w:id="2"/>
      <w:r w:rsidRPr="00C96677">
        <w:rPr>
          <w:i/>
        </w:rPr>
        <w:instrText xml:space="preserve">)"\l3 \n&gt; \* MERGEFORMAT </w:instrText>
      </w:r>
      <w:r w:rsidRPr="00C96677">
        <w:rPr>
          <w:i/>
        </w:rPr>
        <w:fldChar w:fldCharType="end"/>
      </w:r>
    </w:p>
    <w:p w14:paraId="2B906381" w14:textId="77777777" w:rsidR="00692EA5" w:rsidRPr="00C96677" w:rsidRDefault="00692EA5" w:rsidP="00692EA5">
      <w:pPr>
        <w:rPr>
          <w:vanish/>
        </w:rPr>
      </w:pPr>
      <w:bookmarkStart w:id="3" w:name="PE"/>
      <w:r w:rsidRPr="00C96677">
        <w:rPr>
          <w:vanish/>
        </w:rPr>
        <w:t>PE776.179</w:t>
      </w:r>
      <w:bookmarkEnd w:id="3"/>
    </w:p>
    <w:p w14:paraId="5D462121" w14:textId="77777777" w:rsidR="00692EA5" w:rsidRPr="00C96677" w:rsidRDefault="00692EA5" w:rsidP="00692EA5">
      <w:pPr>
        <w:pStyle w:val="ATHeading3"/>
      </w:pPr>
      <w:bookmarkStart w:id="4" w:name="Sujet"/>
      <w:r w:rsidRPr="00C96677">
        <w:t>Resolutie van het Europees Parlement van 10 september 2025 over de versterking van de weerbaarheid van Moldavië tegen Russische hybride dreigingen en kwaadwillige inmenging</w:t>
      </w:r>
      <w:bookmarkEnd w:id="4"/>
      <w:r w:rsidRPr="00C96677">
        <w:t xml:space="preserve"> </w:t>
      </w:r>
      <w:bookmarkStart w:id="5" w:name="References"/>
      <w:r w:rsidRPr="00C96677">
        <w:t>(2025/2811(RSP))</w:t>
      </w:r>
      <w:bookmarkEnd w:id="5"/>
    </w:p>
    <w:p w14:paraId="53980FF8" w14:textId="77777777" w:rsidR="001E7BCF" w:rsidRPr="00C96677" w:rsidRDefault="001E7BCF" w:rsidP="001E7BCF">
      <w:pPr>
        <w:pStyle w:val="EPComma"/>
        <w:widowControl/>
      </w:pPr>
      <w:bookmarkStart w:id="6" w:name="TextBodyBegin"/>
      <w:bookmarkEnd w:id="6"/>
      <w:r w:rsidRPr="00C96677">
        <w:rPr>
          <w:i/>
        </w:rPr>
        <w:t>Het Europees Parlement</w:t>
      </w:r>
      <w:r w:rsidRPr="00C96677">
        <w:t>,</w:t>
      </w:r>
    </w:p>
    <w:p w14:paraId="0BA97404" w14:textId="77777777" w:rsidR="001E7BCF" w:rsidRPr="00C96677" w:rsidRDefault="001E7BCF" w:rsidP="001E7BCF">
      <w:pPr>
        <w:pStyle w:val="NormalHanging12a"/>
        <w:widowControl/>
      </w:pPr>
      <w:r w:rsidRPr="00C96677">
        <w:t>–</w:t>
      </w:r>
      <w:r w:rsidRPr="00C96677">
        <w:tab/>
        <w:t>gezien zijn eerdere resoluties over Moldavië, en met name zijn resolutie van 18 juni 2025 over de Commissieverslagen van 2023 en 2024 over Moldavië</w:t>
      </w:r>
      <w:r w:rsidRPr="00C96677">
        <w:rPr>
          <w:vertAlign w:val="superscript"/>
        </w:rPr>
        <w:footnoteReference w:id="1"/>
      </w:r>
      <w:r w:rsidRPr="00C96677">
        <w:t xml:space="preserve"> en zijn resolutie van 9 oktober 2024 over de versterking van de weerbaarheid van Moldavië tegen Russische inmenging in de aanloop naar de presidentsverkiezingen en het constitutionele referendum over EU-integratie</w:t>
      </w:r>
      <w:r w:rsidRPr="00C96677">
        <w:rPr>
          <w:vertAlign w:val="superscript"/>
        </w:rPr>
        <w:footnoteReference w:id="2"/>
      </w:r>
      <w:r w:rsidRPr="00C96677">
        <w:t>,</w:t>
      </w:r>
    </w:p>
    <w:p w14:paraId="7ED46589" w14:textId="77777777" w:rsidR="001E7BCF" w:rsidRPr="00C96677" w:rsidRDefault="001E7BCF" w:rsidP="001E7BCF">
      <w:pPr>
        <w:pStyle w:val="NormalHanging12a"/>
        <w:widowControl/>
      </w:pPr>
      <w:r w:rsidRPr="00C96677">
        <w:t>–</w:t>
      </w:r>
      <w:r w:rsidRPr="00C96677">
        <w:tab/>
        <w:t>gezien de associatieovereenkomst tussen de Europese Unie en de Europese Gemeenschap voor Atoomenergie en hun lidstaten, enerzijds, en de Republiek Moldavië, anderzijds</w:t>
      </w:r>
      <w:r w:rsidRPr="00C96677">
        <w:rPr>
          <w:vertAlign w:val="superscript"/>
        </w:rPr>
        <w:footnoteReference w:id="3"/>
      </w:r>
      <w:r w:rsidRPr="00C96677">
        <w:t>, die een diepe en brede vrijhandelsruimte omvat,</w:t>
      </w:r>
    </w:p>
    <w:p w14:paraId="35483FCB" w14:textId="77777777" w:rsidR="001E7BCF" w:rsidRPr="00C96677" w:rsidRDefault="001E7BCF" w:rsidP="001E7BCF">
      <w:pPr>
        <w:pStyle w:val="NormalHanging12a"/>
        <w:widowControl/>
      </w:pPr>
      <w:r w:rsidRPr="00C96677">
        <w:t>–</w:t>
      </w:r>
      <w:r w:rsidRPr="00C96677">
        <w:tab/>
        <w:t>gezien de conclusies van de Europese Raad van 27 juni 2025 over Moldavië,</w:t>
      </w:r>
    </w:p>
    <w:p w14:paraId="2FC40E83" w14:textId="77777777" w:rsidR="001E7BCF" w:rsidRPr="00C96677" w:rsidRDefault="001E7BCF" w:rsidP="001E7BCF">
      <w:pPr>
        <w:pStyle w:val="NormalHanging12a"/>
        <w:widowControl/>
      </w:pPr>
      <w:r w:rsidRPr="00C96677">
        <w:t>–</w:t>
      </w:r>
      <w:r w:rsidRPr="00C96677">
        <w:tab/>
        <w:t>gezien het bezoek van drie regeringsleiders van de EU (van Frankrijk, Duitsland en Polen) aan Moldavië op 27 augustus 2025 en het bezoek van de president van Roemenië aan Moldavië op 31 augustus 2025,</w:t>
      </w:r>
    </w:p>
    <w:p w14:paraId="0F6D812C" w14:textId="77777777" w:rsidR="001E7BCF" w:rsidRPr="00C96677" w:rsidRDefault="001E7BCF" w:rsidP="001E7BCF">
      <w:pPr>
        <w:pStyle w:val="NormalHanging12a"/>
        <w:widowControl/>
      </w:pPr>
      <w:r w:rsidRPr="00C96677">
        <w:t>–</w:t>
      </w:r>
      <w:r w:rsidRPr="00C96677">
        <w:tab/>
        <w:t>gezien het bezoek van de President van de Republiek Moldavië aan het Europees Parlement op 9 september 2025,</w:t>
      </w:r>
    </w:p>
    <w:p w14:paraId="770136B2" w14:textId="77777777" w:rsidR="001E7BCF" w:rsidRPr="00C96677" w:rsidRDefault="001E7BCF" w:rsidP="001E7BCF">
      <w:pPr>
        <w:pStyle w:val="NormalHanging12a"/>
        <w:widowControl/>
      </w:pPr>
      <w:r w:rsidRPr="00C96677">
        <w:t>–</w:t>
      </w:r>
      <w:r w:rsidRPr="00C96677">
        <w:tab/>
        <w:t>gezien de gezamenlijke verklaring naar aanleiding van de eerste top tussen de EU en de Republiek Moldavië van 4 juli 2025,</w:t>
      </w:r>
    </w:p>
    <w:p w14:paraId="049C2FF9" w14:textId="77777777" w:rsidR="001E7BCF" w:rsidRPr="00C96677" w:rsidRDefault="001E7BCF" w:rsidP="001E7BCF">
      <w:pPr>
        <w:pStyle w:val="NormalHanging12a"/>
        <w:widowControl/>
      </w:pPr>
      <w:r w:rsidRPr="00C96677">
        <w:lastRenderedPageBreak/>
        <w:t>–</w:t>
      </w:r>
      <w:r w:rsidRPr="00C96677">
        <w:tab/>
        <w:t>gezien het bezoek van de commissaris voor Uitbreiding aan Moldavië op 9 mei 2025 (Europadag),</w:t>
      </w:r>
    </w:p>
    <w:p w14:paraId="76E906BF" w14:textId="77777777" w:rsidR="001E7BCF" w:rsidRPr="00C96677" w:rsidRDefault="001E7BCF" w:rsidP="001E7BCF">
      <w:pPr>
        <w:pStyle w:val="NormalHanging12a"/>
        <w:widowControl/>
      </w:pPr>
      <w:r w:rsidRPr="00C96677">
        <w:t>–</w:t>
      </w:r>
      <w:r w:rsidRPr="00C96677">
        <w:tab/>
        <w:t>gezien artikel 136, leden 2 en 4, van zijn Reglement,</w:t>
      </w:r>
    </w:p>
    <w:p w14:paraId="64B4BC6E" w14:textId="77777777" w:rsidR="001E7BCF" w:rsidRPr="00C96677" w:rsidRDefault="001E7BCF" w:rsidP="001E7BCF">
      <w:pPr>
        <w:pStyle w:val="NormalHanging12a"/>
        <w:widowControl/>
      </w:pPr>
      <w:r w:rsidRPr="00C96677">
        <w:t>A.</w:t>
      </w:r>
      <w:r w:rsidRPr="00C96677">
        <w:tab/>
        <w:t>overwegende dat in de Republiek Moldavië op 28 september 2025 parlementsverkiezingen zullen plaatsvinden die bepalend zullen zijn voor de verdere democratische consolidatie en verdere vooruitgang in de richting van toetreding tot de EU, alsook voor de toekomst van het land als vrije en soevereine democratie binnen de EU; overwegende dat de parlementsverkiezingen zullen plaatsvinden in een context die wordt gekenmerkt door voortdurende Russische inmenging en pogingen om het politieke landschap en de democratische verkiezingsprocessen van het land te destabiliseren;</w:t>
      </w:r>
    </w:p>
    <w:p w14:paraId="04ADA94C" w14:textId="77777777" w:rsidR="001E7BCF" w:rsidRPr="00C96677" w:rsidRDefault="001E7BCF" w:rsidP="001E7BCF">
      <w:pPr>
        <w:pStyle w:val="NormalHanging12a"/>
        <w:widowControl/>
      </w:pPr>
      <w:r w:rsidRPr="00C96677">
        <w:t>B.</w:t>
      </w:r>
      <w:r w:rsidRPr="00C96677">
        <w:tab/>
        <w:t>overwegende dat er in Moldavië op 20 oktober 2024 een referendum werd gehouden waarvan de uitslag betekende dat de toetreding tot de EU in de Moldavische grondwet zou worden verankerd, ondanks pogingen om de uitslag te beïnvloeden door middel van verschillende vormen van manipulatieve inmenging van ongekende omvang om het land te destabiliseren, waaronder de illegale financiering van politieke actoren, desinformatiecampagnes en cyberaanvallen;</w:t>
      </w:r>
    </w:p>
    <w:p w14:paraId="15447A37" w14:textId="77777777" w:rsidR="001E7BCF" w:rsidRPr="00C96677" w:rsidRDefault="001E7BCF" w:rsidP="001E7BCF">
      <w:pPr>
        <w:pStyle w:val="NormalHanging12a"/>
        <w:widowControl/>
      </w:pPr>
      <w:r w:rsidRPr="00C96677">
        <w:t>C.</w:t>
      </w:r>
      <w:r w:rsidRPr="00C96677">
        <w:tab/>
        <w:t>overwegende dat er vele meldingen zijn van hernieuwde en intensievere pogingen tot desinformatie, destabilisatie en inmenging door Rusland en aan Rusland gelieerde actoren, met als doel het proces van democratische hervormingen en Europese integratie in Moldavië te dwarsbomen, de politieke controle over het land te herstellen en de hybride tactieken tegen Moldavië, Oekraïne en andere Europese landen, zoals onlangs Roemenië, verder te verfijnen;</w:t>
      </w:r>
    </w:p>
    <w:p w14:paraId="7F114CE5" w14:textId="77777777" w:rsidR="001E7BCF" w:rsidRPr="00C96677" w:rsidRDefault="001E7BCF" w:rsidP="001E7BCF">
      <w:pPr>
        <w:pStyle w:val="NormalHanging12a"/>
        <w:widowControl/>
      </w:pPr>
      <w:r w:rsidRPr="00C96677">
        <w:t>D.</w:t>
      </w:r>
      <w:r w:rsidRPr="00C96677">
        <w:tab/>
        <w:t>overwegende dat president Maia Sandu na de bijeenkomst van de hoge veiligheidsraad op 30 juli 2025 de bevindingen van de gespecialiseerde Moldavische instellingen over methoden van hybride oorlogsvoering heeft gepresenteerd en daarbij op tien belangrijke instrumenten voor buitenlandse inmenging in de politieke en verkiezingsprocessen van Moldavië heeft gewezen;</w:t>
      </w:r>
    </w:p>
    <w:p w14:paraId="55BFE0E1" w14:textId="77777777" w:rsidR="001E7BCF" w:rsidRPr="00C96677" w:rsidRDefault="001E7BCF" w:rsidP="001E7BCF">
      <w:pPr>
        <w:pStyle w:val="NormalHanging12a"/>
        <w:widowControl/>
      </w:pPr>
      <w:r w:rsidRPr="00C96677">
        <w:t>E.</w:t>
      </w:r>
      <w:r w:rsidRPr="00C96677">
        <w:tab/>
        <w:t xml:space="preserve">overwegende dat de EU op 15 juli 2025 sancties heeft opgelegd tegen </w:t>
      </w:r>
      <w:r w:rsidRPr="00C96677">
        <w:rPr>
          <w:rStyle w:val="Strong"/>
          <w:b w:val="0"/>
          <w:bCs w:val="0"/>
          <w:color w:val="000000"/>
        </w:rPr>
        <w:t>zeven personen</w:t>
      </w:r>
      <w:r w:rsidRPr="00C96677">
        <w:t xml:space="preserve"> en </w:t>
      </w:r>
      <w:r w:rsidRPr="00C96677">
        <w:rPr>
          <w:rStyle w:val="Strong"/>
          <w:b w:val="0"/>
          <w:bCs w:val="0"/>
          <w:color w:val="000000"/>
        </w:rPr>
        <w:t>drie entiteiten</w:t>
      </w:r>
      <w:r w:rsidRPr="00C96677">
        <w:t xml:space="preserve"> die verantwoordelijk zijn voor acties bedoeld om de soevereiniteit en de onafhankelijkheid van Moldavië en de democratie, de rechtsstaat en de stabiliteit in het land te destabiliseren, te ondermijnen of te bedreigen; overwegende dat deze sancties gericht zijn tegen naaste medewerkers van Ilan Șor en de verboden partij ȘOR, waarvan de leden actief betrokken zijn bij het kopen van stemmen en bij het betalen van smeergeld om politici om te kopen;</w:t>
      </w:r>
    </w:p>
    <w:p w14:paraId="3D2302F6" w14:textId="77777777" w:rsidR="001E7BCF" w:rsidRPr="00C96677" w:rsidRDefault="001E7BCF" w:rsidP="001E7BCF">
      <w:pPr>
        <w:pStyle w:val="NormalHanging12a"/>
        <w:widowControl/>
      </w:pPr>
      <w:r w:rsidRPr="00C96677">
        <w:t>F.</w:t>
      </w:r>
      <w:r w:rsidRPr="00C96677">
        <w:tab/>
        <w:t xml:space="preserve">overwegende dat het Moldavische maatschappelijk middenveld en de Moldavische onafhankelijke media een cruciale rol spelen bij het aan het licht brengen van desinformatie, het versterken van de veerkracht en het verdedigen van democratische waarden; overwegende dat de Republiek Moldavië haar democratie in hoge mate heeft kunnen bestendigen, doorgaat met het doorvoeren van hervormingen en haar betrekkingen met de EU verder uitbouwt; overwegende dat het feit dat het land is gestegen op diverse internationale indexen laat zien dat het democratische bestel van het land is versterkt; overwegende dat Moldavië aanzienlijke vooruitgang heeft geboekt met het doorvoeren van justitiële hervormingen, waaronder het doorlichten, herstructureren </w:t>
      </w:r>
      <w:r w:rsidRPr="00C96677">
        <w:lastRenderedPageBreak/>
        <w:t>en versterken van de onafhankelijkheid van de rechterlijke macht, alsmede met het verbeteren van de anticorruptiewetgeving; overwegende dat het vertrouwen van het publiek in democratische instellingen van essentieel belang is voor de stabiliteit en weerbaarheid van Moldavië tegen kwaadwillige inmenging;</w:t>
      </w:r>
    </w:p>
    <w:p w14:paraId="7CB3118C" w14:textId="1990A81B" w:rsidR="00BA7F01" w:rsidRPr="00C96677" w:rsidRDefault="00462765" w:rsidP="001E7BCF">
      <w:pPr>
        <w:pStyle w:val="NormalHanging12a"/>
        <w:widowControl/>
      </w:pPr>
      <w:r w:rsidRPr="00C96677">
        <w:t>G.</w:t>
      </w:r>
      <w:r w:rsidR="00BA7F01" w:rsidRPr="00C96677">
        <w:tab/>
        <w:t>overwegende dat uit een recent journalistiek onderzoek, waarbij een undercoverjournalist vanaf 2024 infiltreerde in het netwerk van de ȘOR-partij, is gebleken dat honderden nepaccounts, beheerd door activisten van het politieke blok “</w:t>
      </w:r>
      <w:proofErr w:type="spellStart"/>
      <w:r w:rsidR="00BA7F01" w:rsidRPr="00C96677">
        <w:t>Victory</w:t>
      </w:r>
      <w:proofErr w:type="spellEnd"/>
      <w:r w:rsidR="00BA7F01" w:rsidRPr="00C96677">
        <w:t xml:space="preserve">” onder leiding van Ilan </w:t>
      </w:r>
      <w:proofErr w:type="spellStart"/>
      <w:r w:rsidR="00BA7F01" w:rsidRPr="00C96677">
        <w:t>Șor</w:t>
      </w:r>
      <w:proofErr w:type="spellEnd"/>
      <w:r w:rsidR="00BA7F01" w:rsidRPr="00C96677">
        <w:t xml:space="preserve"> vanuit Moskou waren aangemaakt om Russische propaganda te verspreiden op TikTok en Facebook; overwegende dat deze anti-Europese inhoud, die volledig overeenkomt met het narratief van het Kremlin, systematisch werd gecontroleerd en gecoördineerd via geheime Telegram-groepen en -kanalen</w:t>
      </w:r>
      <w:r w:rsidR="00BA7F01" w:rsidRPr="00C96677">
        <w:rPr>
          <w:rStyle w:val="FootnoteReference"/>
        </w:rPr>
        <w:footnoteReference w:id="4"/>
      </w:r>
      <w:r w:rsidR="00BA7F01" w:rsidRPr="00C96677">
        <w:t>;</w:t>
      </w:r>
    </w:p>
    <w:p w14:paraId="03356E70" w14:textId="12579336" w:rsidR="001E7BCF" w:rsidRPr="00C96677" w:rsidRDefault="00462765" w:rsidP="001E7BCF">
      <w:pPr>
        <w:pStyle w:val="NormalHanging12a"/>
        <w:widowControl/>
      </w:pPr>
      <w:r w:rsidRPr="00C96677">
        <w:t>H</w:t>
      </w:r>
      <w:r w:rsidR="001E7BCF" w:rsidRPr="00C96677">
        <w:t>.</w:t>
      </w:r>
      <w:r w:rsidR="001E7BCF" w:rsidRPr="00C96677">
        <w:tab/>
        <w:t>overwegende dat het belangrijk is om publiekelijk blijk te geven van onwankelbare solidariteit met de bevolking van Moldavië, die ernstig is getroffen door de Russische aanvalsoorlog tegen Oekraïne en door de voortdurende, gerichte hybride dreigingen van Rusland die erop gericht zijn het land politiek te destabiliseren, de economische welvaart te ondermijnen en de sociale cohesie te verzwakken;</w:t>
      </w:r>
    </w:p>
    <w:p w14:paraId="33DA74B6" w14:textId="44B73F94" w:rsidR="001E7BCF" w:rsidRPr="00C96677" w:rsidRDefault="00462765" w:rsidP="001E7BCF">
      <w:pPr>
        <w:pStyle w:val="NormalHanging12a"/>
        <w:widowControl/>
      </w:pPr>
      <w:r w:rsidRPr="00C96677">
        <w:t>I</w:t>
      </w:r>
      <w:r w:rsidR="001E7BCF" w:rsidRPr="00C96677">
        <w:t>.</w:t>
      </w:r>
      <w:r w:rsidR="001E7BCF" w:rsidRPr="00C96677">
        <w:tab/>
        <w:t>overwegende dat Rusland volgens Moldavische schattingen al meer dan 200 miljoen EUR, oftewel meer dan 1 % van het bbp van Moldavië, aan propaganda en informatieactiviteiten in de Republiek Moldavië heeft uitgegeven;</w:t>
      </w:r>
    </w:p>
    <w:p w14:paraId="5EBC4289" w14:textId="450EFD1D" w:rsidR="001E7BCF" w:rsidRPr="00C96677" w:rsidRDefault="00462765" w:rsidP="001E7BCF">
      <w:pPr>
        <w:pStyle w:val="NormalHanging12a"/>
        <w:widowControl/>
      </w:pPr>
      <w:r w:rsidRPr="00C96677">
        <w:t>J</w:t>
      </w:r>
      <w:r w:rsidR="001E7BCF" w:rsidRPr="00C96677">
        <w:t>.</w:t>
      </w:r>
      <w:r w:rsidR="001E7BCF" w:rsidRPr="00C96677">
        <w:tab/>
        <w:t>overwegende dat de deelname van een delegatie van het Europees Parlement aan de internationale verkiezingswaarnemingsmissie van het Bureau voor Democratische Instellingen en Mensenrechten (ODIHR) van de Organisatie voor Veiligheid en Samenwerking in Europa (OVSE) tijdens de Moldavische parlementsverkiezingen van 28 september 2025 laat zien dat de EU zich ervoor inzet om de integriteit van de verkiezingsprocessen te ondersteunen en de democratische instellingen in Moldavië te versterken;</w:t>
      </w:r>
    </w:p>
    <w:p w14:paraId="77515922" w14:textId="6B110E09" w:rsidR="001E7BCF" w:rsidRPr="00C96677" w:rsidRDefault="00462765" w:rsidP="001E7BCF">
      <w:pPr>
        <w:pStyle w:val="NormalHanging12a"/>
        <w:widowControl/>
      </w:pPr>
      <w:r w:rsidRPr="00C96677">
        <w:t>K</w:t>
      </w:r>
      <w:r w:rsidR="001E7BCF" w:rsidRPr="00C96677">
        <w:t>.</w:t>
      </w:r>
      <w:r w:rsidR="001E7BCF" w:rsidRPr="00C96677">
        <w:tab/>
        <w:t>overwegende dat de Europese Raad in zijn conclusies van juni 2025 Moldavië nogmaals volledige ondersteuning toezegde op zijn weg naar het EU-lidmaatschap en de Raad verzocht de volgende stappen in het toetredingsproces te zetten; overwegende dat toetreding tot de EU alleen kan plaatsvinden als is voldaan aan strikte voorwaarden, waarbij het beginsel wordt gevolgd dat elke kandidaat-lidstaat wordt beoordeeld op basis van zijn eigen verdiensten en de verwezenlijkte vooruitgang met de hervormingen;</w:t>
      </w:r>
    </w:p>
    <w:p w14:paraId="06D5659E" w14:textId="77777777" w:rsidR="001E7BCF" w:rsidRPr="00C96677" w:rsidRDefault="001E7BCF" w:rsidP="001E7BCF">
      <w:pPr>
        <w:pStyle w:val="NormalHanging12a"/>
        <w:widowControl/>
      </w:pPr>
      <w:r w:rsidRPr="00C96677">
        <w:t>1.</w:t>
      </w:r>
      <w:r w:rsidRPr="00C96677">
        <w:tab/>
        <w:t>is solidair met de bevolking van de Republiek Moldavië en spreekt zijn volledige steun uit voor de onafhankelijkheid, soevereiniteit en territoriale integriteit van het land en voor zijn inspanningen om de integriteit van zijn democratisch proces, de soevereiniteit van zijn beslissingen op het gebied van buitenlands beleid en de sociaal-economische vooruitzichten van zijn bevolking te waarborgen; dringt er daarom bij Rusland op aan de onafhankelijkheid, soevereiniteit en territoriale integriteit van Moldavië te eerbiedigen en een einde te maken aan zijn pogingen om de grondwettelijke orde en de democratische instellingen van Moldavië te ondermijnen;</w:t>
      </w:r>
    </w:p>
    <w:p w14:paraId="43A8000B" w14:textId="77777777" w:rsidR="001E7BCF" w:rsidRPr="00C96677" w:rsidRDefault="001E7BCF" w:rsidP="001E7BCF">
      <w:pPr>
        <w:pStyle w:val="NormalHanging12a"/>
        <w:widowControl/>
        <w:rPr>
          <w:szCs w:val="24"/>
        </w:rPr>
      </w:pPr>
      <w:r w:rsidRPr="00C96677">
        <w:lastRenderedPageBreak/>
        <w:t>2.</w:t>
      </w:r>
      <w:r w:rsidRPr="00C96677">
        <w:tab/>
        <w:t>veroordeelt de herhaalde pogingen van Rusland, pro-Russische oligarchen en aan Rusland gelieerde lokale actoren om Moldavië te destabiliseren, verdeeldheid te zaaien in de Moldavische samenleving, en de democratie en de vooruitgang van het land op weg naar toetreding tot de EU te saboteren door middel van hybride aanvallen, het manipuleren van energievoorzieningen om politieke doelen te bereiken, de illegale financiering van politieke actoren en desinformatie-, manipulatie- en intimidatiecampagnes tegen maatschappelijke organisaties en onafhankelijke media;</w:t>
      </w:r>
    </w:p>
    <w:p w14:paraId="1F166ED4" w14:textId="77777777" w:rsidR="001E7BCF" w:rsidRPr="00C96677" w:rsidRDefault="001E7BCF" w:rsidP="001E7BCF">
      <w:pPr>
        <w:pStyle w:val="NormalHanging12a"/>
        <w:widowControl/>
        <w:rPr>
          <w:szCs w:val="24"/>
        </w:rPr>
      </w:pPr>
      <w:r w:rsidRPr="00C96677">
        <w:t>3.</w:t>
      </w:r>
      <w:r w:rsidRPr="00C96677">
        <w:tab/>
        <w:t>veroordeelt het feit dat de Russische hybride activiteiten en pogingen tot inmenging zijn toegenomen in de aanloop naar de parlementsverkiezingen van 28 september 2025 en duidelijk gericht zijn op het destabiliseren van het land en het terugdraaien van zijn democratische koers en soevereine beslissingen, met name met betrekking tot het toekomstige EU-lidmaatschap;</w:t>
      </w:r>
    </w:p>
    <w:p w14:paraId="3AA683C6" w14:textId="77777777" w:rsidR="001E7BCF" w:rsidRPr="00C96677" w:rsidRDefault="001E7BCF" w:rsidP="001E7BCF">
      <w:pPr>
        <w:pStyle w:val="NormalHanging12a"/>
        <w:widowControl/>
        <w:rPr>
          <w:szCs w:val="24"/>
          <w:shd w:val="clear" w:color="auto" w:fill="FFFFFF"/>
        </w:rPr>
      </w:pPr>
      <w:r w:rsidRPr="00C96677">
        <w:t>4.</w:t>
      </w:r>
      <w:r w:rsidRPr="00C96677">
        <w:tab/>
      </w:r>
      <w:r w:rsidRPr="00C96677">
        <w:rPr>
          <w:shd w:val="clear" w:color="auto" w:fill="FFFFFF"/>
        </w:rPr>
        <w:t xml:space="preserve">spreekt zijn waardering uit over de voorbeeldige inzet van Moldavië en de gestage vooruitgang die het, ondanks aanzienlijke interne en externe uitdagingen, zoals Ruslands grootschalige aanvalsoorlog tegen Oekraïne en gerichte Russische hybride dreigingen tegen Moldavië, heeft geboekt bij de hervormingen in verband met de toetreding tot de EU, waardoor de toetredingsonderhandelingen in juni 2024 van start konden gaan, slechts zes maanden na het desbetreffende besluit van de Europese Raad van 14 december 2023 en nog geen twee jaar na het verzoek om toetreding tot de EU van Moldavië van 3 maart 2022; </w:t>
      </w:r>
      <w:r w:rsidRPr="00C96677">
        <w:rPr>
          <w:rStyle w:val="highlight-diff"/>
          <w:color w:val="000000"/>
          <w:shd w:val="clear" w:color="auto" w:fill="FFFFFF"/>
        </w:rPr>
        <w:t>verzoekt de Raad en de Commissie vast te houden aan het beginsel van verdienste en daartoe iedere kandidaat-lidstaat apart te beoordelen, zodat de vooruitgang in de toetredingsstappen, waaronder de opening van onderhandelingshoofdstukken, gekoppeld is aan de bereikte resultaten en de omstandigheden van het desbetreffende land;</w:t>
      </w:r>
      <w:r w:rsidRPr="00C96677">
        <w:t xml:space="preserve"> </w:t>
      </w:r>
      <w:r w:rsidRPr="00C96677">
        <w:rPr>
          <w:shd w:val="clear" w:color="auto" w:fill="FFFFFF"/>
        </w:rPr>
        <w:t>bevestigt opnieuw zijn onwrikbare steun voor de toetreding van Moldavië tot de EU; dringt er daarnaast bij de Raad op aan snel toetredingsonderhandelingen te openen over cluster 1 (fundamentele kwesties), als erkenning van het feit dat Moldavië aanzienlijke vooruitgang heeft geboekt bij het doorvoeren van cruciale hervormingen;</w:t>
      </w:r>
    </w:p>
    <w:p w14:paraId="211A04B8" w14:textId="77777777" w:rsidR="001E7BCF" w:rsidRPr="00C96677" w:rsidRDefault="001E7BCF" w:rsidP="001E7BCF">
      <w:pPr>
        <w:pStyle w:val="NormalHanging12a"/>
        <w:widowControl/>
        <w:rPr>
          <w:szCs w:val="24"/>
        </w:rPr>
      </w:pPr>
      <w:r w:rsidRPr="00C96677">
        <w:rPr>
          <w:shd w:val="clear" w:color="auto" w:fill="FFFFFF"/>
        </w:rPr>
        <w:t>5.</w:t>
      </w:r>
      <w:r w:rsidRPr="00C96677">
        <w:rPr>
          <w:shd w:val="clear" w:color="auto" w:fill="FFFFFF"/>
        </w:rPr>
        <w:tab/>
        <w:t>verzoekt de EU de Republiek Moldavië te blijven bijstaan bij het houden van vrije, eerlijke en transparante verkiezingen; benadrukt dat internationale waarnemers van essentieel belang zijn, niet alleen om toezicht te houden op het verloop van de verkiezingen, maar ook om kwaadwillige buitenlandse inmenging te monitoren en te documenteren, waaronder de verspreiding van desinformatie, illegale financiering en gecoördineerde cyber- of beïnvloedingsactiviteiten;</w:t>
      </w:r>
    </w:p>
    <w:p w14:paraId="7E33CCC0" w14:textId="77777777" w:rsidR="001E7BCF" w:rsidRPr="00C96677" w:rsidRDefault="001E7BCF" w:rsidP="001E7BCF">
      <w:pPr>
        <w:pStyle w:val="NormalHanging12a"/>
        <w:widowControl/>
      </w:pPr>
      <w:r w:rsidRPr="00C96677">
        <w:t>6.</w:t>
      </w:r>
      <w:r w:rsidRPr="00C96677">
        <w:tab/>
        <w:t>is ervan overtuigd dat Moldavië alleen met krachtige en daadwerkelijke steun van zijn parlement in staat zal zijn om de huidige vooruitgang op het gebied van hervormingen in verband met de toetreding tot de EU te consolideren en het ambitieuze tempo op weg naar het EU-lidmaatschap vast te houden;</w:t>
      </w:r>
    </w:p>
    <w:p w14:paraId="2442CDA6" w14:textId="77777777" w:rsidR="001E7BCF" w:rsidRPr="00C96677" w:rsidRDefault="001E7BCF" w:rsidP="001E7BCF">
      <w:pPr>
        <w:pStyle w:val="NormalHanging12a"/>
        <w:widowControl/>
      </w:pPr>
      <w:r w:rsidRPr="00C96677">
        <w:t>7.</w:t>
      </w:r>
      <w:r w:rsidRPr="00C96677">
        <w:tab/>
        <w:t>neemt met voldoening kennis van de inspanningen van de EU om Moldavië op het hoogste niveau politieke steun te verlenen, met name in de vorm van de allereerste topontmoeting tussen de EU en Moldavië in Chișinău op 4 juli 2025, het bezoek van regeringsleiders van Frankrijk, Duitsland en Polen aan Moldavië op 27 augustus 2025 en het bezoek van de president van Roemenië aan Moldavië op 31 augustus 2025, die allemaal dienden om nogmaals te benadrukken dat Moldavië op basis van verdiensten en eerbiediging van de democratische beginselen een reëel perspectief heeft om tot de EU toe te treden;</w:t>
      </w:r>
    </w:p>
    <w:p w14:paraId="31D8225C" w14:textId="77777777" w:rsidR="001E7BCF" w:rsidRPr="00C96677" w:rsidRDefault="001E7BCF" w:rsidP="001E7BCF">
      <w:pPr>
        <w:pStyle w:val="NormalHanging12a"/>
        <w:widowControl/>
        <w:rPr>
          <w:rStyle w:val="NormalHanging12aChar"/>
          <w:color w:val="000000"/>
          <w:szCs w:val="24"/>
        </w:rPr>
      </w:pPr>
      <w:r w:rsidRPr="00C96677">
        <w:lastRenderedPageBreak/>
        <w:t>8.</w:t>
      </w:r>
      <w:r w:rsidRPr="00C96677">
        <w:tab/>
        <w:t>herhaalt zijn oproep aan de EU om haar politieke steun te blijven aanvullen met toenemende financiële en technische steun voor de inspanningen van de Moldavische regering om buitenlandse inmenging in het democratische proces van het land tegen te gaan, onder meer door middel van aanvullende sanctielijsten zoals die van 15 juli 2025, het verlenen van aanvullende steun aan de EU-Partnerschapsmissie (EUPM) in Moldavië, de uitwisseling van informatie over verdachte geldstromen, onder meer in de vorm van cryptovaluta, en over schimmige en illegale financieringsnetwerken, het delen van expertise op het gebied van buitenlandse desinformatie en inmenging (FIMI), het tegengaan van hybride dreigingen en het versterken van de weerbaarheid;</w:t>
      </w:r>
      <w:bookmarkStart w:id="7" w:name="_Hlk194942091"/>
      <w:r w:rsidRPr="00C96677">
        <w:rPr>
          <w:rStyle w:val="NormalHanging12aChar"/>
          <w:color w:val="000000"/>
        </w:rPr>
        <w:t xml:space="preserve"> herhaalt zijn oproep aan de Moldavische autoriteiten en de EU om hun steun aan de onafhankelijke media en het prodemocratische maatschappelijk middenveld op te voeren, zodat journalisten op nationaal en regionaal niveau FIMI kunnen tegengaan en de digitale geletterdheid kan worden versterkt;</w:t>
      </w:r>
      <w:bookmarkEnd w:id="7"/>
      <w:r w:rsidRPr="00C96677">
        <w:rPr>
          <w:rStyle w:val="NormalHanging12aChar"/>
          <w:color w:val="000000"/>
        </w:rPr>
        <w:t xml:space="preserve"> verwelkomt de aankondiging van de Commissie over de oprichting van een nieuwe regionale hub van het Europees Waarnemingscentrum voor digitale media (EDMO) om Moldavië en Oekraïne te ondersteunen bij de bestrijding van desinformatie; dringt er bij alle grote onlineplatforms, met name Meta, Google, Telegram, TikTok, Microsoft en Rakuten, op aan nauw samen te werken met de Moldavische autoriteiten, het maatschappelijk middenveld en de nieuwe EDMO-hub; roept Moldavië ertoe op zijn wetgeving zo snel mogelijk in overeenstemming te brengen met de digitalemarktenverordening</w:t>
      </w:r>
      <w:r w:rsidRPr="00C96677">
        <w:rPr>
          <w:rStyle w:val="FootnoteReference"/>
          <w:color w:val="000000"/>
        </w:rPr>
        <w:footnoteReference w:id="5"/>
      </w:r>
      <w:r w:rsidRPr="00C96677">
        <w:rPr>
          <w:rStyle w:val="NormalHanging12aChar"/>
          <w:color w:val="000000"/>
        </w:rPr>
        <w:t xml:space="preserve"> en de digitaledienstenverordening</w:t>
      </w:r>
      <w:r w:rsidRPr="00C96677">
        <w:rPr>
          <w:rStyle w:val="FootnoteReference"/>
          <w:color w:val="000000"/>
        </w:rPr>
        <w:footnoteReference w:id="6"/>
      </w:r>
      <w:r w:rsidRPr="00C96677">
        <w:rPr>
          <w:rStyle w:val="NormalHanging12aChar"/>
          <w:color w:val="000000"/>
        </w:rPr>
        <w:t xml:space="preserve"> van de EU; verzoekt de Commissie Moldavië in dit verband specifieke steun te verlenen;</w:t>
      </w:r>
    </w:p>
    <w:p w14:paraId="4BAB0115" w14:textId="77777777" w:rsidR="001E7BCF" w:rsidRPr="00C96677" w:rsidRDefault="001E7BCF" w:rsidP="001E7BCF">
      <w:pPr>
        <w:pStyle w:val="NormalHanging12a"/>
        <w:widowControl/>
        <w:rPr>
          <w:szCs w:val="24"/>
        </w:rPr>
      </w:pPr>
      <w:r w:rsidRPr="00C96677">
        <w:t>9.</w:t>
      </w:r>
      <w:r w:rsidRPr="00C96677">
        <w:tab/>
        <w:t>moedigt de Moldavische autoriteiten aan om ten volle gebruik te maken van de expertise van de EUPM om buitenlandse inmenging in de aanloop naar de parlementsverkiezingen van 28 september 2025 tegen te gaan; spoort de Europese Dienst voor extern optreden en de Commissie aan gebruik te maken van alle beschikbare EU-instrumenten om Moldavië bij te staan bij de bestrijding van hybride dreigingen, ook door de inzet van het snellereactieteam bij hybride dreigingen, het snellereactieteam bij cyberincidenten en de EU-cyberbeveiligingsreserve; verwelkomt en vraagt om meer steun van de EU voor de inspanningen van het Moldavisch centrum voor strategische communicatie en de bestrijding van desinformatie met het oog op het coördineren van de strijd tegen buitenlandse inmenging bij diverse Moldavische instanties, alsmede de inspanningen van het nationale agentschap voor cyberbeveiliging en het nationaal instituut voor cyberbeveiliging; benadrukt nogmaals het belang van een betere uitwisseling van informatie en samenwerking op het gebied van inlichtingen over veiligheidsdreigingen tussen Moldavië en de EU en haar lidstaten; roept de EU op om lessen te trekken uit de ervaringen in Moldavië en deze toe te passen om de eigen verkiezingsprocessen en democratische instellingen van de EU te beschermen;</w:t>
      </w:r>
    </w:p>
    <w:p w14:paraId="7A555E6A" w14:textId="77777777" w:rsidR="001E7BCF" w:rsidRPr="00C96677" w:rsidRDefault="001E7BCF" w:rsidP="001E7BCF">
      <w:pPr>
        <w:pStyle w:val="NormalHanging12a"/>
        <w:widowControl/>
        <w:rPr>
          <w:szCs w:val="24"/>
        </w:rPr>
      </w:pPr>
      <w:r w:rsidRPr="00C96677">
        <w:t>10.</w:t>
      </w:r>
      <w:r w:rsidRPr="00C96677">
        <w:tab/>
        <w:t xml:space="preserve">wijst erop dat Moldavië zich consequent aansluit bij de standpunten van het gemeenschappelijk buitenlands en veiligheidsbeleid van de EU en sinds 2024 het </w:t>
      </w:r>
      <w:r w:rsidRPr="00C96677">
        <w:lastRenderedPageBreak/>
        <w:t>veiligheids- en defensiepartnerschap met de EU en zijn nieuwe nationale defensiestrategie voor 2024-2034 ten uitvoer legt; roept de lidstaten daarom op om de financiering voor Moldavië via de Europese Vredesfaciliteit te verhogen, mede in het licht van de herhaalde schendingen van het Moldavische luchtruim door Russische drones en raketten, en om Moldavië deel te laten nemen aan gezamenlijke defensieaankopen in het kader van het programma voor de Europese defensie-industrie; wijst op de rol van Moldavië voor het waarborgen van de veiligheid en stabiliteit van de oostgrens van de EU en het Zwarte Zeegebied, tegen de achtergrond van de humanitaire en energiecrises als gevolg van de Russische aanvalsoorlog tegen Oekraïne;</w:t>
      </w:r>
    </w:p>
    <w:p w14:paraId="3813F5E7" w14:textId="77777777" w:rsidR="001E7BCF" w:rsidRPr="00C96677" w:rsidRDefault="001E7BCF" w:rsidP="001E7BCF">
      <w:pPr>
        <w:pStyle w:val="NormalHanging12a"/>
        <w:widowControl/>
      </w:pPr>
      <w:r w:rsidRPr="00C96677">
        <w:t>11.</w:t>
      </w:r>
      <w:r w:rsidRPr="00C96677">
        <w:tab/>
        <w:t>roept de Russische Federatie op haar strijdkrachten, materieel en munitie uit de regio Transnistrië terug te trekken en een vreedzame oplossing van het conflict te steunen, in overeenstemming met het internationaal recht en de soevereiniteit en territoriale integriteit van Moldavië;</w:t>
      </w:r>
    </w:p>
    <w:p w14:paraId="70CD803F" w14:textId="08545A92" w:rsidR="001E7BCF" w:rsidRPr="00C96677" w:rsidRDefault="001E7BCF" w:rsidP="001E7BCF">
      <w:pPr>
        <w:pStyle w:val="NormalHanging12a"/>
        <w:widowControl/>
        <w:rPr>
          <w:szCs w:val="24"/>
        </w:rPr>
      </w:pPr>
      <w:r w:rsidRPr="00C96677">
        <w:t>12.</w:t>
      </w:r>
      <w:r w:rsidRPr="00C96677">
        <w:tab/>
        <w:t>dringt er bij de Moldavische autoriteiten, het maatschappelijk middenveld en de EU op aan om de strategische communicatie te verbeteren, door de door Rusland verspreide desinformatie over de EU en haar beleid te ontkrachten en te bestrijden en de concrete voordelen op korte en lange termijn van de toetreding tot de EU voor de bevolking van Moldavië te benadrukken</w:t>
      </w:r>
      <w:bookmarkStart w:id="8" w:name="_Hlk196923727"/>
      <w:r w:rsidRPr="00C96677">
        <w:t>, met bijzondere aandacht voor de communicatie in regio’s zoals Gagaoezië en in sociaal‑economisch achtergestelde gemeenschappen op het platteland;</w:t>
      </w:r>
      <w:bookmarkEnd w:id="8"/>
      <w:r w:rsidRPr="00C96677">
        <w:t xml:space="preserve"> verklaart zich bereid om het parlement van Moldavië te blijven steunen door middel van gezamenlijk opgezette activiteiten ter ondersteuning van de democratie; beveelt daarom aan om ten volle gebruik te maken van het verbindingsbureau van het Europees Parlement in Chișinău voor het verspreiden van informatie, het tegengaan van desinformatie en het ondersteunen van burgerparticipatie, en zo bij te dragen aan het versterken van de democratische veerkracht van Moldavië; maakt zich grote zorgen over de grootschalige Russische campagne om homofobie uit te buiten, onder meer door aan te zetten tot intimidatie en fysieke aanvallen, en verzoekt de Commissie, de lidstaten en Moldavië te werken aan de veerkracht van de Moldavische samenleving door te pleiten voor gelijkheid voor iedereen, ongeacht seksuele gerichtheid of genderidentiteit;</w:t>
      </w:r>
    </w:p>
    <w:p w14:paraId="16BDEF38" w14:textId="27234AB6" w:rsidR="001E7BCF" w:rsidRPr="00C96677" w:rsidRDefault="001E7BCF" w:rsidP="001E7BCF">
      <w:pPr>
        <w:pStyle w:val="NormalHanging12a"/>
        <w:widowControl/>
      </w:pPr>
      <w:r w:rsidRPr="00C96677">
        <w:t>13.</w:t>
      </w:r>
      <w:r w:rsidRPr="00C96677">
        <w:tab/>
        <w:t xml:space="preserve">wijst erop dat de Russische nationale veiligheidsstrategie, die op 31 december 2015 door president Poetin is goedgekeurd en aansluit bij de militaire doctrine van 25 december 2014, expliciet de zogenaamde traditionele Russische spirituele en morele waarden verdedigt tegen de vermeende westerse invloed, waarmee Rusland aantoont dat het deze waarden en de instellingen die deze waarden uitdragen, voor strategische doeleinden inzet; spreekt zijn bezorgdheid uit over het feit dat Rusland zogenaamde traditionele Russische waarden inzet voor strategische doeleinden en benadrukt dat een van de belangrijkste kanalen voor Russische propaganda in Moldavië de aan Moskou gelieerde Metropool van Chișinău en heel Moldavië is, die onder de jurisdictie van de Russisch-orthodoxe kerk valt; </w:t>
      </w:r>
      <w:r w:rsidR="00B66AF7" w:rsidRPr="00C96677">
        <w:t xml:space="preserve">benadrukt dat de Russisch‑orthodoxe kerk in april 2024 door de Parlementaire Vergadering van de Raad van Europa is aangemerkt als propaganda-instrument van het Kremlin en dat de oecumenische patriarch van Constantinopel de militaristische en etnisch-nationalistische koers van de Russisch-orthodoxe kerk in augustus 2024 als ketters heeft veroordeeld; </w:t>
      </w:r>
      <w:r w:rsidRPr="00C96677">
        <w:t xml:space="preserve">veroordeelt de </w:t>
      </w:r>
      <w:r w:rsidRPr="00C96677">
        <w:lastRenderedPageBreak/>
        <w:t>intimidatie van de geestelijken van de orthodoxe Metropool van Bessarabi</w:t>
      </w:r>
      <w:r w:rsidR="00B66AF7" w:rsidRPr="00C96677">
        <w:t>ë</w:t>
      </w:r>
      <w:r w:rsidRPr="00C96677">
        <w:t xml:space="preserve"> door aan Rusland gelieerde actoren</w:t>
      </w:r>
      <w:r w:rsidR="00B66AF7" w:rsidRPr="00C96677">
        <w:rPr>
          <w:rStyle w:val="FootnoteReference"/>
        </w:rPr>
        <w:footnoteReference w:id="7"/>
      </w:r>
      <w:r w:rsidRPr="00C96677">
        <w:t>;</w:t>
      </w:r>
    </w:p>
    <w:p w14:paraId="0DE86B61" w14:textId="000DDF53" w:rsidR="00BA7F01" w:rsidRPr="00C96677" w:rsidRDefault="00462765" w:rsidP="001E7BCF">
      <w:pPr>
        <w:pStyle w:val="NormalHanging12a"/>
        <w:widowControl/>
      </w:pPr>
      <w:r w:rsidRPr="00C96677">
        <w:t>14.</w:t>
      </w:r>
      <w:r w:rsidR="00BA7F01" w:rsidRPr="00C96677">
        <w:tab/>
        <w:t>erkent het feit dat de orthodoxe metropool Bessarabië het slachtoffer is geweest van onderdrukking door de Sovjet-Unie; merkt op dat de orthodoxe metropool van Bessarabië, nadat deze op onrechtmatige wijze door de Sovjetautoriteiten was opgeheven, pas in 2002 officieel is erkend, na een besluit hierover van het Europees Hof voor de Rechten van de Mens;</w:t>
      </w:r>
    </w:p>
    <w:p w14:paraId="0F8EF46A" w14:textId="0FF60063" w:rsidR="001E7BCF" w:rsidRPr="00C96677" w:rsidRDefault="00462765" w:rsidP="001E7BCF">
      <w:pPr>
        <w:pStyle w:val="NormalHanging12a"/>
        <w:widowControl/>
        <w:rPr>
          <w:szCs w:val="24"/>
        </w:rPr>
      </w:pPr>
      <w:r w:rsidRPr="00C96677">
        <w:t>15</w:t>
      </w:r>
      <w:r w:rsidR="001E7BCF" w:rsidRPr="00C96677">
        <w:t>.</w:t>
      </w:r>
      <w:r w:rsidR="001E7BCF" w:rsidRPr="00C96677">
        <w:tab/>
        <w:t>wijst op de belangrijke bijdragen die maatschappelijke organisaties leveren aan de bestrijding van desinformatie en de kwaadaardige invloed van antihervormingsgezinde politieke actoren en aan Rusland gelieerde actoren, alsook aan de verdediging van de mensenrechten, de bevordering van transparantie en het toezicht op het bestuur en de voortgang van hervormingen in verband met de democratie en de toetreding tot de EU;</w:t>
      </w:r>
    </w:p>
    <w:p w14:paraId="7A433B67" w14:textId="6B798864" w:rsidR="001E7BCF" w:rsidRPr="00C96677" w:rsidRDefault="00462765" w:rsidP="001E7BCF">
      <w:pPr>
        <w:pStyle w:val="NormalHanging12a"/>
        <w:widowControl/>
        <w:rPr>
          <w:szCs w:val="24"/>
        </w:rPr>
      </w:pPr>
      <w:r w:rsidRPr="00C96677">
        <w:t>16</w:t>
      </w:r>
      <w:r w:rsidR="001E7BCF" w:rsidRPr="00C96677">
        <w:t>.</w:t>
      </w:r>
      <w:r w:rsidR="001E7BCF" w:rsidRPr="00C96677">
        <w:tab/>
        <w:t>benadrukt dat een uitgebreide hervorming van het rechtssysteem en de strijd tegen corruptie van cruciaal belang zijn, zowel voor de weerbaarheid van Moldavië tegen buitenlandse inmenging en hybride dreigingen als voor het welslagen van democratische hervormingen en hervormingen die verband houden met de toetreding tot de EU; beseft dat Moldavië voortdurend inspanningen levert om een onafhankelijk, onpartijdig, verantwoordingsplichtig en professioneel gerechtelijk apparaat op te bouwen en het doorlichtingsproces voor het einde van 2026 af te ronden; benadrukt dat gezorgd moet worden voor een betere coördinatie tussen alle belangrijke instellingen op het gebied van corruptiebestrijding en justitie, teneinde de uitgebreide hervormingen volledig ten uitvoer te leggen, overtuigende resultaten te boeken op het gebied van vervolging en veroordeling in corruptiezaken en het vertrouwen van het publiek in de democratische instellingen en het hervormingsproces te behouden; roept de toekomstige regering daarom op om het huidige ambitieniveau te handhaven en de hervormingen op het gebied van de rechtsstaat te voltooien;</w:t>
      </w:r>
    </w:p>
    <w:p w14:paraId="004AE7C4" w14:textId="30724789" w:rsidR="001E7BCF" w:rsidRPr="00C96677" w:rsidRDefault="00462765" w:rsidP="001E7BCF">
      <w:pPr>
        <w:pStyle w:val="NormalHanging12a"/>
        <w:widowControl/>
      </w:pPr>
      <w:r w:rsidRPr="00C96677">
        <w:t>17</w:t>
      </w:r>
      <w:r w:rsidR="001E7BCF" w:rsidRPr="00C96677">
        <w:t>.</w:t>
      </w:r>
      <w:r w:rsidR="001E7BCF" w:rsidRPr="00C96677">
        <w:tab/>
        <w:t>benadrukt het cruciale belang van energieonafhankelijkheid en connectiviteit voor een grotere weerbaarheid tegen Russische hybride dreigingen in de energiesector en dringt er daarom op aan dat het groeiplan sneller wordt uitgevoerd; veroordeelt het feit dat Rusland de energievoorziening blijft inzetten als drukmiddel en verwelkomt de vooruitgang die Moldavië heeft geboekt bij het diversifiëren van zijn energiebronnen, het in gebruik nemen van hernieuwbare energiebronnen en energieopslagsystemen, het verminderen van de afhankelijkheid van Russisch gas en de integratie in de energiemarkt van de EU;</w:t>
      </w:r>
    </w:p>
    <w:p w14:paraId="02163E17" w14:textId="1E6C8348" w:rsidR="00BA7F01" w:rsidRPr="00C96677" w:rsidRDefault="00462765" w:rsidP="001E7BCF">
      <w:pPr>
        <w:pStyle w:val="NormalHanging12a"/>
        <w:widowControl/>
        <w:rPr>
          <w:szCs w:val="24"/>
        </w:rPr>
      </w:pPr>
      <w:r w:rsidRPr="00C96677">
        <w:t>18.</w:t>
      </w:r>
      <w:r w:rsidR="00BA7F01" w:rsidRPr="00C96677">
        <w:tab/>
        <w:t>prijst de Republiek Moldavië voor de aanzienlijke vooruitgang die het land heeft geboekt bij het afbouwen van het gebruik van Russische energiebronnen, het versnellen van de decarbonisatie en digitalisering van zijn energiemix en de integratie in de energiemarkt van de EU; verzoekt de EU en haar lidstaten nogmaals de energiezekerheid van Moldavië te blijven ondersteunen door de aanleg en financiering van nieuwe elektriciteitsverbindingen met de buurlanden te ondersteunen, en in te zetten op energie-efficiëntie, hernieuwbare energie en systemen voor energieopslag, overeenkomstig de doestellingen in de nationale energie- en klimaatplannen van Moldavië;</w:t>
      </w:r>
    </w:p>
    <w:p w14:paraId="54A9FBBB" w14:textId="2B2F1921" w:rsidR="001E7BCF" w:rsidRPr="00C96677" w:rsidRDefault="00462765" w:rsidP="001E7BCF">
      <w:pPr>
        <w:pStyle w:val="NormalHanging12a"/>
        <w:widowControl/>
        <w:rPr>
          <w:szCs w:val="24"/>
        </w:rPr>
      </w:pPr>
      <w:r w:rsidRPr="00C96677">
        <w:t>19</w:t>
      </w:r>
      <w:r w:rsidR="001E7BCF" w:rsidRPr="00C96677">
        <w:t>.</w:t>
      </w:r>
      <w:r w:rsidR="001E7BCF" w:rsidRPr="00C96677">
        <w:tab/>
        <w:t>verwelkomt de vlotte goedkeuring van het groeiplan voor Moldavië ter hoogte van 1,9 miljard EUR, dat een ongekend niveau van steun vertegenwoordigt en tot doel heeft de Moldavische economie te stimuleren en het land dichter bij het EU-lidmaatschap te brengen door het versnellen van essentiële hervormingen in sectoren als energie, milieu, vervoer en de digitale sector; verwelkomt de uitbetaling van de voorfinancieringstranche van 270 miljoen EUR uit het EU-groeiplan voor Moldavië ter hoogte van 1,9 miljard EUR en dringt aan op een snelle vrijgave van de eerste reguliere tranche ter ondersteuning van belangrijke hervormingen op het gebied van infrastructuur, menselijk kapitaal, bedrijfsontwikkeling en de digitale en de groene transitie; dringt er bij de EU en Moldavië op aan om de geleidelijke integratie van het land in de interne markt van de EU te versnellen, zodat er al vóór de formele toetreding tot de EU tastbare sociaal-economische voordelen worden gerealiseerd; verwelkomt de recente overeenkomst die erop gericht is om de handelsbepalingen van de diepe en brede vrijhandelszone tussen de EU en Moldavië te herzien en bij te werken, waardoor de markttoegang voor Moldavische landbouwexportproducten waarvoor nog handelsbeperkingen gelden, wordt verbeterd; steunt de opname van Moldavië in het pretoetredingsinstrument tijdens het volgende meerjarig financieel kader; prijst het besluit van de Raad van 25 juli 2025 om Moldavië met ingang van 1 januari 2026 op te nemen in de “roaming tegen thuistarief”-zone, in navolging van een soortgelijk besluit betreffende Oekraïne dat op 14 juli 2025 is genomen;</w:t>
      </w:r>
    </w:p>
    <w:p w14:paraId="182B1140" w14:textId="48E3CFF8" w:rsidR="009B5FB9" w:rsidRPr="00C96677" w:rsidRDefault="00462765" w:rsidP="009B5FB9">
      <w:pPr>
        <w:pStyle w:val="NormalHanging12a"/>
        <w:widowControl/>
      </w:pPr>
      <w:r w:rsidRPr="00C96677">
        <w:t>20</w:t>
      </w:r>
      <w:r w:rsidR="001E7BCF" w:rsidRPr="00C96677">
        <w:t>.</w:t>
      </w:r>
      <w:r w:rsidR="001E7BCF" w:rsidRPr="00C96677">
        <w:tab/>
        <w:t>verzoekt zijn Voorzitter deze resolutie te doen toekomen aan de vicevoorzitter van de Commissie/hoge vertegenwoordiger van de Unie voor buitenlandse zaken en veiligheidsbeleid, de Raad, de Commissie, de regeringen en parlementen van de lidstaten, de Raad van Europa, de Organisatie voor Veiligheid en Samenwerking in Europa alsmede de president, de regering en het parlement van Moldavië.</w:t>
      </w:r>
    </w:p>
    <w:sectPr w:rsidR="009B5FB9" w:rsidRPr="00C96677" w:rsidSect="009B5FB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AB379" w14:textId="77777777" w:rsidR="00692EA5" w:rsidRPr="009B5FB9" w:rsidRDefault="00692EA5">
      <w:r w:rsidRPr="009B5FB9">
        <w:separator/>
      </w:r>
    </w:p>
  </w:endnote>
  <w:endnote w:type="continuationSeparator" w:id="0">
    <w:p w14:paraId="2A9316BF" w14:textId="77777777" w:rsidR="00692EA5" w:rsidRPr="009B5FB9" w:rsidRDefault="00692EA5">
      <w:r w:rsidRPr="009B5F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51949" w14:textId="77777777" w:rsidR="00692EA5" w:rsidRPr="009B5FB9" w:rsidRDefault="00692EA5">
      <w:r w:rsidRPr="009B5FB9">
        <w:separator/>
      </w:r>
    </w:p>
  </w:footnote>
  <w:footnote w:type="continuationSeparator" w:id="0">
    <w:p w14:paraId="55C25FD9" w14:textId="77777777" w:rsidR="00692EA5" w:rsidRPr="009B5FB9" w:rsidRDefault="00692EA5">
      <w:r w:rsidRPr="009B5FB9">
        <w:continuationSeparator/>
      </w:r>
    </w:p>
  </w:footnote>
  <w:footnote w:id="1">
    <w:p w14:paraId="3680E1E6" w14:textId="6F0BEE8E" w:rsidR="001E7BCF" w:rsidRPr="009B5FB9" w:rsidRDefault="001E7BCF" w:rsidP="009B5FB9">
      <w:pPr>
        <w:pStyle w:val="FootnoteText"/>
        <w:ind w:left="567" w:hanging="567"/>
        <w:rPr>
          <w:sz w:val="24"/>
          <w:lang w:val="nl-NL"/>
        </w:rPr>
      </w:pPr>
      <w:r w:rsidRPr="009B5FB9">
        <w:rPr>
          <w:rStyle w:val="FootnoteReference"/>
          <w:sz w:val="24"/>
          <w:lang w:val="nl-NL"/>
        </w:rPr>
        <w:footnoteRef/>
      </w:r>
      <w:r w:rsidR="009B5FB9" w:rsidRPr="009B5FB9">
        <w:rPr>
          <w:sz w:val="24"/>
          <w:lang w:val="nl-NL"/>
        </w:rPr>
        <w:t xml:space="preserve"> </w:t>
      </w:r>
      <w:r w:rsidR="009B5FB9" w:rsidRPr="009B5FB9">
        <w:rPr>
          <w:sz w:val="24"/>
          <w:lang w:val="nl-NL"/>
        </w:rPr>
        <w:tab/>
      </w:r>
      <w:r w:rsidRPr="009B5FB9">
        <w:rPr>
          <w:sz w:val="24"/>
          <w:lang w:val="nl-NL"/>
        </w:rPr>
        <w:t>Aangenomen teksten, P10_TA(2025)0131.</w:t>
      </w:r>
    </w:p>
  </w:footnote>
  <w:footnote w:id="2">
    <w:p w14:paraId="0966F72B" w14:textId="198B3631" w:rsidR="001E7BCF" w:rsidRPr="009B5FB9" w:rsidRDefault="001E7BCF" w:rsidP="009B5FB9">
      <w:pPr>
        <w:pStyle w:val="FootnoteText"/>
        <w:ind w:left="567" w:hanging="567"/>
        <w:rPr>
          <w:sz w:val="24"/>
          <w:lang w:val="nl-NL"/>
        </w:rPr>
      </w:pPr>
      <w:r w:rsidRPr="009B5FB9">
        <w:rPr>
          <w:rStyle w:val="FootnoteReference"/>
          <w:sz w:val="24"/>
          <w:lang w:val="nl-NL"/>
        </w:rPr>
        <w:footnoteRef/>
      </w:r>
      <w:r w:rsidR="009B5FB9" w:rsidRPr="009B5FB9">
        <w:rPr>
          <w:sz w:val="24"/>
          <w:lang w:val="nl-NL"/>
        </w:rPr>
        <w:t xml:space="preserve"> </w:t>
      </w:r>
      <w:r w:rsidR="009B5FB9" w:rsidRPr="009B5FB9">
        <w:rPr>
          <w:sz w:val="24"/>
          <w:lang w:val="nl-NL"/>
        </w:rPr>
        <w:tab/>
      </w:r>
      <w:r w:rsidRPr="009B5FB9">
        <w:rPr>
          <w:sz w:val="24"/>
          <w:lang w:val="nl-NL"/>
        </w:rPr>
        <w:t xml:space="preserve">PB C, C/2025/204, 14.1.2025, ELI: </w:t>
      </w:r>
      <w:hyperlink r:id="rId1" w:history="1">
        <w:r w:rsidRPr="009B5FB9">
          <w:rPr>
            <w:rStyle w:val="Hyperlink"/>
            <w:sz w:val="24"/>
            <w:lang w:val="nl-NL"/>
          </w:rPr>
          <w:t>http://data.europa.eu/eli/C/2025/204/oj</w:t>
        </w:r>
      </w:hyperlink>
      <w:r w:rsidRPr="009B5FB9">
        <w:rPr>
          <w:sz w:val="24"/>
          <w:lang w:val="nl-NL"/>
        </w:rPr>
        <w:t>.</w:t>
      </w:r>
    </w:p>
  </w:footnote>
  <w:footnote w:id="3">
    <w:p w14:paraId="4E24F274" w14:textId="0A9735AF" w:rsidR="001E7BCF" w:rsidRPr="009B5FB9" w:rsidRDefault="001E7BCF" w:rsidP="009B5FB9">
      <w:pPr>
        <w:pStyle w:val="FootnoteText"/>
        <w:ind w:left="567" w:hanging="567"/>
        <w:rPr>
          <w:sz w:val="24"/>
          <w:lang w:val="nl-NL"/>
        </w:rPr>
      </w:pPr>
      <w:r w:rsidRPr="009B5FB9">
        <w:rPr>
          <w:rStyle w:val="FootnoteReference"/>
          <w:sz w:val="24"/>
          <w:lang w:val="nl-NL"/>
        </w:rPr>
        <w:footnoteRef/>
      </w:r>
      <w:r w:rsidR="009B5FB9" w:rsidRPr="009B5FB9">
        <w:rPr>
          <w:sz w:val="24"/>
          <w:lang w:val="nl-NL"/>
        </w:rPr>
        <w:t xml:space="preserve"> </w:t>
      </w:r>
      <w:r w:rsidR="009B5FB9" w:rsidRPr="009B5FB9">
        <w:rPr>
          <w:sz w:val="24"/>
          <w:lang w:val="nl-NL"/>
        </w:rPr>
        <w:tab/>
      </w:r>
      <w:r w:rsidRPr="009B5FB9">
        <w:rPr>
          <w:sz w:val="24"/>
          <w:lang w:val="nl-NL"/>
        </w:rPr>
        <w:t>PB L 260 van 30.8.2014, blz. 4, ELI: </w:t>
      </w:r>
      <w:hyperlink r:id="rId2" w:tooltip="Geeft toegang tot dit document via de ELI URI." w:history="1">
        <w:r w:rsidRPr="009B5FB9">
          <w:rPr>
            <w:rStyle w:val="Hyperlink"/>
            <w:sz w:val="24"/>
            <w:lang w:val="nl-NL"/>
          </w:rPr>
          <w:t>http://data.europa.eu/eli/agree_internation/2014/492/oj</w:t>
        </w:r>
      </w:hyperlink>
      <w:r w:rsidRPr="009B5FB9">
        <w:rPr>
          <w:sz w:val="24"/>
          <w:lang w:val="nl-NL"/>
        </w:rPr>
        <w:t>.</w:t>
      </w:r>
    </w:p>
  </w:footnote>
  <w:footnote w:id="4">
    <w:p w14:paraId="5694FB84" w14:textId="79CB6E2B" w:rsidR="00BA7F01" w:rsidRPr="00BA7F01" w:rsidRDefault="00BA7F01" w:rsidP="00BA7F01">
      <w:pPr>
        <w:pStyle w:val="FootnoteText"/>
        <w:ind w:left="567" w:hanging="567"/>
        <w:rPr>
          <w:sz w:val="24"/>
          <w:szCs w:val="24"/>
          <w:lang w:val="fr-BE"/>
        </w:rPr>
      </w:pPr>
      <w:r w:rsidRPr="00BA7F01">
        <w:rPr>
          <w:rStyle w:val="FootnoteReference"/>
          <w:sz w:val="24"/>
          <w:szCs w:val="24"/>
        </w:rPr>
        <w:footnoteRef/>
      </w:r>
      <w:r w:rsidRPr="00BA7F01">
        <w:rPr>
          <w:sz w:val="24"/>
          <w:szCs w:val="24"/>
        </w:rPr>
        <w:t xml:space="preserve"> </w:t>
      </w:r>
      <w:r w:rsidRPr="00BA7F01">
        <w:rPr>
          <w:sz w:val="24"/>
          <w:szCs w:val="24"/>
        </w:rPr>
        <w:tab/>
        <w:t>https:/www.zdg.md/en/kremlins-digital-army-an-undercover-investigation-its-paid-let-me-tell-you-its-paid-directly-from-moscow.</w:t>
      </w:r>
    </w:p>
  </w:footnote>
  <w:footnote w:id="5">
    <w:p w14:paraId="7A763111" w14:textId="3D4E997D" w:rsidR="001E7BCF" w:rsidRPr="009B5FB9" w:rsidRDefault="001E7BCF" w:rsidP="009B5FB9">
      <w:pPr>
        <w:pStyle w:val="FootnoteText"/>
        <w:ind w:left="567" w:hanging="567"/>
        <w:rPr>
          <w:sz w:val="24"/>
          <w:lang w:val="nl-NL"/>
        </w:rPr>
      </w:pPr>
      <w:r w:rsidRPr="009B5FB9">
        <w:rPr>
          <w:rStyle w:val="FootnoteReference"/>
          <w:sz w:val="24"/>
          <w:lang w:val="nl-NL"/>
        </w:rPr>
        <w:footnoteRef/>
      </w:r>
      <w:r w:rsidR="009B5FB9" w:rsidRPr="009B5FB9">
        <w:rPr>
          <w:sz w:val="24"/>
          <w:lang w:val="nl-NL"/>
        </w:rPr>
        <w:t xml:space="preserve"> </w:t>
      </w:r>
      <w:r w:rsidR="009B5FB9" w:rsidRPr="009B5FB9">
        <w:rPr>
          <w:sz w:val="24"/>
          <w:lang w:val="nl-NL"/>
        </w:rPr>
        <w:tab/>
      </w:r>
      <w:r w:rsidRPr="009B5FB9">
        <w:rPr>
          <w:sz w:val="24"/>
          <w:lang w:val="nl-NL"/>
        </w:rPr>
        <w:t xml:space="preserve">Verordening (EU) 2022/1925 van het Europees Parlement en de Raad van 14 september 2022 over betwistbare en eerlijke markten in de digitale sector, en tot wijziging van Richtlijnen (EU) 2019/1937 en (EU) 2020/1828 (PB L 265 van 12.10.2022, blz. 1, ELI: </w:t>
      </w:r>
      <w:hyperlink r:id="rId3" w:history="1">
        <w:r w:rsidRPr="009B5FB9">
          <w:rPr>
            <w:rStyle w:val="Hyperlink"/>
            <w:sz w:val="24"/>
            <w:lang w:val="nl-NL"/>
          </w:rPr>
          <w:t>http://data.europa.eu/eli/reg/2022/1925/oj</w:t>
        </w:r>
      </w:hyperlink>
      <w:r w:rsidRPr="009B5FB9">
        <w:rPr>
          <w:sz w:val="24"/>
          <w:lang w:val="nl-NL"/>
        </w:rPr>
        <w:t>).</w:t>
      </w:r>
    </w:p>
  </w:footnote>
  <w:footnote w:id="6">
    <w:p w14:paraId="23454CB8" w14:textId="77B47B45" w:rsidR="001E7BCF" w:rsidRPr="009B5FB9" w:rsidRDefault="001E7BCF" w:rsidP="009B5FB9">
      <w:pPr>
        <w:pStyle w:val="FootnoteText"/>
        <w:ind w:left="567" w:hanging="567"/>
        <w:rPr>
          <w:sz w:val="24"/>
          <w:lang w:val="nl-NL"/>
        </w:rPr>
      </w:pPr>
      <w:r w:rsidRPr="009B5FB9">
        <w:rPr>
          <w:rStyle w:val="FootnoteReference"/>
          <w:sz w:val="24"/>
          <w:lang w:val="nl-NL"/>
        </w:rPr>
        <w:footnoteRef/>
      </w:r>
      <w:r w:rsidR="009B5FB9" w:rsidRPr="009B5FB9">
        <w:rPr>
          <w:sz w:val="24"/>
          <w:lang w:val="nl-NL"/>
        </w:rPr>
        <w:t xml:space="preserve"> </w:t>
      </w:r>
      <w:r w:rsidR="009B5FB9" w:rsidRPr="009B5FB9">
        <w:rPr>
          <w:sz w:val="24"/>
          <w:lang w:val="nl-NL"/>
        </w:rPr>
        <w:tab/>
      </w:r>
      <w:r w:rsidRPr="009B5FB9">
        <w:rPr>
          <w:sz w:val="24"/>
          <w:lang w:val="nl-NL"/>
        </w:rPr>
        <w:t xml:space="preserve">Verordening (EU) 2022/2065 van het Europees Parlement en de Raad van 19 oktober 2022 betreffende een eengemaakte markt voor digitale diensten en tot wijziging van Richtlijn 2000/31/EG (PB L 277 van 27.10.2022, blz. 1, ELI: </w:t>
      </w:r>
      <w:hyperlink r:id="rId4" w:history="1">
        <w:r w:rsidRPr="009B5FB9">
          <w:rPr>
            <w:rStyle w:val="Hyperlink"/>
            <w:sz w:val="24"/>
            <w:lang w:val="nl-NL"/>
          </w:rPr>
          <w:t>http://data.europa.eu/eli/reg/2022/2065/oj</w:t>
        </w:r>
      </w:hyperlink>
      <w:r w:rsidRPr="009B5FB9">
        <w:rPr>
          <w:sz w:val="24"/>
          <w:lang w:val="nl-NL"/>
        </w:rPr>
        <w:t>).</w:t>
      </w:r>
    </w:p>
  </w:footnote>
  <w:footnote w:id="7">
    <w:p w14:paraId="46DE3732" w14:textId="4DB506AB" w:rsidR="00B66AF7" w:rsidRPr="00B66AF7" w:rsidRDefault="00B66AF7" w:rsidP="00B66AF7">
      <w:pPr>
        <w:pStyle w:val="FootnoteText"/>
        <w:ind w:left="567" w:hanging="567"/>
        <w:rPr>
          <w:sz w:val="24"/>
          <w:szCs w:val="24"/>
          <w:lang w:val="fr-BE"/>
        </w:rPr>
      </w:pPr>
      <w:r w:rsidRPr="00B66AF7">
        <w:rPr>
          <w:rStyle w:val="FootnoteReference"/>
          <w:sz w:val="24"/>
          <w:szCs w:val="24"/>
        </w:rPr>
        <w:footnoteRef/>
      </w:r>
      <w:r w:rsidRPr="00B66AF7">
        <w:rPr>
          <w:sz w:val="24"/>
          <w:szCs w:val="24"/>
        </w:rPr>
        <w:t xml:space="preserve"> </w:t>
      </w:r>
      <w:r w:rsidRPr="00B66AF7">
        <w:rPr>
          <w:sz w:val="24"/>
          <w:szCs w:val="24"/>
          <w:lang w:val="fr-BE"/>
        </w:rPr>
        <w:tab/>
        <w:t>https://pace.coe.int/en/files/33808/html, https://www.thetablet.co.uk/news/bartholomew-accuses-russian-church-of-ethno-nationalist-heresy.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1618067">
    <w:abstractNumId w:val="9"/>
  </w:num>
  <w:num w:numId="2" w16cid:durableId="1068922589">
    <w:abstractNumId w:val="9"/>
  </w:num>
  <w:num w:numId="3" w16cid:durableId="848253229">
    <w:abstractNumId w:val="7"/>
  </w:num>
  <w:num w:numId="4" w16cid:durableId="955598286">
    <w:abstractNumId w:val="7"/>
  </w:num>
  <w:num w:numId="5" w16cid:durableId="554437060">
    <w:abstractNumId w:val="6"/>
  </w:num>
  <w:num w:numId="6" w16cid:durableId="961376411">
    <w:abstractNumId w:val="6"/>
  </w:num>
  <w:num w:numId="7" w16cid:durableId="1307010349">
    <w:abstractNumId w:val="5"/>
  </w:num>
  <w:num w:numId="8" w16cid:durableId="1844785304">
    <w:abstractNumId w:val="5"/>
  </w:num>
  <w:num w:numId="9" w16cid:durableId="83037190">
    <w:abstractNumId w:val="4"/>
  </w:num>
  <w:num w:numId="10" w16cid:durableId="1864438538">
    <w:abstractNumId w:val="4"/>
  </w:num>
  <w:num w:numId="11" w16cid:durableId="51739749">
    <w:abstractNumId w:val="8"/>
  </w:num>
  <w:num w:numId="12" w16cid:durableId="1669747417">
    <w:abstractNumId w:val="8"/>
  </w:num>
  <w:num w:numId="13" w16cid:durableId="279995302">
    <w:abstractNumId w:val="3"/>
  </w:num>
  <w:num w:numId="14" w16cid:durableId="1858078906">
    <w:abstractNumId w:val="3"/>
  </w:num>
  <w:num w:numId="15" w16cid:durableId="1921132324">
    <w:abstractNumId w:val="2"/>
  </w:num>
  <w:num w:numId="16" w16cid:durableId="1539313935">
    <w:abstractNumId w:val="2"/>
  </w:num>
  <w:num w:numId="17" w16cid:durableId="353268692">
    <w:abstractNumId w:val="1"/>
  </w:num>
  <w:num w:numId="18" w16cid:durableId="2063358786">
    <w:abstractNumId w:val="1"/>
  </w:num>
  <w:num w:numId="19" w16cid:durableId="239600621">
    <w:abstractNumId w:val="0"/>
  </w:num>
  <w:num w:numId="20" w16cid:durableId="2033260737">
    <w:abstractNumId w:val="0"/>
  </w:num>
  <w:num w:numId="21" w16cid:durableId="233971251">
    <w:abstractNumId w:val="9"/>
  </w:num>
  <w:num w:numId="22" w16cid:durableId="537353095">
    <w:abstractNumId w:val="7"/>
  </w:num>
  <w:num w:numId="23" w16cid:durableId="1065184899">
    <w:abstractNumId w:val="6"/>
  </w:num>
  <w:num w:numId="24" w16cid:durableId="84425124">
    <w:abstractNumId w:val="5"/>
  </w:num>
  <w:num w:numId="25" w16cid:durableId="1078290647">
    <w:abstractNumId w:val="4"/>
  </w:num>
  <w:num w:numId="26" w16cid:durableId="1030110194">
    <w:abstractNumId w:val="8"/>
  </w:num>
  <w:num w:numId="27" w16cid:durableId="1826123828">
    <w:abstractNumId w:val="3"/>
  </w:num>
  <w:num w:numId="28" w16cid:durableId="1153333450">
    <w:abstractNumId w:val="2"/>
  </w:num>
  <w:num w:numId="29" w16cid:durableId="530607828">
    <w:abstractNumId w:val="1"/>
  </w:num>
  <w:num w:numId="30" w16cid:durableId="116338417">
    <w:abstractNumId w:val="0"/>
  </w:num>
  <w:num w:numId="31" w16cid:durableId="1063481603">
    <w:abstractNumId w:val="9"/>
  </w:num>
  <w:num w:numId="32" w16cid:durableId="2116097228">
    <w:abstractNumId w:val="7"/>
  </w:num>
  <w:num w:numId="33" w16cid:durableId="2123259507">
    <w:abstractNumId w:val="6"/>
  </w:num>
  <w:num w:numId="34" w16cid:durableId="2038502225">
    <w:abstractNumId w:val="5"/>
  </w:num>
  <w:num w:numId="35" w16cid:durableId="1690374090">
    <w:abstractNumId w:val="4"/>
  </w:num>
  <w:num w:numId="36" w16cid:durableId="948390948">
    <w:abstractNumId w:val="8"/>
  </w:num>
  <w:num w:numId="37" w16cid:durableId="1029990281">
    <w:abstractNumId w:val="3"/>
  </w:num>
  <w:num w:numId="38" w16cid:durableId="1736665874">
    <w:abstractNumId w:val="2"/>
  </w:num>
  <w:num w:numId="39" w16cid:durableId="426269286">
    <w:abstractNumId w:val="1"/>
  </w:num>
  <w:num w:numId="40" w16cid:durableId="593516271">
    <w:abstractNumId w:val="0"/>
  </w:num>
  <w:num w:numId="41" w16cid:durableId="856969311">
    <w:abstractNumId w:val="10"/>
  </w:num>
  <w:num w:numId="42" w16cid:durableId="867110336">
    <w:abstractNumId w:val="10"/>
  </w:num>
  <w:num w:numId="43" w16cid:durableId="46998691">
    <w:abstractNumId w:val="10"/>
  </w:num>
  <w:num w:numId="44" w16cid:durableId="14584501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 0357, 0256, 0359 en 0361/2025"/>
    <w:docVar w:name="dvlangue" w:val="NL"/>
    <w:docVar w:name="dvnumam" w:val="0"/>
    <w:docVar w:name="dvpe" w:val="776.179"/>
    <w:docVar w:name="dvtitre" w:val="Resolutie van het Europees Parlement van 10 september 2025 over de versterking van de weerbaarheid van Moldavië tegen Russische hybride dreigingen en kwaadwillige inmenging(2025/2811(RSP))"/>
  </w:docVars>
  <w:rsids>
    <w:rsidRoot w:val="00692EA5"/>
    <w:rsid w:val="00002272"/>
    <w:rsid w:val="00064002"/>
    <w:rsid w:val="000677B9"/>
    <w:rsid w:val="000831BA"/>
    <w:rsid w:val="000A42CC"/>
    <w:rsid w:val="000E7DD9"/>
    <w:rsid w:val="0010095E"/>
    <w:rsid w:val="00125B37"/>
    <w:rsid w:val="00187494"/>
    <w:rsid w:val="001E7BCF"/>
    <w:rsid w:val="001F32AE"/>
    <w:rsid w:val="002767FF"/>
    <w:rsid w:val="002B18FE"/>
    <w:rsid w:val="002B5493"/>
    <w:rsid w:val="00343214"/>
    <w:rsid w:val="00361C00"/>
    <w:rsid w:val="00363624"/>
    <w:rsid w:val="00395FA1"/>
    <w:rsid w:val="003E15D4"/>
    <w:rsid w:val="00411CCE"/>
    <w:rsid w:val="0041666E"/>
    <w:rsid w:val="00421060"/>
    <w:rsid w:val="0046276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2EA5"/>
    <w:rsid w:val="006F74FA"/>
    <w:rsid w:val="00731ADD"/>
    <w:rsid w:val="00734777"/>
    <w:rsid w:val="00747932"/>
    <w:rsid w:val="00751A4A"/>
    <w:rsid w:val="00756632"/>
    <w:rsid w:val="00762C74"/>
    <w:rsid w:val="00786EC0"/>
    <w:rsid w:val="007D1690"/>
    <w:rsid w:val="007E22AD"/>
    <w:rsid w:val="00817416"/>
    <w:rsid w:val="00842779"/>
    <w:rsid w:val="00862C57"/>
    <w:rsid w:val="00865F67"/>
    <w:rsid w:val="00881A7B"/>
    <w:rsid w:val="008840E5"/>
    <w:rsid w:val="00887B3E"/>
    <w:rsid w:val="008C2AC6"/>
    <w:rsid w:val="00930C23"/>
    <w:rsid w:val="0093193B"/>
    <w:rsid w:val="009509D8"/>
    <w:rsid w:val="00950B64"/>
    <w:rsid w:val="009564E0"/>
    <w:rsid w:val="00981893"/>
    <w:rsid w:val="009B5FB9"/>
    <w:rsid w:val="00A1687D"/>
    <w:rsid w:val="00A43E52"/>
    <w:rsid w:val="00A4678D"/>
    <w:rsid w:val="00A778C7"/>
    <w:rsid w:val="00AB441E"/>
    <w:rsid w:val="00AB6293"/>
    <w:rsid w:val="00AE0928"/>
    <w:rsid w:val="00AF3B82"/>
    <w:rsid w:val="00B12E95"/>
    <w:rsid w:val="00B22876"/>
    <w:rsid w:val="00B558F0"/>
    <w:rsid w:val="00B66AF7"/>
    <w:rsid w:val="00BA7F01"/>
    <w:rsid w:val="00BD48FE"/>
    <w:rsid w:val="00BD7BD8"/>
    <w:rsid w:val="00BE6ADC"/>
    <w:rsid w:val="00C05BFE"/>
    <w:rsid w:val="00C23CD4"/>
    <w:rsid w:val="00C61C0C"/>
    <w:rsid w:val="00C941CB"/>
    <w:rsid w:val="00C96677"/>
    <w:rsid w:val="00CC2357"/>
    <w:rsid w:val="00CF071A"/>
    <w:rsid w:val="00D058B8"/>
    <w:rsid w:val="00D56C11"/>
    <w:rsid w:val="00D834A0"/>
    <w:rsid w:val="00D872DF"/>
    <w:rsid w:val="00D91E21"/>
    <w:rsid w:val="00DA7FCD"/>
    <w:rsid w:val="00DE0FBC"/>
    <w:rsid w:val="00E365E1"/>
    <w:rsid w:val="00E820A4"/>
    <w:rsid w:val="00EB006A"/>
    <w:rsid w:val="00EB4772"/>
    <w:rsid w:val="00ED169E"/>
    <w:rsid w:val="00ED4235"/>
    <w:rsid w:val="00F04346"/>
    <w:rsid w:val="00F075DC"/>
    <w:rsid w:val="00F149E9"/>
    <w:rsid w:val="00F5134D"/>
    <w:rsid w:val="00F6074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FB0B50"/>
  <w15:chartTrackingRefBased/>
  <w15:docId w15:val="{65D6657F-289E-45CA-BD37-57ABEF06A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E7BCF"/>
    <w:pPr>
      <w:spacing w:after="240"/>
      <w:ind w:left="567" w:hanging="567"/>
    </w:pPr>
  </w:style>
  <w:style w:type="paragraph" w:customStyle="1" w:styleId="EPComma">
    <w:name w:val="EPComma"/>
    <w:basedOn w:val="Normal"/>
    <w:link w:val="EPCommaChar"/>
    <w:rsid w:val="001E7BCF"/>
    <w:pPr>
      <w:spacing w:before="480" w:after="240"/>
    </w:pPr>
  </w:style>
  <w:style w:type="character" w:customStyle="1" w:styleId="EPCommaChar">
    <w:name w:val="EPComma Char"/>
    <w:basedOn w:val="DefaultParagraphFont"/>
    <w:link w:val="EPComma"/>
    <w:rsid w:val="001E7BCF"/>
    <w:rPr>
      <w:sz w:val="24"/>
      <w:lang w:val="nl-NL"/>
    </w:rPr>
  </w:style>
  <w:style w:type="character" w:customStyle="1" w:styleId="NormalHanging12aChar">
    <w:name w:val="NormalHanging12a Char"/>
    <w:basedOn w:val="DefaultParagraphFont"/>
    <w:link w:val="NormalHanging12a"/>
    <w:locked/>
    <w:rsid w:val="001E7BCF"/>
    <w:rPr>
      <w:sz w:val="24"/>
      <w:lang w:val="nl-NL"/>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1E7BCF"/>
    <w:pPr>
      <w:widowControl/>
      <w:spacing w:after="160" w:line="240" w:lineRule="exact"/>
    </w:pPr>
    <w:rPr>
      <w:sz w:val="20"/>
      <w:vertAlign w:val="superscript"/>
      <w:lang w:val="en-GB"/>
    </w:rPr>
  </w:style>
  <w:style w:type="character" w:styleId="Hyperlink">
    <w:name w:val="Hyperlink"/>
    <w:basedOn w:val="DefaultParagraphFont"/>
    <w:uiPriority w:val="99"/>
    <w:unhideWhenUsed/>
    <w:rsid w:val="001E7BCF"/>
    <w:rPr>
      <w:color w:val="0000FF"/>
      <w:u w:val="single"/>
    </w:rPr>
  </w:style>
  <w:style w:type="character" w:customStyle="1" w:styleId="highlight-diff">
    <w:name w:val="highlight-diff"/>
    <w:basedOn w:val="DefaultParagraphFont"/>
    <w:rsid w:val="001E7BCF"/>
  </w:style>
  <w:style w:type="character" w:styleId="Strong">
    <w:name w:val="Strong"/>
    <w:basedOn w:val="DefaultParagraphFont"/>
    <w:uiPriority w:val="22"/>
    <w:qFormat/>
    <w:rsid w:val="001E7BCF"/>
    <w:rPr>
      <w:b/>
      <w:bCs/>
    </w:rPr>
  </w:style>
  <w:style w:type="paragraph" w:styleId="Revision">
    <w:name w:val="Revision"/>
    <w:hidden/>
    <w:uiPriority w:val="99"/>
    <w:semiHidden/>
    <w:rsid w:val="00DE0FBC"/>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1925/oj" TargetMode="External"/><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C/2025/204/oj" TargetMode="External"/><Relationship Id="rId4"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3399</Words>
  <Characters>20220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2025-09-10T13:48:00Z</dcterms:created>
  <dcterms:modified xsi:type="dcterms:W3CDTF">2025-09-10T13:48:00Z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B10-0355, 0357, 0256, 0359 en 0361/2025</vt:lpwstr>
  </property>
  <property fmtid="{D5CDD505-2E9C-101B-9397-08002B2CF9AE}" pid="4" name="&lt;Type&gt;">
    <vt:lpwstr>RR</vt:lpwstr>
  </property>
</Properties>
</file>