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2778" w14:paraId="70B1D3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DEF285" w14:textId="707F0773" w:rsidR="00751A4A" w:rsidRPr="000F2778" w:rsidRDefault="00735544" w:rsidP="0010095E">
            <w:pPr>
              <w:pStyle w:val="EPName"/>
            </w:pPr>
            <w:r w:rsidRPr="000F2778">
              <w:t>Parlament Europejski</w:t>
            </w:r>
          </w:p>
          <w:p w14:paraId="500AB288" w14:textId="77777777" w:rsidR="00751A4A" w:rsidRPr="000F27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2778">
              <w:t>2024</w:t>
            </w:r>
            <w:r w:rsidR="00817416" w:rsidRPr="000F2778">
              <w:t>-202</w:t>
            </w:r>
            <w:r w:rsidRPr="000F2778">
              <w:t>9</w:t>
            </w:r>
          </w:p>
        </w:tc>
        <w:tc>
          <w:tcPr>
            <w:tcW w:w="2268" w:type="dxa"/>
            <w:shd w:val="clear" w:color="auto" w:fill="auto"/>
          </w:tcPr>
          <w:p w14:paraId="456FE505" w14:textId="77777777" w:rsidR="00751A4A" w:rsidRPr="000F2778" w:rsidRDefault="00187494" w:rsidP="0010095E">
            <w:pPr>
              <w:pStyle w:val="EPLogo"/>
            </w:pPr>
            <w:r w:rsidRPr="000F2778">
              <w:rPr>
                <w:noProof/>
                <w:lang w:eastAsia="ja-JP"/>
              </w:rPr>
              <w:drawing>
                <wp:inline distT="0" distB="0" distL="0" distR="0" wp14:anchorId="1AAAB4D8" wp14:editId="21E879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CD0AA" w14:textId="77777777" w:rsidR="00D058B8" w:rsidRPr="000F2778" w:rsidRDefault="00D058B8" w:rsidP="004C5D52">
      <w:pPr>
        <w:pStyle w:val="LineTop"/>
      </w:pPr>
    </w:p>
    <w:p w14:paraId="797DFD5E" w14:textId="42FA896B" w:rsidR="00680577" w:rsidRPr="000F2778" w:rsidRDefault="00735544" w:rsidP="00680577">
      <w:pPr>
        <w:pStyle w:val="EPBodyTA1"/>
      </w:pPr>
      <w:r w:rsidRPr="000F2778">
        <w:t>TEKSTY PRZYJĘTE</w:t>
      </w:r>
    </w:p>
    <w:p w14:paraId="716E09D7" w14:textId="77777777" w:rsidR="00D058B8" w:rsidRPr="000F2778" w:rsidRDefault="00D058B8" w:rsidP="00D058B8">
      <w:pPr>
        <w:pStyle w:val="LineBottom"/>
      </w:pPr>
    </w:p>
    <w:p w14:paraId="568BE134" w14:textId="1FF38366" w:rsidR="00735544" w:rsidRPr="000F2778" w:rsidRDefault="00735544" w:rsidP="00735544">
      <w:pPr>
        <w:pStyle w:val="ATHeading1"/>
      </w:pPr>
      <w:bookmarkStart w:id="0" w:name="TANumber"/>
      <w:r w:rsidRPr="000F2778">
        <w:t>P10_</w:t>
      </w:r>
      <w:proofErr w:type="gramStart"/>
      <w:r w:rsidRPr="000F2778">
        <w:t>TA(</w:t>
      </w:r>
      <w:proofErr w:type="gramEnd"/>
      <w:r w:rsidRPr="000F2778">
        <w:t>2025)0</w:t>
      </w:r>
      <w:bookmarkEnd w:id="0"/>
      <w:r w:rsidR="00970908">
        <w:t>191</w:t>
      </w:r>
    </w:p>
    <w:p w14:paraId="32B39D75" w14:textId="16ABF711" w:rsidR="00735544" w:rsidRPr="000F2778" w:rsidRDefault="005F3581" w:rsidP="005F3581">
      <w:pPr>
        <w:pStyle w:val="ATHeading2"/>
      </w:pPr>
      <w:r w:rsidRPr="005F3581">
        <w:rPr>
          <w:bCs/>
        </w:rPr>
        <w:t>Wzmacnianie odporności Mołdawii wobec zagrożeń hybrydowych i szkodliwych ingerencji ze strony</w:t>
      </w:r>
      <w:r>
        <w:rPr>
          <w:bCs/>
        </w:rPr>
        <w:t xml:space="preserve"> </w:t>
      </w:r>
      <w:r w:rsidRPr="005F3581">
        <w:rPr>
          <w:bCs/>
        </w:rPr>
        <w:t>Rosji</w:t>
      </w:r>
    </w:p>
    <w:p w14:paraId="5D037282" w14:textId="557351B4" w:rsidR="00735544" w:rsidRPr="000F2778" w:rsidRDefault="00735544" w:rsidP="00735544">
      <w:pPr>
        <w:rPr>
          <w:i/>
          <w:vanish/>
        </w:rPr>
      </w:pPr>
      <w:r w:rsidRPr="000F2778">
        <w:rPr>
          <w:i/>
        </w:rPr>
        <w:fldChar w:fldCharType="begin"/>
      </w:r>
      <w:r w:rsidRPr="000F2778">
        <w:rPr>
          <w:i/>
        </w:rPr>
        <w:instrText xml:space="preserve"> TC"(</w:instrText>
      </w:r>
      <w:bookmarkStart w:id="1" w:name="DocNumber"/>
      <w:r w:rsidRPr="000F2778">
        <w:rPr>
          <w:i/>
        </w:rPr>
        <w:instrText>B10-0355</w:instrText>
      </w:r>
      <w:r w:rsidR="005F3581">
        <w:rPr>
          <w:i/>
        </w:rPr>
        <w:instrText>, 0356, 0357, 0359 oraz 0361</w:instrText>
      </w:r>
      <w:r w:rsidRPr="000F2778">
        <w:rPr>
          <w:i/>
        </w:rPr>
        <w:instrText>/2025</w:instrText>
      </w:r>
      <w:bookmarkEnd w:id="1"/>
      <w:r w:rsidRPr="000F2778">
        <w:rPr>
          <w:i/>
        </w:rPr>
        <w:instrText xml:space="preserve">)"\l3 \n&gt; \* MERGEFORMAT </w:instrText>
      </w:r>
      <w:r w:rsidRPr="000F2778">
        <w:rPr>
          <w:i/>
        </w:rPr>
        <w:fldChar w:fldCharType="end"/>
      </w:r>
    </w:p>
    <w:p w14:paraId="5D436085" w14:textId="77777777" w:rsidR="00735544" w:rsidRPr="000F2778" w:rsidRDefault="00735544" w:rsidP="00735544">
      <w:pPr>
        <w:rPr>
          <w:vanish/>
        </w:rPr>
      </w:pPr>
      <w:bookmarkStart w:id="2" w:name="PE"/>
      <w:r w:rsidRPr="000F2778">
        <w:rPr>
          <w:vanish/>
        </w:rPr>
        <w:t>PE776.179</w:t>
      </w:r>
      <w:bookmarkEnd w:id="2"/>
    </w:p>
    <w:p w14:paraId="14CF133A" w14:textId="5C6AD085" w:rsidR="00735544" w:rsidRPr="000F2778" w:rsidRDefault="00735544" w:rsidP="00735544">
      <w:pPr>
        <w:pStyle w:val="ATHeading3"/>
      </w:pPr>
      <w:bookmarkStart w:id="3" w:name="Sujet"/>
      <w:r w:rsidRPr="000F2778">
        <w:t xml:space="preserve">Rezolucja Parlamentu Europejskiego z dnia </w:t>
      </w:r>
      <w:r w:rsidR="005F3581">
        <w:t>10 września</w:t>
      </w:r>
      <w:r w:rsidRPr="000F2778">
        <w:t xml:space="preserve"> 2025 r. w sprawie wzmacniania odporności Mołdawii wobec zagrożeń hybrydowych i szkodliwych ingerencji ze strony Rosji</w:t>
      </w:r>
      <w:bookmarkEnd w:id="3"/>
      <w:r w:rsidRPr="000F2778">
        <w:t xml:space="preserve"> </w:t>
      </w:r>
      <w:bookmarkStart w:id="4" w:name="References"/>
      <w:r w:rsidRPr="000F2778">
        <w:t>(2025/2811(RSP))</w:t>
      </w:r>
      <w:bookmarkEnd w:id="4"/>
    </w:p>
    <w:p w14:paraId="05F6ED88" w14:textId="77777777" w:rsidR="00735544" w:rsidRPr="000F2778" w:rsidRDefault="00735544" w:rsidP="00735544"/>
    <w:p w14:paraId="626D2C84" w14:textId="77777777" w:rsidR="002F2D95" w:rsidRPr="000F2778" w:rsidRDefault="002F2D95" w:rsidP="002F2D95">
      <w:pPr>
        <w:pStyle w:val="EPComma"/>
      </w:pPr>
      <w:bookmarkStart w:id="5" w:name="TextBodyBegin"/>
      <w:bookmarkEnd w:id="5"/>
      <w:r w:rsidRPr="000F2778">
        <w:rPr>
          <w:i/>
        </w:rPr>
        <w:t>Parlament Europejski</w:t>
      </w:r>
      <w:r w:rsidRPr="000F2778">
        <w:t>,</w:t>
      </w:r>
    </w:p>
    <w:p w14:paraId="1151B459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>uwzględniając swoje wcześniejsze rezolucje w sprawie Mołdawii, zwłaszcza rezolucję z 18 czerwca 2025 r. w sprawie sprawozdań Komisji dotyczących Mołdawii za lata 2023 i 2024</w:t>
      </w:r>
      <w:r w:rsidRPr="000F2778">
        <w:rPr>
          <w:vertAlign w:val="superscript"/>
        </w:rPr>
        <w:footnoteReference w:id="1"/>
      </w:r>
      <w:r w:rsidRPr="000F2778">
        <w:t xml:space="preserve"> oraz rezolucję z 9 października 2024 r. w sprawie wzmocnienia odporności Mołdawii na rosyjską ingerencję przed zbliżającymi się wyborami prezydenckimi i referendum konstytucyjnym w sprawie integracji z UE</w:t>
      </w:r>
      <w:r w:rsidRPr="000F2778">
        <w:rPr>
          <w:vertAlign w:val="superscript"/>
        </w:rPr>
        <w:footnoteReference w:id="2"/>
      </w:r>
      <w:r w:rsidRPr="000F2778">
        <w:t>,</w:t>
      </w:r>
    </w:p>
    <w:p w14:paraId="06807F7F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>uwzględniając Układ o stowarzyszeniu między Unią Europejską i Europejską Wspólnotą Energii Atomowej oraz ich państwami członkowskimi, z jednej strony, a Republiką Mołdawii, z drugiej strony</w:t>
      </w:r>
      <w:r w:rsidRPr="000F2778">
        <w:rPr>
          <w:vertAlign w:val="superscript"/>
        </w:rPr>
        <w:footnoteReference w:id="3"/>
      </w:r>
      <w:r w:rsidRPr="000F2778">
        <w:t>, który obejmuje pogłębioną i kompleksową strefę wolnego handlu,</w:t>
      </w:r>
    </w:p>
    <w:p w14:paraId="0AA7D15B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>uwzględniając konkluzje Rady Europejskiej w sprawie Mołdawii z 27 czerwca 2025 r.,</w:t>
      </w:r>
    </w:p>
    <w:p w14:paraId="63173599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>uwzględniając wizytę, którą 27 sierpnia 2025 r. w Mołdawii złożyli trzej przywódcy państw UE (Francji, Niemiec i Polski), oraz wizytę prezydenta Rumunii w Mołdawii 31 sierpnia 2025 r.,</w:t>
      </w:r>
    </w:p>
    <w:p w14:paraId="0C700880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>uwzględniając wizytę prezydentki Republiki Mołdawii w Parlamencie Europejskim 9 września 2025 r.,</w:t>
      </w:r>
    </w:p>
    <w:p w14:paraId="4102C8C7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 xml:space="preserve">uwzględniając wspólną deklarację przyjętą po pierwszym szczycie między UE </w:t>
      </w:r>
      <w:r w:rsidRPr="000F2778">
        <w:lastRenderedPageBreak/>
        <w:t>a Republiką Mołdawii, który odbył się 4 lipca 2025 r.,</w:t>
      </w:r>
    </w:p>
    <w:p w14:paraId="22DD4F90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>uwzględniając wizytę, którą 9 maja 2025 r. (Dzień Europy) złożyła w Mołdawii komisarz ds. rozszerzenia,</w:t>
      </w:r>
    </w:p>
    <w:p w14:paraId="1F4215EA" w14:textId="77777777" w:rsidR="002F2D95" w:rsidRPr="000F2778" w:rsidRDefault="002F2D95" w:rsidP="002F2D95">
      <w:pPr>
        <w:pStyle w:val="NormalHanging12a"/>
      </w:pPr>
      <w:r w:rsidRPr="000F2778">
        <w:t>–</w:t>
      </w:r>
      <w:r w:rsidRPr="000F2778">
        <w:tab/>
        <w:t>uwzględniając art. 136 ust. 2 i 4 Regulaminu,</w:t>
      </w:r>
    </w:p>
    <w:p w14:paraId="454F7A3D" w14:textId="77777777" w:rsidR="002F2D95" w:rsidRPr="000F2778" w:rsidRDefault="002F2D95" w:rsidP="002F2D95">
      <w:pPr>
        <w:pStyle w:val="NormalHanging12a"/>
      </w:pPr>
      <w:r w:rsidRPr="000F2778">
        <w:t>A.</w:t>
      </w:r>
      <w:r w:rsidRPr="000F2778">
        <w:tab/>
        <w:t>mając na uwadze, że 28 września 2025 r. w Republice Mołdawii odbędą się wybory parlamentarne, które zadecydują o tym, czy kraj ten będzie kontynuował umacnianie demokracji i postępy na drodze do przystąpienia do UE, a także o przyszłości kraju jako wolnej i suwerennej demokracji w UE; mając na uwadze, że te wybory parlamentarne odbędą się w czasie naznaczonym ciągłymi ingerencjami ze strony Rosji oraz jej dążeniem do zdestabilizowania sceny politycznej i demokratycznych procesów wyborczych w Mołdawii;</w:t>
      </w:r>
    </w:p>
    <w:p w14:paraId="151153E6" w14:textId="77777777" w:rsidR="002F2D95" w:rsidRPr="000F2778" w:rsidRDefault="002F2D95" w:rsidP="002F2D95">
      <w:pPr>
        <w:pStyle w:val="NormalHanging12a"/>
      </w:pPr>
      <w:r w:rsidRPr="000F2778">
        <w:t>B.</w:t>
      </w:r>
      <w:r w:rsidRPr="000F2778">
        <w:tab/>
        <w:t>mając na uwadze, że 20 października 2024 r. w Mołdawii odbyło się referendum, którego wynik potwierdził, że przystąpienie Mołdawii do UE zostanie zapisane w jej konstytucji, mimo bezprecedensowej skali rosyjskich manipulacji mających zdestabilizować kraj, obejmujących nielegalne finansowanie podmiotów politycznych, kampanie dezinformacyjne i cyberataki;</w:t>
      </w:r>
    </w:p>
    <w:p w14:paraId="54CC5AF2" w14:textId="77777777" w:rsidR="002F2D95" w:rsidRPr="000F2778" w:rsidRDefault="002F2D95" w:rsidP="002F2D95">
      <w:pPr>
        <w:pStyle w:val="NormalHanging12a"/>
        <w:rPr>
          <w:i/>
          <w:iCs/>
        </w:rPr>
      </w:pPr>
      <w:r w:rsidRPr="000F2778">
        <w:t>C.</w:t>
      </w:r>
      <w:r w:rsidRPr="000F2778">
        <w:tab/>
        <w:t>mając na uwadze liczne doniesienia o ponownych i nasilających się próbach ingerencji ze strony Rosji i popleczników Rosji, mających zakłócić proces reform demokratycznych Mołdawii i integrację europejską tego kraju oraz doprowadzić do odzyskania kontroli politycznej nad nim i umożliwić dalsze doskonalenie taktyki ataków hybrydowych na Mołdawię, Ukrainę i inne państwa europejskie – na przykład niedawno dopuszczono się takich ataków na Rumunię;</w:t>
      </w:r>
    </w:p>
    <w:p w14:paraId="3EC9DF30" w14:textId="77777777" w:rsidR="002F2D95" w:rsidRPr="000F2778" w:rsidRDefault="002F2D95" w:rsidP="002F2D95">
      <w:pPr>
        <w:pStyle w:val="NormalHanging12a"/>
      </w:pPr>
      <w:r w:rsidRPr="000F2778">
        <w:t>D.</w:t>
      </w:r>
      <w:r w:rsidRPr="000F2778">
        <w:tab/>
        <w:t xml:space="preserve">mając na uwadze, że po posiedzeniu Najwyższej Rady Bezpieczeństwa 30 lipca 2025 r. prezydentka </w:t>
      </w:r>
      <w:proofErr w:type="spellStart"/>
      <w:r w:rsidRPr="000F2778">
        <w:t>Maia</w:t>
      </w:r>
      <w:proofErr w:type="spellEnd"/>
      <w:r w:rsidRPr="000F2778">
        <w:t xml:space="preserve"> </w:t>
      </w:r>
      <w:proofErr w:type="spellStart"/>
      <w:r w:rsidRPr="000F2778">
        <w:t>Sandu</w:t>
      </w:r>
      <w:proofErr w:type="spellEnd"/>
      <w:r w:rsidRPr="000F2778">
        <w:t xml:space="preserve"> przedstawiła ustalenia wyspecjalizowanych instytucji mołdawskich dotyczące metod wojny hybrydowej, w tym 10 głównych instrumentów ingerencji zagranicznej w procesy polityczne i wyborcze w Mołdawii;</w:t>
      </w:r>
    </w:p>
    <w:p w14:paraId="61841624" w14:textId="77777777" w:rsidR="002F2D95" w:rsidRPr="000F2778" w:rsidRDefault="002F2D95" w:rsidP="002F2D95">
      <w:pPr>
        <w:pStyle w:val="NormalHanging12a"/>
      </w:pPr>
      <w:r w:rsidRPr="000F2778">
        <w:t>E.</w:t>
      </w:r>
      <w:r w:rsidRPr="000F2778">
        <w:tab/>
        <w:t>mając na uwadze, że 15 lipca 2025 r. UE nałożyła sankcje na</w:t>
      </w:r>
      <w:r w:rsidRPr="000F2778">
        <w:rPr>
          <w:rStyle w:val="Strong"/>
          <w:color w:val="000000"/>
        </w:rPr>
        <w:t xml:space="preserve"> </w:t>
      </w:r>
      <w:r w:rsidRPr="005F3581">
        <w:rPr>
          <w:rStyle w:val="Strong"/>
          <w:b w:val="0"/>
          <w:bCs w:val="0"/>
          <w:color w:val="000000"/>
        </w:rPr>
        <w:t>siedem osób</w:t>
      </w:r>
      <w:r w:rsidRPr="005F3581">
        <w:rPr>
          <w:b/>
          <w:bCs/>
        </w:rPr>
        <w:t xml:space="preserve"> i </w:t>
      </w:r>
      <w:r w:rsidRPr="005F3581">
        <w:rPr>
          <w:rStyle w:val="Strong"/>
          <w:b w:val="0"/>
          <w:bCs w:val="0"/>
          <w:color w:val="000000"/>
        </w:rPr>
        <w:t>trzy podmioty</w:t>
      </w:r>
      <w:r w:rsidRPr="000F2778">
        <w:t xml:space="preserve"> odpowiedzialne za działania mające zdestabilizować Mołdawię oraz podważyć jej suwerenność, niezależność, demokrację, praworządność i stabilność lub im zagrozić; mając na uwadze, że sankcje te są wymierzone w bliskich współpracowników </w:t>
      </w:r>
      <w:proofErr w:type="spellStart"/>
      <w:r w:rsidRPr="000F2778">
        <w:t>Ilana</w:t>
      </w:r>
      <w:proofErr w:type="spellEnd"/>
      <w:r w:rsidRPr="000F2778">
        <w:t xml:space="preserve"> </w:t>
      </w:r>
      <w:proofErr w:type="spellStart"/>
      <w:r w:rsidRPr="000F2778">
        <w:t>Șora</w:t>
      </w:r>
      <w:proofErr w:type="spellEnd"/>
      <w:r w:rsidRPr="000F2778">
        <w:t xml:space="preserve"> i zdelegalizowanej partii ȘOR, osoby aktywnie zaangażowane w systemy kupowania głosów i przekupywanie skorumpowanych polityków;</w:t>
      </w:r>
    </w:p>
    <w:p w14:paraId="23525DE3" w14:textId="77777777" w:rsidR="002F2D95" w:rsidRDefault="002F2D95" w:rsidP="002F2D95">
      <w:pPr>
        <w:pStyle w:val="NormalHanging12a"/>
      </w:pPr>
      <w:r w:rsidRPr="000F2778">
        <w:t>F.</w:t>
      </w:r>
      <w:r w:rsidRPr="000F2778">
        <w:tab/>
        <w:t xml:space="preserve">mając na uwadze, że mołdawskie społeczeństwo obywatelskie i niezależne media odgrywają kluczową rolę w ujawnianiu dezinformacji, poprawie odporności i obronie wartości demokratycznych; mając na uwadze, że Republika Mołdawii zdołała znacznie umocnić demokrację w kraju, kontynuować reformy i zacieśniać stosunki z UE; mając na uwadze, że reforma systemu demokratycznego tego kraju znalazła odzwierciedlenie w pozytywnych zmianach różnych wskaźników międzynarodowych; mając na uwadze, że Mołdawia zrobiła znaczne postępy w reformowaniu sądownictwa, w tym w jego weryfikacji i restrukturyzacji, zwiększeniu jego niezawisłości oraz w poprawie przepisów antykorupcyjnych; mając na uwadze, że zaufanie społeczeństwa do instytucji demokratycznych ma zasadnicze znaczenie dla stabilności Mołdawii i jej odporności na </w:t>
      </w:r>
      <w:r w:rsidRPr="000F2778">
        <w:lastRenderedPageBreak/>
        <w:t>wrogie ingerencje;</w:t>
      </w:r>
    </w:p>
    <w:p w14:paraId="2DFA8786" w14:textId="557AB5AB" w:rsidR="00DE1782" w:rsidRPr="00562C28" w:rsidRDefault="00562C28" w:rsidP="002F2D95">
      <w:pPr>
        <w:pStyle w:val="NormalHanging12a"/>
        <w:rPr>
          <w:bCs/>
          <w:iCs/>
        </w:rPr>
      </w:pPr>
      <w:r>
        <w:rPr>
          <w:bCs/>
          <w:iCs/>
        </w:rPr>
        <w:t>G</w:t>
      </w:r>
      <w:r w:rsidR="00DE1782" w:rsidRPr="00562C28">
        <w:rPr>
          <w:bCs/>
          <w:iCs/>
        </w:rPr>
        <w:t xml:space="preserve">. </w:t>
      </w:r>
      <w:r w:rsidR="00DE1782" w:rsidRPr="00562C28">
        <w:rPr>
          <w:bCs/>
          <w:iCs/>
        </w:rPr>
        <w:tab/>
        <w:t xml:space="preserve">mając na uwadze, że niedawne śledztwo dziennikarskie rozpoczęte w 2024 r. przez reporterkę pod przykrywką, która zinfiltrowała sieć partii ȘOR, wykazało, że w celu szerzenia rosyjskiej propagandy na </w:t>
      </w:r>
      <w:proofErr w:type="spellStart"/>
      <w:r w:rsidR="00DE1782" w:rsidRPr="00562C28">
        <w:rPr>
          <w:bCs/>
          <w:iCs/>
        </w:rPr>
        <w:t>TikToku</w:t>
      </w:r>
      <w:proofErr w:type="spellEnd"/>
      <w:r w:rsidR="00DE1782" w:rsidRPr="00562C28">
        <w:rPr>
          <w:bCs/>
          <w:iCs/>
        </w:rPr>
        <w:t xml:space="preserve"> i Facebooku utworzono setki fałszywych kont, którymi zarządzali działacze z bloku politycznego </w:t>
      </w:r>
      <w:proofErr w:type="spellStart"/>
      <w:r w:rsidR="00DE1782" w:rsidRPr="00562C28">
        <w:rPr>
          <w:bCs/>
          <w:iCs/>
        </w:rPr>
        <w:t>Victory</w:t>
      </w:r>
      <w:proofErr w:type="spellEnd"/>
      <w:r w:rsidR="00DE1782" w:rsidRPr="00562C28">
        <w:rPr>
          <w:bCs/>
          <w:iCs/>
        </w:rPr>
        <w:t xml:space="preserve"> pod nadzorem </w:t>
      </w:r>
      <w:proofErr w:type="spellStart"/>
      <w:r w:rsidR="00DE1782" w:rsidRPr="00562C28">
        <w:rPr>
          <w:bCs/>
          <w:iCs/>
        </w:rPr>
        <w:t>Ilana</w:t>
      </w:r>
      <w:proofErr w:type="spellEnd"/>
      <w:r w:rsidR="00DE1782" w:rsidRPr="00562C28">
        <w:rPr>
          <w:bCs/>
          <w:iCs/>
        </w:rPr>
        <w:t xml:space="preserve"> </w:t>
      </w:r>
      <w:proofErr w:type="spellStart"/>
      <w:r w:rsidR="00DE1782" w:rsidRPr="00562C28">
        <w:rPr>
          <w:bCs/>
          <w:iCs/>
        </w:rPr>
        <w:t>Șora</w:t>
      </w:r>
      <w:proofErr w:type="spellEnd"/>
      <w:r w:rsidR="00DE1782" w:rsidRPr="00562C28">
        <w:rPr>
          <w:bCs/>
          <w:iCs/>
        </w:rPr>
        <w:t xml:space="preserve"> z Moskwy; mając na uwadze, że te antyeuropejskie treści, w pełni zgodne z narracjami Kremla, były systematycznie monitorowane i koordynowane za pośrednictwem tajnych grup i kanałów na Telegramie</w:t>
      </w:r>
      <w:r w:rsidR="00DE1782" w:rsidRPr="00562C28">
        <w:rPr>
          <w:rStyle w:val="FootnoteReference"/>
          <w:bCs/>
          <w:iCs/>
        </w:rPr>
        <w:footnoteReference w:id="4"/>
      </w:r>
      <w:r w:rsidR="00DE1782" w:rsidRPr="00562C28">
        <w:rPr>
          <w:bCs/>
          <w:iCs/>
        </w:rPr>
        <w:t xml:space="preserve">; </w:t>
      </w:r>
    </w:p>
    <w:p w14:paraId="29E89C24" w14:textId="708E6D5A" w:rsidR="002F2D95" w:rsidRPr="000F2778" w:rsidRDefault="00562C28" w:rsidP="002F2D95">
      <w:pPr>
        <w:pStyle w:val="NormalHanging12a"/>
      </w:pPr>
      <w:r>
        <w:t>H</w:t>
      </w:r>
      <w:r w:rsidR="002F2D95" w:rsidRPr="000F2778">
        <w:t>.</w:t>
      </w:r>
      <w:r w:rsidR="002F2D95" w:rsidRPr="000F2778">
        <w:tab/>
        <w:t>mając na uwadze, że należy publicznie okazywać niezachwianą solidarność z narodem mołdawskim, który poważnie ucierpiał w wyniku rosyjskiej wojny napastniczej przeciwko Ukrainie, a także ciągłych ukierunkowanych rosyjskich ataków hybrydowych mających zdestabilizować politycznie kraj, zaszkodzić dobrobytowi gospodarczemu i osłabić spójność społeczną;</w:t>
      </w:r>
    </w:p>
    <w:p w14:paraId="5BBAE047" w14:textId="2305FE39" w:rsidR="002F2D95" w:rsidRPr="000F2778" w:rsidRDefault="00562C28" w:rsidP="002F2D95">
      <w:pPr>
        <w:pStyle w:val="NormalHanging12a"/>
      </w:pPr>
      <w:r>
        <w:t>I</w:t>
      </w:r>
      <w:r w:rsidR="002F2D95" w:rsidRPr="000F2778">
        <w:t>.</w:t>
      </w:r>
      <w:r w:rsidR="002F2D95" w:rsidRPr="000F2778">
        <w:tab/>
        <w:t>mając na uwadze, że według mołdawskich szacunków Rosja zainwestowała w działania propagandowe i informacyjne w Republice Mołdawii już ponad 200 mln EUR, czyli równowartość ponad 1 % PKB Mołdawii;</w:t>
      </w:r>
    </w:p>
    <w:p w14:paraId="2B3ADD69" w14:textId="37F6932B" w:rsidR="002F2D95" w:rsidRPr="000F2778" w:rsidRDefault="00562C28" w:rsidP="002F2D95">
      <w:pPr>
        <w:pStyle w:val="NormalHanging12a"/>
      </w:pPr>
      <w:r>
        <w:t>J</w:t>
      </w:r>
      <w:r w:rsidR="002F2D95" w:rsidRPr="000F2778">
        <w:t>.</w:t>
      </w:r>
      <w:r w:rsidR="002F2D95" w:rsidRPr="000F2778">
        <w:tab/>
        <w:t>mając na uwadze, że udział delegacji Parlamentu Europejskiego w wysyłanej na mołdawskie wybory parlamentarne 28 września 2025 r. międzynarodowej misji obserwacji wyborów Biura Instytucji Demokratycznych i Praw Człowieka (ODIHR) Organizacji Bezpieczeństwa i Współpracy w Europie (OBWE) świadczy o zaangażowaniu Parlamentu we wspieranie uczciwości procesów wyborczych i umacnianie instytucji demokratycznych w Mołdawii;</w:t>
      </w:r>
    </w:p>
    <w:p w14:paraId="0C4CC1EA" w14:textId="0978B6E2" w:rsidR="002F2D95" w:rsidRPr="000F2778" w:rsidRDefault="00562C28" w:rsidP="002F2D95">
      <w:pPr>
        <w:pStyle w:val="NormalHanging12a"/>
      </w:pPr>
      <w:r>
        <w:t>K</w:t>
      </w:r>
      <w:r w:rsidR="002F2D95" w:rsidRPr="000F2778">
        <w:t>.</w:t>
      </w:r>
      <w:r w:rsidR="002F2D95" w:rsidRPr="000F2778">
        <w:tab/>
        <w:t>mając na uwadze, że w konkluzjach Rady Europejskiej z czerwca 2025 r. potwierdzono pełne poparcie dla dążenia Mołdawii do członkostwa w UE i wezwano Radę do przejścia do kolejnych działań w procesie akcesyjnym; mając na uwadze, że rozszerzenie UE wymaga spełnienia rygorystycznych warunków i opiera się na zasadzie oceniania każdego kraju kandydującego według jego własnych osiągnięć i postępów w reformach;</w:t>
      </w:r>
    </w:p>
    <w:p w14:paraId="77B7ED65" w14:textId="77777777" w:rsidR="002F2D95" w:rsidRPr="000F2778" w:rsidRDefault="002F2D95" w:rsidP="002F2D95">
      <w:pPr>
        <w:pStyle w:val="NormalHanging12a"/>
      </w:pPr>
      <w:r w:rsidRPr="000F2778">
        <w:t>1.</w:t>
      </w:r>
      <w:r w:rsidRPr="000F2778">
        <w:tab/>
        <w:t>wyraża solidarność z narodem mołdawskim i ponownie deklaruje pełne poparcie dla niepodległości, suwerenności i integralności terytorialnej Republiki Mołdawii oraz dla jej starań o obronę integralności procesu demokratycznego, suwerenności decyzji dotyczących polityki zagranicznej oraz perspektyw społeczno-gospodarczych dla jej obywateli; dlatego wzywa Rosję do poszanowania niepodległości, suwerenności i integralności terytorialnej Mołdawii oraz do zaprzestania prób podważania porządku konstytucyjnego i instytucji demokratycznych Mołdawii;</w:t>
      </w:r>
    </w:p>
    <w:p w14:paraId="661B2F27" w14:textId="77777777" w:rsidR="002F2D95" w:rsidRPr="000F2778" w:rsidRDefault="002F2D95" w:rsidP="002F2D95">
      <w:pPr>
        <w:pStyle w:val="NormalHanging12a"/>
        <w:rPr>
          <w:szCs w:val="24"/>
        </w:rPr>
      </w:pPr>
      <w:r w:rsidRPr="000F2778">
        <w:t>2.</w:t>
      </w:r>
      <w:r w:rsidRPr="000F2778">
        <w:tab/>
        <w:t xml:space="preserve">potępia podejmowane przez Federację Rosyjską, prorosyjskich oligarchów i sponsorowanych przez Rosję lokalnych popleczników powtarzające się próby destabilizacji Mołdawii, podzielenia mołdawskiego społeczeństwa i zakłócania demokracji w tym kraju oraz jego postępów na drodze do przystąpienia do UE przez ataki hybrydowe, manipulowanie dostawami energii w celu osiągnięcia korzyści politycznych, nielegalne finansowanie podmiotów politycznych oraz kampanie </w:t>
      </w:r>
      <w:r w:rsidRPr="000F2778">
        <w:lastRenderedPageBreak/>
        <w:t>dezinformacyjne, manipulacyjne i zastraszające przeciwko organizacjom społeczeństwa obywatelskiego i niezależnym mediom;</w:t>
      </w:r>
    </w:p>
    <w:p w14:paraId="3BECE7ED" w14:textId="77777777" w:rsidR="002F2D95" w:rsidRPr="000F2778" w:rsidRDefault="002F2D95" w:rsidP="002F2D95">
      <w:pPr>
        <w:pStyle w:val="NormalHanging12a"/>
        <w:rPr>
          <w:szCs w:val="24"/>
        </w:rPr>
      </w:pPr>
      <w:r w:rsidRPr="000F2778">
        <w:t>3.</w:t>
      </w:r>
      <w:r w:rsidRPr="000F2778">
        <w:tab/>
        <w:t>potępia nasilające się rosyjskie operacje hybrydowe i próby ingerencji przed wyborami parlamentarnymi zaplanowanymi na 28 września 2025 r., jednoznacznie służące zdestabilizowaniu kraju i zepchnięciu go z kursu demokratycznego oraz uniemożliwieniu mu podejmowania suwerennych decyzji, zwłaszcza o przyszłym członkostwie w UE;</w:t>
      </w:r>
    </w:p>
    <w:p w14:paraId="0A8A3323" w14:textId="77777777" w:rsidR="002F2D95" w:rsidRPr="000F2778" w:rsidRDefault="002F2D95" w:rsidP="002F2D95">
      <w:pPr>
        <w:pStyle w:val="NormalHanging12a"/>
        <w:rPr>
          <w:szCs w:val="24"/>
          <w:shd w:val="clear" w:color="auto" w:fill="FFFFFF"/>
        </w:rPr>
      </w:pPr>
      <w:r w:rsidRPr="000F2778">
        <w:t>4.</w:t>
      </w:r>
      <w:r w:rsidRPr="000F2778">
        <w:tab/>
      </w:r>
      <w:r w:rsidRPr="000F2778">
        <w:rPr>
          <w:shd w:val="clear" w:color="auto" w:fill="FFFFFF"/>
        </w:rPr>
        <w:t xml:space="preserve">pochwala wzorcowe zaangażowanie Mołdawii i stałe postępy w reformach związanych z przystąpieniem do UE mimo istotnych wyzwań wewnętrznych i zewnętrznych, w tym </w:t>
      </w:r>
      <w:proofErr w:type="spellStart"/>
      <w:r w:rsidRPr="000F2778">
        <w:rPr>
          <w:shd w:val="clear" w:color="auto" w:fill="FFFFFF"/>
        </w:rPr>
        <w:t>pełnoskalowej</w:t>
      </w:r>
      <w:proofErr w:type="spellEnd"/>
      <w:r w:rsidRPr="000F2778">
        <w:rPr>
          <w:shd w:val="clear" w:color="auto" w:fill="FFFFFF"/>
        </w:rPr>
        <w:t xml:space="preserve"> wojny napastniczej Rosji przeciwko Ukrainie i ukierunkowanych rosyjskich ataków hybrydowych przeciwko Mołdawii, i podkreśla, że postępy te umożliwiły rozpoczęcie negocjacji akcesyjnych w czerwcu 2024 r.</w:t>
      </w:r>
      <w:r w:rsidRPr="000F2778">
        <w:rPr>
          <w:rStyle w:val="highlight-diff"/>
          <w:color w:val="000000"/>
          <w:shd w:val="clear" w:color="auto" w:fill="FFFFFF"/>
        </w:rPr>
        <w:t>, zaledwie sześć miesięcy po decyzji Rady Europejskiej z 14 grudnia 2023 r. i mniej niż dwa lata po złożeniu przez Mołdawię wniosku o członkostwo w UE (3 marca 2022 r.)</w:t>
      </w:r>
      <w:r w:rsidRPr="000F2778">
        <w:rPr>
          <w:shd w:val="clear" w:color="auto" w:fill="FFFFFF"/>
        </w:rPr>
        <w:t xml:space="preserve">; </w:t>
      </w:r>
      <w:r w:rsidRPr="000F2778">
        <w:rPr>
          <w:rStyle w:val="highlight-diff"/>
          <w:color w:val="000000"/>
          <w:shd w:val="clear" w:color="auto" w:fill="FFFFFF"/>
        </w:rPr>
        <w:t>apeluje do Rady i Komisji, by stosowały zasadę oceny na podstawie osiągnięć, rozpatrywały każdą kandydaturę oddzielnie oraz zapewniały uzależnienie kolejnych etapów procesu akcesyjnego, w tym otwierania kolejnych rozdziałów negocjacji, od osiągnięć i sytuacji w danym kraju;</w:t>
      </w:r>
      <w:r w:rsidRPr="000F2778">
        <w:t xml:space="preserve"> </w:t>
      </w:r>
      <w:r w:rsidRPr="000F2778">
        <w:rPr>
          <w:shd w:val="clear" w:color="auto" w:fill="FFFFFF"/>
        </w:rPr>
        <w:t>podtrzymuje niezachwiane poparcie dla perspektyw członkostwa Mołdawii w UE; wzywa ponadto Radę do szybkiego rozpoczęcia negocjacji akcesyjnych nad klastrem 1 (sprawy podstawowe) w uznaniu znacznych postępów Mołdawii w realizacji kluczowych reform;</w:t>
      </w:r>
    </w:p>
    <w:p w14:paraId="72D8767E" w14:textId="77777777" w:rsidR="002F2D95" w:rsidRPr="000F2778" w:rsidRDefault="002F2D95" w:rsidP="002F2D95">
      <w:pPr>
        <w:pStyle w:val="NormalHanging12a"/>
        <w:rPr>
          <w:szCs w:val="24"/>
        </w:rPr>
      </w:pPr>
      <w:r w:rsidRPr="000F2778">
        <w:rPr>
          <w:shd w:val="clear" w:color="auto" w:fill="FFFFFF"/>
        </w:rPr>
        <w:t>5.</w:t>
      </w:r>
      <w:r w:rsidRPr="000F2778">
        <w:rPr>
          <w:shd w:val="clear" w:color="auto" w:fill="FFFFFF"/>
        </w:rPr>
        <w:tab/>
        <w:t>wzywa UE do dalszego wspierania Republiki Mołdawii w organizacji wolnych, uczciwych i przejrzystych wyborów; podkreśla istotną rolę obserwatorów międzynarodowych nie tylko w śledzeniu procesu wyborczego, ale także w monitorowaniu i dokumentowaniu szkodliwych ingerencji zagranicznych, w tym dezinformacji, nielegalnego finansowania i skoordynowanych operacji cybernetycznych lub operacji wywierania wpływu;</w:t>
      </w:r>
    </w:p>
    <w:p w14:paraId="7546A320" w14:textId="77777777" w:rsidR="002F2D95" w:rsidRPr="000F2778" w:rsidRDefault="002F2D95" w:rsidP="002F2D95">
      <w:pPr>
        <w:pStyle w:val="NormalHanging12a"/>
      </w:pPr>
      <w:r w:rsidRPr="000F2778">
        <w:t>6.</w:t>
      </w:r>
      <w:r w:rsidRPr="000F2778">
        <w:tab/>
        <w:t>wyraża zdecydowane przekonanie, że Mołdawia potrzebuje silnego i realnego poparcia zdecydowanej większości parlamentarnej, by móc skonsolidować dotychczasowe postępy w reformach związanych z przystąpieniem do UE i utrzymać ambitne tempo zbliżania się do członkostwa;</w:t>
      </w:r>
    </w:p>
    <w:p w14:paraId="31ECFD6F" w14:textId="77777777" w:rsidR="002F2D95" w:rsidRPr="000F2778" w:rsidRDefault="002F2D95" w:rsidP="002F2D95">
      <w:pPr>
        <w:pStyle w:val="NormalHanging12a"/>
      </w:pPr>
      <w:r w:rsidRPr="000F2778">
        <w:t>7.</w:t>
      </w:r>
      <w:r w:rsidRPr="000F2778">
        <w:tab/>
        <w:t>z zadowoleniem odnotowuje starania UE o zapewnienie Mołdawii wsparcia politycznego na najwyższym szczeblu, zwłaszcza pierwszy w historii szczyt UE–Mołdawia w Kiszyniowie, który odbył się 4 lipca 2025 r., wizytę przywódców państw UE (Francji, Niemiec i Polski), którzy udali się do Mołdawii 27 sierpnia 2025 r., oraz wizytę prezydenta Rumunii w Mołdawii 31 sierpnia 2025 r., gdyż wszystko to pomogło ponownie uwypuklić jednoznaczną perspektywę przystąpienia Mołdawii do UE w oparciu o jej zasługi i poszanowanie zasad demokratycznych;</w:t>
      </w:r>
    </w:p>
    <w:p w14:paraId="6BC35A12" w14:textId="77777777" w:rsidR="002F2D95" w:rsidRPr="000F2778" w:rsidRDefault="002F2D95" w:rsidP="002F2D95">
      <w:pPr>
        <w:pStyle w:val="NormalHanging12a"/>
        <w:rPr>
          <w:rStyle w:val="NormalHanging12aChar"/>
          <w:color w:val="000000"/>
          <w:szCs w:val="24"/>
        </w:rPr>
      </w:pPr>
      <w:r w:rsidRPr="000F2778">
        <w:t>8.</w:t>
      </w:r>
      <w:r w:rsidRPr="000F2778">
        <w:tab/>
      </w:r>
      <w:r w:rsidRPr="000F2778">
        <w:rPr>
          <w:rStyle w:val="NormalHanging12aChar"/>
          <w:color w:val="000000"/>
        </w:rPr>
        <w:t xml:space="preserve">ponownie wzywa UE, by dalej uzupełniała poparcie polityczne większym wsparciem finansowym i technicznym dla działań rządu Mołdawii, które mają przeciwdziałać zagranicznym ingerencjom w procesy demokratyczne w kraju, w tym by nakładała dodatkowe sankcje, jak te z 15 lipca 2025 r., udzieliła dodatkowego wsparcia misji partnerskiej UE (EUPM) w Mołdawii, dzieliła się informacjami o podejrzanych przepływach finansowych, w tym w </w:t>
      </w:r>
      <w:proofErr w:type="spellStart"/>
      <w:r w:rsidRPr="000F2778">
        <w:rPr>
          <w:rStyle w:val="NormalHanging12aChar"/>
          <w:color w:val="000000"/>
        </w:rPr>
        <w:t>kryptowalutach</w:t>
      </w:r>
      <w:proofErr w:type="spellEnd"/>
      <w:r w:rsidRPr="000F2778">
        <w:rPr>
          <w:rStyle w:val="NormalHanging12aChar"/>
          <w:color w:val="000000"/>
        </w:rPr>
        <w:t xml:space="preserve">, oraz o nieprzejrzystych lub nielegalnych sieciach finansowania, a także wiedzą fachową o manipulowaniu </w:t>
      </w:r>
      <w:r w:rsidRPr="000F2778">
        <w:rPr>
          <w:rStyle w:val="NormalHanging12aChar"/>
          <w:color w:val="000000"/>
        </w:rPr>
        <w:lastRenderedPageBreak/>
        <w:t xml:space="preserve">informacjami z zagranicy i ingerowaniu w informacje oraz o przeciwdziałaniu zagrożeniom hybrydowym i poprawie </w:t>
      </w:r>
      <w:bookmarkStart w:id="6" w:name="_Hlk194942091"/>
      <w:r w:rsidRPr="000F2778">
        <w:rPr>
          <w:rStyle w:val="NormalHanging12aChar"/>
          <w:color w:val="000000"/>
        </w:rPr>
        <w:t>odporności; ponownie wzywa władze mołdawskie i UE, by silniej wspierały niezależne media i prodemokratyczne społeczeństwo obywatelskie, aby umożliwić dziennikarzom na szczeblu krajowym i regionalnym przeciwdziałanie zagranicznym manipulacjom informacjami i ingerencjom w informacje oraz podnieść poziom umiejętności cyfrowych;</w:t>
      </w:r>
      <w:bookmarkEnd w:id="6"/>
      <w:r w:rsidRPr="000F2778">
        <w:rPr>
          <w:rStyle w:val="NormalHanging12aChar"/>
          <w:color w:val="000000"/>
        </w:rPr>
        <w:t xml:space="preserve"> z zadowoleniem przyjmuje ogłoszenie Komisji o utworzeniu nowego regionalnego centrum Europejskiego Obserwatorium Mediów Cyfrowych (EDMO) mającego wspierać Mołdawię i Ukrainę w walce z dezinformacją; apeluje do wszystkich ważnych platform internetowych, zwłaszcza do platform Meta, Google, Telegram, </w:t>
      </w:r>
      <w:proofErr w:type="spellStart"/>
      <w:r w:rsidRPr="000F2778">
        <w:rPr>
          <w:rStyle w:val="NormalHanging12aChar"/>
          <w:color w:val="000000"/>
        </w:rPr>
        <w:t>TikTok</w:t>
      </w:r>
      <w:proofErr w:type="spellEnd"/>
      <w:r w:rsidRPr="000F2778">
        <w:rPr>
          <w:rStyle w:val="NormalHanging12aChar"/>
          <w:color w:val="000000"/>
        </w:rPr>
        <w:t xml:space="preserve">, Microsoft i </w:t>
      </w:r>
      <w:proofErr w:type="spellStart"/>
      <w:r w:rsidRPr="000F2778">
        <w:rPr>
          <w:rStyle w:val="NormalHanging12aChar"/>
          <w:color w:val="000000"/>
        </w:rPr>
        <w:t>Rakuten</w:t>
      </w:r>
      <w:proofErr w:type="spellEnd"/>
      <w:r w:rsidRPr="000F2778">
        <w:rPr>
          <w:rStyle w:val="NormalHanging12aChar"/>
          <w:color w:val="000000"/>
        </w:rPr>
        <w:t>, o ścisłą współpracę z władzami Mołdawii, społeczeństwem obywatelskim i nowym centrum EDMO; wzywa Mołdawię, by niezwłocznie dostosowała swoje przepisy do unijnego aktu o rynkach cyfrowych</w:t>
      </w:r>
      <w:r w:rsidRPr="000F2778">
        <w:rPr>
          <w:rStyle w:val="FootnoteReference"/>
          <w:color w:val="000000"/>
        </w:rPr>
        <w:footnoteReference w:id="5"/>
      </w:r>
      <w:r w:rsidRPr="000F2778">
        <w:rPr>
          <w:rStyle w:val="NormalHanging12aChar"/>
          <w:color w:val="000000"/>
        </w:rPr>
        <w:t xml:space="preserve"> i aktu o usługach cyfrowych</w:t>
      </w:r>
      <w:r w:rsidRPr="000F2778">
        <w:rPr>
          <w:rStyle w:val="FootnoteReference"/>
          <w:color w:val="000000"/>
        </w:rPr>
        <w:footnoteReference w:id="6"/>
      </w:r>
      <w:r w:rsidRPr="000F2778">
        <w:rPr>
          <w:rStyle w:val="NormalHanging12aChar"/>
          <w:color w:val="000000"/>
        </w:rPr>
        <w:t>; wzywa Komisję do udzielenia Mołdawii konkretnego wsparcia w tych działaniach;</w:t>
      </w:r>
    </w:p>
    <w:p w14:paraId="40636112" w14:textId="77777777" w:rsidR="002F2D95" w:rsidRPr="000F2778" w:rsidRDefault="002F2D95" w:rsidP="002F2D95">
      <w:pPr>
        <w:pStyle w:val="NormalHanging12a"/>
        <w:rPr>
          <w:szCs w:val="24"/>
        </w:rPr>
      </w:pPr>
      <w:r w:rsidRPr="000F2778">
        <w:t>9.</w:t>
      </w:r>
      <w:r w:rsidRPr="000F2778">
        <w:tab/>
        <w:t xml:space="preserve">zachęca władze mołdawskie, by przed wyborami parlamentarnymi zaplanowanymi na 28 września 2025 r. w pełni skorzystały z wiedzy fachowej EUPM do przeciwdziałania wszelkim nowym ingerencjom w wybory; zachęca Europejską Służbę Działań Zewnętrznych i Komisję, by wykorzystały wszystkie dostępne instrumenty unijne do wsparcia Mołdawii w przeciwdziałaniu zagrożeniom hybrydowym, w tym z pomocą zespołu szybkiego reagowania na zagrożenia hybrydowe, zespołu szybkiego reagowania na </w:t>
      </w:r>
      <w:proofErr w:type="spellStart"/>
      <w:r w:rsidRPr="000F2778">
        <w:t>cyberincydenty</w:t>
      </w:r>
      <w:proofErr w:type="spellEnd"/>
      <w:r w:rsidRPr="000F2778">
        <w:t xml:space="preserve"> i rezerwy </w:t>
      </w:r>
      <w:proofErr w:type="spellStart"/>
      <w:r w:rsidRPr="000F2778">
        <w:t>cyberbezpieczeństwa</w:t>
      </w:r>
      <w:proofErr w:type="spellEnd"/>
      <w:r w:rsidRPr="000F2778">
        <w:t>; z zadowoleniem przyjmuje starania mołdawskiego Centrum Komunikacji Strategicznej i Przeciwdziałania Dezinformacji o koordynację walki instytucji mołdawskich z ingerencjami z zagranicy oraz starania Krajowej Agencji ds. </w:t>
      </w:r>
      <w:proofErr w:type="spellStart"/>
      <w:r w:rsidRPr="000F2778">
        <w:t>Cyberbezpieczeństwa</w:t>
      </w:r>
      <w:proofErr w:type="spellEnd"/>
      <w:r w:rsidRPr="000F2778">
        <w:t xml:space="preserve"> i Krajowego Instytutu ds. Innowacji w dziedzinie </w:t>
      </w:r>
      <w:proofErr w:type="spellStart"/>
      <w:r w:rsidRPr="000F2778">
        <w:t>Cyberbezpieczeństwa</w:t>
      </w:r>
      <w:proofErr w:type="spellEnd"/>
      <w:r w:rsidRPr="000F2778">
        <w:t>, a także apeluje do UE o większe wsparcie tych starań; ponownie podkreśla, że trzeba usprawnić wymianę informacji i współpracę wywiadowczą między Mołdawią a UE i jej państwami członkowskimi w dziedzinie zagrożeń dla bezpieczeństwa; wzywa UE, aby wyciągnęła wnioski z doświadczeń zdobytych w Mołdawii, które może wykorzystać do ochrony swoich własnych procesów wyborczych i instytucji demokratycznych;</w:t>
      </w:r>
    </w:p>
    <w:p w14:paraId="3F8FC52F" w14:textId="77777777" w:rsidR="002F2D95" w:rsidRPr="000F2778" w:rsidRDefault="002F2D95" w:rsidP="002F2D95">
      <w:pPr>
        <w:pStyle w:val="NormalHanging12a"/>
        <w:rPr>
          <w:szCs w:val="24"/>
        </w:rPr>
      </w:pPr>
      <w:r w:rsidRPr="000F2778">
        <w:t>10.</w:t>
      </w:r>
      <w:r w:rsidRPr="000F2778">
        <w:tab/>
        <w:t xml:space="preserve">odnotowuje konsekwentne dostosowywanie się Mołdawii do stanowisk UE we wspólnej polityce zagranicznej i bezpieczeństwa oraz wdrażanie przez ten kraj partnerstwa z UE w dziedzinie bezpieczeństwa i obrony od 2024 r. i nowej krajowej strategii obrony na lata 2024–2034; dlatego apeluje do państw członkowskich, by zwiększyły środki przeznaczone dla Mołdawii w Europejskim Instrumencie na rzecz Pokoju, w tym w związku z powtarzającymi się naruszeniami mołdawskiej przestrzeni powietrznej przez rosyjskie drony i pociski, oraz by włączyły Mołdawię do wspólnych zamówień w dziedzinie obronności w europejskim programie na rzecz przemysłu obronnego; podkreśla rolę Mołdawii w bezpieczeństwie i stabilności wschodniej </w:t>
      </w:r>
      <w:r w:rsidRPr="000F2778">
        <w:lastRenderedPageBreak/>
        <w:t>granicy UE i regionu Morza Czarnego w związku z kryzysem humanitarnym i energetycznym spowodowanym rosyjską wojną napastniczą przeciwko Ukrainie;</w:t>
      </w:r>
    </w:p>
    <w:p w14:paraId="098C6728" w14:textId="77777777" w:rsidR="002F2D95" w:rsidRPr="000F2778" w:rsidRDefault="002F2D95" w:rsidP="002F2D95">
      <w:pPr>
        <w:pStyle w:val="NormalHanging12a"/>
      </w:pPr>
      <w:r w:rsidRPr="000F2778">
        <w:t>11.</w:t>
      </w:r>
      <w:r w:rsidRPr="000F2778">
        <w:tab/>
        <w:t>wzywa Federację Rosyjską do wycofania sił zbrojnych, sprzętu i amunicji z Naddniestrza oraz do wsparcia pokojowego rozwiązania konfliktu w tym regionie zgodnie z prawem międzynarodowym oraz poszanowaniem suwerenności i integralności terytorialnej Mołdawii;</w:t>
      </w:r>
    </w:p>
    <w:p w14:paraId="6A5E1D28" w14:textId="770CC2E8" w:rsidR="002F2D95" w:rsidRPr="000F2778" w:rsidRDefault="002F2D95" w:rsidP="002F2D95">
      <w:pPr>
        <w:pStyle w:val="NormalHanging12a"/>
        <w:rPr>
          <w:szCs w:val="24"/>
        </w:rPr>
      </w:pPr>
      <w:r w:rsidRPr="000F2778">
        <w:t>12.</w:t>
      </w:r>
      <w:r w:rsidRPr="000F2778">
        <w:tab/>
        <w:t>apeluje do mołdawskich władz i społeczeństwa obywatelskiego oraz do UE o lepszą komunikację strategiczną, obalanie i zwalczanie propagowanych przez Rosję fałszywych narracji o UE i jej polityce oraz o prezentowanie konkretnych krótko- i długoterminowych korzyści płynących z przystąpienia do UE dla wszystkich mieszkańców Mołdawii</w:t>
      </w:r>
      <w:bookmarkStart w:id="7" w:name="_Hlk196923727"/>
      <w:r w:rsidRPr="000F2778">
        <w:t>, ze szczególnym uwzględnieniem komunikacji w takich regionach jak Gagauzja oraz w społecznościach o niekorzystnej sytuacji społeczno-gospodarczej na obszarach wiejskich</w:t>
      </w:r>
      <w:bookmarkEnd w:id="7"/>
      <w:r w:rsidRPr="000F2778">
        <w:t>; wyraża gotowość do dalszego wspierania parlamentu Mołdawii przez wspólnie uzgodnione działania wspierające demokrację; zaleca zatem, aby w pełni wykorzystać Biuro Kontaktowe Parlamentu Europejskiego w Kiszyniowie do rozpowszechniania informacji, przeciwdziałania dezinformacji i wspierania udziału obywateli, a tym samym przyczyniać się do podnoszenia odporności demokratycznej Mołdawii; jest głęboko zaniepokojony szeroko zakrojoną rosyjską kampanią wykorzystywania homofobii, w tym zastraszania i fizycznych napaści, oraz wzywa Komisję, państwa członkowskie i Mołdawię do inwestowania również w odporność społeczeństwa mołdawskiego przez  propagowanie równości dla wszystkich, niezależnie od orientacji seksualnej czy tożsamości płciowej;</w:t>
      </w:r>
    </w:p>
    <w:p w14:paraId="37916724" w14:textId="14B234D3" w:rsidR="002F2D95" w:rsidRDefault="002F2D95" w:rsidP="002F2D95">
      <w:pPr>
        <w:pStyle w:val="NormalHanging12a"/>
      </w:pPr>
      <w:r w:rsidRPr="000F2778">
        <w:t>13.</w:t>
      </w:r>
      <w:r w:rsidRPr="000F2778">
        <w:tab/>
        <w:t xml:space="preserve">zwraca uwagę, że rosyjska strategia bezpieczeństwa narodowego, zatwierdzona przez prezydenta Putina 31 grudnia 2015 r., a bazująca na doktrynie militarnej z 25 grudnia 2014 r., ma jednoznacznie bronić tzw. tradycyjnych rosyjskich wartości duchowych i moralnych przed rzekomym wpływem Zachodu, co dowodzi, że Rosja instrumentalizuje te wartości i ich instytucje do celów strategicznych; wyraża zaniepokojenie takim instrumentalizowaniem tzw. tradycyjnych rosyjskich wartości i podkreśla, że do głównych kanałów rosyjskiej propagandy w Mołdawii należy „metropolia Kiszyniowa i całej Mołdawii” podlegająca patriarchatowi moskiewskiemu i jurysdykcji rosyjskiego kościoła prawosławnego; </w:t>
      </w:r>
      <w:r w:rsidR="00DE1782" w:rsidRPr="00562C28">
        <w:rPr>
          <w:bCs/>
          <w:iCs/>
          <w:szCs w:val="24"/>
        </w:rPr>
        <w:t>podkreśla, że w kwietniu 2024 r. Zgromadzenie Parlamentarne Rady Europy uznało Rosyjski Kościół Prawosławny za instrument propagandy Kremla, a w sierpniu 2024 r. Ekumeniczny Patriarcha Konstantynopola uznał go za militarystyczny, etniczno-nacjonalistyczny i heretycki;</w:t>
      </w:r>
      <w:r w:rsidR="00DE1782" w:rsidRPr="00BC7FAE">
        <w:rPr>
          <w:b/>
          <w:i/>
          <w:szCs w:val="24"/>
        </w:rPr>
        <w:t xml:space="preserve"> </w:t>
      </w:r>
      <w:r w:rsidRPr="000F2778">
        <w:t>potępia zastraszanie duchownych prawosławnej metropolii Besarabii przez popleczników Rosji</w:t>
      </w:r>
      <w:r w:rsidR="00DE1782">
        <w:rPr>
          <w:rStyle w:val="FootnoteReference"/>
        </w:rPr>
        <w:footnoteReference w:id="7"/>
      </w:r>
      <w:r w:rsidRPr="000F2778">
        <w:t>;</w:t>
      </w:r>
    </w:p>
    <w:p w14:paraId="530AD3DC" w14:textId="03558E68" w:rsidR="00DE1782" w:rsidRPr="00562C28" w:rsidRDefault="00DE1782" w:rsidP="002F2D95">
      <w:pPr>
        <w:pStyle w:val="NormalHanging12a"/>
        <w:rPr>
          <w:bCs/>
          <w:iCs/>
        </w:rPr>
      </w:pPr>
      <w:r w:rsidRPr="00562C28">
        <w:rPr>
          <w:bCs/>
          <w:iCs/>
        </w:rPr>
        <w:t>1</w:t>
      </w:r>
      <w:r w:rsidR="00562C28">
        <w:rPr>
          <w:bCs/>
          <w:iCs/>
        </w:rPr>
        <w:t>4</w:t>
      </w:r>
      <w:r w:rsidRPr="00562C28">
        <w:rPr>
          <w:bCs/>
          <w:iCs/>
        </w:rPr>
        <w:t>.</w:t>
      </w:r>
      <w:r w:rsidRPr="00562C28">
        <w:rPr>
          <w:bCs/>
          <w:iCs/>
        </w:rPr>
        <w:tab/>
        <w:t>uznaje Prawosławną Metropolię Besarabii za ofiarę sowieckich represji; zauważa, że zlikwidowana bezprawnie przez władze radzieckie Prawosławna Metropolia Besarabii została oficjalnie uznana dopiero w 2002 r. po decyzji Europejskiego Trybunału Praw Człowieka;</w:t>
      </w:r>
    </w:p>
    <w:p w14:paraId="602EA139" w14:textId="3F9E3112" w:rsidR="002F2D95" w:rsidRPr="000F2778" w:rsidRDefault="002F2D95" w:rsidP="002F2D95">
      <w:pPr>
        <w:pStyle w:val="NormalHanging12a"/>
        <w:rPr>
          <w:szCs w:val="24"/>
        </w:rPr>
      </w:pPr>
      <w:r w:rsidRPr="000F2778">
        <w:t>1</w:t>
      </w:r>
      <w:r w:rsidR="00562C28">
        <w:t>5</w:t>
      </w:r>
      <w:r w:rsidRPr="000F2778">
        <w:t>.</w:t>
      </w:r>
      <w:r w:rsidRPr="000F2778">
        <w:tab/>
        <w:t xml:space="preserve">odnotowuje istotny wkład organizacji społeczeństwa obywatelskiego w przeciwdziałanie dezinformacji i wrogiemu wpływowi popleczników Rosji </w:t>
      </w:r>
      <w:r w:rsidRPr="000F2778">
        <w:lastRenderedPageBreak/>
        <w:t>i podmiotów politycznych sprzeciwiających się reformom, a także w obronę praw człowieka, propagowanie przejrzystości i monitorowanie zarządzania oraz postępów w reformach demokratycznych i reformach związanych z przystąpieniem do UE;</w:t>
      </w:r>
    </w:p>
    <w:p w14:paraId="77EBFD0B" w14:textId="32CD63DF" w:rsidR="002F2D95" w:rsidRPr="000F2778" w:rsidRDefault="002F2D95" w:rsidP="002F2D95">
      <w:pPr>
        <w:pStyle w:val="NormalHanging12a"/>
        <w:rPr>
          <w:szCs w:val="24"/>
        </w:rPr>
      </w:pPr>
      <w:r w:rsidRPr="000F2778">
        <w:t>1</w:t>
      </w:r>
      <w:r w:rsidR="00562C28">
        <w:t>6</w:t>
      </w:r>
      <w:r w:rsidRPr="000F2778">
        <w:t>.</w:t>
      </w:r>
      <w:r w:rsidRPr="000F2778">
        <w:tab/>
        <w:t xml:space="preserve">podkreśla, że całościowa reforma wymiaru sprawiedliwości i walka z korupcją są bardzo ważne zarówno dla odporności Mołdawii na zagraniczne ingerencje i zagrożenia hybrydowe, jak i dla powodzenia reform demokratycznych i reform związanych z przystąpieniem do UE; dostrzega nieustające starania Mołdawii o zbudowanie niezależnego, bezstronnego, </w:t>
      </w:r>
      <w:proofErr w:type="spellStart"/>
      <w:r w:rsidRPr="000F2778">
        <w:t>rozliczalnego</w:t>
      </w:r>
      <w:proofErr w:type="spellEnd"/>
      <w:r w:rsidRPr="000F2778">
        <w:t xml:space="preserve"> i profesjonalnego systemu sądowego oraz o zakończenie procesu jego weryfikacji do końca 2026 r.; podkreśla, że trzeba zapewnić lepszą koordynację działań wszystkich kluczowych instytucji antykorupcyjnych i sądowniczych, by w pełni wdrożyć całościowe reformy, osiągnąć przekonujące wyniki w ściganiu i wydawaniu wyroków skazujących w sprawach dotyczących korupcji oraz utrzymać zaufanie społeczeństwa do instytucji demokratycznych i procesu reform; dlatego wzywa przyszły rząd, by utrzymał obecny poziom ambicji i zakończył reformy dotyczące praworządności;</w:t>
      </w:r>
    </w:p>
    <w:p w14:paraId="33577A12" w14:textId="0C7D1DCF" w:rsidR="002F2D95" w:rsidRDefault="002F2D95" w:rsidP="002F2D95">
      <w:pPr>
        <w:pStyle w:val="NormalHanging12a"/>
      </w:pPr>
      <w:r w:rsidRPr="000F2778">
        <w:t>1</w:t>
      </w:r>
      <w:r w:rsidR="00562C28">
        <w:t>7</w:t>
      </w:r>
      <w:r w:rsidRPr="000F2778">
        <w:t>.</w:t>
      </w:r>
      <w:r w:rsidRPr="000F2778">
        <w:tab/>
        <w:t xml:space="preserve">podkreśla kluczowe znaczenie niezależności energetycznej i </w:t>
      </w:r>
      <w:proofErr w:type="spellStart"/>
      <w:r w:rsidRPr="000F2778">
        <w:t>konektywności</w:t>
      </w:r>
      <w:proofErr w:type="spellEnd"/>
      <w:r w:rsidRPr="000F2778">
        <w:t xml:space="preserve"> dla zwiększenia odporności na rosyjskie zagrożenia hybrydowe w sektorze energetycznym i dlatego apeluje o szybsze wdrożenie planu wzrostu gospodarczego; potępia ciągłą instrumentalizację dostaw energii przez Rosję, a z zadowoleniem przyjmuje postępy Mołdawii w dywersyfikacji źródeł energii, wprowadzaniu odnawialnych źródeł energii i systemów jej magazynowania, zmniejszaniu zależności od gazu rosyjskiego i integrowaniu rynku mołdawskiego z rynkiem energii UE;</w:t>
      </w:r>
    </w:p>
    <w:p w14:paraId="36D6F356" w14:textId="2FC40A44" w:rsidR="00DE1782" w:rsidRPr="00562C28" w:rsidRDefault="00DE1782" w:rsidP="002F2D95">
      <w:pPr>
        <w:pStyle w:val="NormalHanging12a"/>
        <w:rPr>
          <w:bCs/>
          <w:iCs/>
          <w:szCs w:val="24"/>
        </w:rPr>
      </w:pPr>
      <w:r w:rsidRPr="00562C28">
        <w:rPr>
          <w:bCs/>
          <w:iCs/>
        </w:rPr>
        <w:t>1</w:t>
      </w:r>
      <w:r w:rsidR="00562C28" w:rsidRPr="00562C28">
        <w:rPr>
          <w:bCs/>
          <w:iCs/>
        </w:rPr>
        <w:t>8</w:t>
      </w:r>
      <w:r w:rsidRPr="00562C28">
        <w:rPr>
          <w:bCs/>
          <w:iCs/>
        </w:rPr>
        <w:t xml:space="preserve">. </w:t>
      </w:r>
      <w:r w:rsidRPr="00562C28">
        <w:rPr>
          <w:bCs/>
          <w:iCs/>
        </w:rPr>
        <w:tab/>
        <w:t>wyraża uznanie dla Republiki Mołdawii za znaczne postępy w stopniowym odchodzeniu od rosyjskich źródeł energii, przyspieszeniu dekarbonizacji i cyfryzacji koszyka energetycznego oraz integracji z rynkiem energii UE; ponownie apeluje do UE i jej państw członkowskich, aby dalej wspierały bezpieczeństwo energetycznego Mołdawii przez budowę i finansowanie nowych elektroenergetycznych połączeń międzysystemowych z krajami sąsiadującymi, propagowanie efektywności energetycznej oraz wdrażanie odnawialnych źródeł energii i systemów magazynowania energii elektrycznej zgodnie z celami określonymi w krajowym planie w dziedzinie energii i klimatu;</w:t>
      </w:r>
    </w:p>
    <w:p w14:paraId="3DF2CDBF" w14:textId="36ED3FBA" w:rsidR="002F2D95" w:rsidRPr="000F2778" w:rsidRDefault="002F2D95" w:rsidP="002F2D95">
      <w:pPr>
        <w:pStyle w:val="NormalHanging12a"/>
        <w:rPr>
          <w:szCs w:val="24"/>
        </w:rPr>
      </w:pPr>
      <w:r w:rsidRPr="000F2778">
        <w:t>1</w:t>
      </w:r>
      <w:r w:rsidR="00562C28">
        <w:t>9</w:t>
      </w:r>
      <w:r w:rsidRPr="000F2778">
        <w:t>.</w:t>
      </w:r>
      <w:r w:rsidRPr="000F2778">
        <w:tab/>
        <w:t xml:space="preserve">z zadowoleniem przyjmuje sprawne przyjęcie planu wzrostu gospodarczego dla Mołdawii w bezprecedensowej wysokości 1,9 mld EUR, mającego pobudzić mołdawską gospodarkę i pomóc w zbliżaniu się tego kraju do członkostwa w UE przez przyspieszenie kluczowych reform w takich sektorach jak energetyka, środowisko, sektor cyfrowy, transport i inne; z zadowoleniem przyjmuje wypłacenie Mołdawii transzy płatności zaliczkowych z tego planu wzrostu – 270 mln z 1,9 mld EUR – i apeluje o szybkie uruchomienie pierwszej zwykłej transzy na wsparcie najważniejszych reform w dziedzinie infrastruktury, kapitału ludzkiego, rozwoju przedsiębiorstw oraz transformacji cyfrowej i ekologicznej; wzywa UE i Mołdawię do przyspieszenia stopniowej integracji tego kraju z jednolitym rynkiem UE, by zaoferować wymierne korzyści społeczno-gospodarcze jeszcze przed formalnym przystąpieniem do UE; z zadowoleniem przyjmuje niedawne porozumienie w sprawie przeglądu i aktualizacji postanowień handlowych pogłębionej i kompleksowej strefy wolnego handlu między UE a Mołdawią, które da większy dostęp do rynku eksportowanym mołdawskim produktom rolnym jeszcze nieobjętym liberalizacją; popiera włączenie Mołdawii do instrumentu przedakcesyjnego w kolejnych </w:t>
      </w:r>
      <w:r w:rsidRPr="000F2778">
        <w:lastRenderedPageBreak/>
        <w:t xml:space="preserve">wieloletnich ramach finansowych; pochwala decyzję Rady z 25 lipca 2025 r. o włączeniu Mołdawii do obszaru </w:t>
      </w:r>
      <w:proofErr w:type="spellStart"/>
      <w:r w:rsidRPr="000F2778">
        <w:t>roamingu</w:t>
      </w:r>
      <w:proofErr w:type="spellEnd"/>
      <w:r w:rsidRPr="000F2778">
        <w:t xml:space="preserve"> unijnego od 1 stycznia 2026 r. na wzór podobnej decyzji dotyczącej Ukrainy z 14 lipca 2025 r.;</w:t>
      </w:r>
    </w:p>
    <w:p w14:paraId="26CBDD9F" w14:textId="46B29EE2" w:rsidR="000F2778" w:rsidRPr="000F2778" w:rsidRDefault="00562C28" w:rsidP="000F2778">
      <w:pPr>
        <w:pStyle w:val="NormalHanging12a"/>
      </w:pPr>
      <w:r>
        <w:t>20</w:t>
      </w:r>
      <w:r w:rsidR="002F2D95" w:rsidRPr="000F2778">
        <w:t>.</w:t>
      </w:r>
      <w:r w:rsidR="002F2D95" w:rsidRPr="000F2778">
        <w:tab/>
        <w:t>zobowiązuje swoją przewodniczącą do przekazania niniejszej rezolucji wiceprzewodniczącej Komisji / wysokiej przedstawicielce Unii do spraw zagranicznych i polityki bezpieczeństwa, Radzie, Komisji, rządom i parlamentom państw członkowskich, Radzie Europy, Organizacji Bezpieczeństwa i Współpracy w Europie, a także prezydentce, rządowi i parlamentowi Mołdawii.</w:t>
      </w:r>
    </w:p>
    <w:p w14:paraId="2E65C461" w14:textId="442BD7B1" w:rsidR="00E365E1" w:rsidRPr="000F2778" w:rsidRDefault="00E365E1" w:rsidP="00735544"/>
    <w:sectPr w:rsidR="00E365E1" w:rsidRPr="000F2778" w:rsidSect="000F27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3943D" w14:textId="77777777" w:rsidR="00735544" w:rsidRPr="000F2778" w:rsidRDefault="00735544">
      <w:r w:rsidRPr="000F2778">
        <w:separator/>
      </w:r>
    </w:p>
  </w:endnote>
  <w:endnote w:type="continuationSeparator" w:id="0">
    <w:p w14:paraId="0D040C57" w14:textId="77777777" w:rsidR="00735544" w:rsidRPr="000F2778" w:rsidRDefault="00735544">
      <w:r w:rsidRPr="000F27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C3BE" w14:textId="77777777" w:rsidR="00064002" w:rsidRPr="000F27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76837" w14:textId="77777777" w:rsidR="00064002" w:rsidRPr="000F27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F703A" w14:textId="77777777" w:rsidR="00064002" w:rsidRPr="000F27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B6EF6" w14:textId="77777777" w:rsidR="00735544" w:rsidRPr="000F2778" w:rsidRDefault="00735544">
      <w:r w:rsidRPr="000F2778">
        <w:separator/>
      </w:r>
    </w:p>
  </w:footnote>
  <w:footnote w:type="continuationSeparator" w:id="0">
    <w:p w14:paraId="681C929D" w14:textId="77777777" w:rsidR="00735544" w:rsidRPr="000F2778" w:rsidRDefault="00735544">
      <w:r w:rsidRPr="000F2778">
        <w:continuationSeparator/>
      </w:r>
    </w:p>
  </w:footnote>
  <w:footnote w:id="1">
    <w:p w14:paraId="436CCE7B" w14:textId="55DD3FD4" w:rsidR="002F2D95" w:rsidRPr="000F2778" w:rsidRDefault="002F2D95" w:rsidP="000F2778">
      <w:pPr>
        <w:pStyle w:val="FootnoteText"/>
        <w:ind w:left="567" w:hanging="567"/>
        <w:rPr>
          <w:sz w:val="24"/>
          <w:lang w:val="pl-PL"/>
        </w:rPr>
      </w:pPr>
      <w:r w:rsidRPr="000F2778">
        <w:rPr>
          <w:rStyle w:val="FootnoteReference"/>
          <w:sz w:val="24"/>
          <w:lang w:val="pl-PL"/>
        </w:rPr>
        <w:footnoteRef/>
      </w:r>
      <w:r w:rsidR="000F2778" w:rsidRPr="000F2778">
        <w:rPr>
          <w:sz w:val="24"/>
          <w:lang w:val="pl-PL"/>
        </w:rPr>
        <w:t xml:space="preserve"> </w:t>
      </w:r>
      <w:r w:rsidR="000F2778" w:rsidRPr="000F2778">
        <w:rPr>
          <w:sz w:val="24"/>
          <w:lang w:val="pl-PL"/>
        </w:rPr>
        <w:tab/>
      </w:r>
      <w:r w:rsidRPr="000F2778">
        <w:rPr>
          <w:sz w:val="24"/>
          <w:lang w:val="pl-PL"/>
        </w:rPr>
        <w:t>Teksty przyjęte, P10_</w:t>
      </w:r>
      <w:proofErr w:type="gramStart"/>
      <w:r w:rsidRPr="000F2778">
        <w:rPr>
          <w:sz w:val="24"/>
          <w:lang w:val="pl-PL"/>
        </w:rPr>
        <w:t>TA(</w:t>
      </w:r>
      <w:proofErr w:type="gramEnd"/>
      <w:r w:rsidRPr="000F2778">
        <w:rPr>
          <w:sz w:val="24"/>
          <w:lang w:val="pl-PL"/>
        </w:rPr>
        <w:t>2025)0131.</w:t>
      </w:r>
    </w:p>
  </w:footnote>
  <w:footnote w:id="2">
    <w:p w14:paraId="403A1F1F" w14:textId="79C3D251" w:rsidR="002F2D95" w:rsidRPr="000F2778" w:rsidRDefault="002F2D95" w:rsidP="000F2778">
      <w:pPr>
        <w:pStyle w:val="FootnoteText"/>
        <w:ind w:left="567" w:hanging="567"/>
        <w:rPr>
          <w:sz w:val="24"/>
          <w:lang w:val="pl-PL"/>
        </w:rPr>
      </w:pPr>
      <w:r w:rsidRPr="000F2778">
        <w:rPr>
          <w:rStyle w:val="FootnoteReference"/>
          <w:sz w:val="24"/>
          <w:lang w:val="pl-PL"/>
        </w:rPr>
        <w:footnoteRef/>
      </w:r>
      <w:r w:rsidR="000F2778" w:rsidRPr="000F2778">
        <w:rPr>
          <w:sz w:val="24"/>
          <w:lang w:val="pl-PL"/>
        </w:rPr>
        <w:t xml:space="preserve"> </w:t>
      </w:r>
      <w:r w:rsidR="000F2778" w:rsidRPr="000F2778">
        <w:rPr>
          <w:sz w:val="24"/>
          <w:lang w:val="pl-PL"/>
        </w:rPr>
        <w:tab/>
      </w:r>
      <w:r w:rsidRPr="000F2778">
        <w:rPr>
          <w:sz w:val="24"/>
          <w:lang w:val="pl-PL"/>
        </w:rPr>
        <w:t xml:space="preserve">Dz.U. C, C/2025/204, </w:t>
      </w:r>
      <w:proofErr w:type="gramStart"/>
      <w:r w:rsidRPr="000F2778">
        <w:rPr>
          <w:sz w:val="24"/>
          <w:lang w:val="pl-PL"/>
        </w:rPr>
        <w:t>14.1.2025</w:t>
      </w:r>
      <w:proofErr w:type="gramEnd"/>
      <w:r w:rsidRPr="000F2778">
        <w:rPr>
          <w:sz w:val="24"/>
          <w:lang w:val="pl-PL"/>
        </w:rPr>
        <w:t xml:space="preserve">, ELI: </w:t>
      </w:r>
      <w:hyperlink r:id="rId1" w:history="1">
        <w:r w:rsidR="005F3581" w:rsidRPr="00970908">
          <w:rPr>
            <w:rStyle w:val="Hyperlink"/>
            <w:sz w:val="24"/>
            <w:lang w:val="pl-PL"/>
          </w:rPr>
          <w:t>http://data.europa.eu/eli/C/2025/204/oj</w:t>
        </w:r>
      </w:hyperlink>
      <w:r w:rsidRPr="000F2778">
        <w:rPr>
          <w:sz w:val="24"/>
          <w:lang w:val="pl-PL"/>
        </w:rPr>
        <w:t>.</w:t>
      </w:r>
    </w:p>
  </w:footnote>
  <w:footnote w:id="3">
    <w:p w14:paraId="10C8CB52" w14:textId="14B67EF2" w:rsidR="002F2D95" w:rsidRPr="000F2778" w:rsidRDefault="002F2D95" w:rsidP="000F2778">
      <w:pPr>
        <w:pStyle w:val="FootnoteText"/>
        <w:ind w:left="567" w:hanging="567"/>
        <w:rPr>
          <w:sz w:val="24"/>
          <w:lang w:val="pl-PL"/>
        </w:rPr>
      </w:pPr>
      <w:r w:rsidRPr="000F2778">
        <w:rPr>
          <w:rStyle w:val="FootnoteReference"/>
          <w:sz w:val="24"/>
          <w:lang w:val="pl-PL"/>
        </w:rPr>
        <w:footnoteRef/>
      </w:r>
      <w:r w:rsidR="000F2778" w:rsidRPr="000F2778">
        <w:rPr>
          <w:sz w:val="24"/>
          <w:lang w:val="pl-PL"/>
        </w:rPr>
        <w:t xml:space="preserve"> </w:t>
      </w:r>
      <w:r w:rsidR="000F2778" w:rsidRPr="000F2778">
        <w:rPr>
          <w:sz w:val="24"/>
          <w:lang w:val="pl-PL"/>
        </w:rPr>
        <w:tab/>
      </w:r>
      <w:r w:rsidRPr="000F2778">
        <w:rPr>
          <w:sz w:val="24"/>
          <w:lang w:val="pl-PL"/>
        </w:rPr>
        <w:t xml:space="preserve">Dz.U. L 260 z </w:t>
      </w:r>
      <w:proofErr w:type="gramStart"/>
      <w:r w:rsidRPr="000F2778">
        <w:rPr>
          <w:sz w:val="24"/>
          <w:lang w:val="pl-PL"/>
        </w:rPr>
        <w:t>30.8.2014</w:t>
      </w:r>
      <w:proofErr w:type="gramEnd"/>
      <w:r w:rsidRPr="000F2778">
        <w:rPr>
          <w:sz w:val="24"/>
          <w:lang w:val="pl-PL"/>
        </w:rPr>
        <w:t>, s. 4, ELI: </w:t>
      </w:r>
      <w:hyperlink r:id="rId2" w:tooltip="Gives access to this document through its ELI URI." w:history="1">
        <w:r w:rsidRPr="000F2778">
          <w:rPr>
            <w:rStyle w:val="Hyperlink"/>
            <w:sz w:val="24"/>
            <w:lang w:val="pl-PL"/>
          </w:rPr>
          <w:t>http://data.europa.eu/eli/agree_internation/2014/492/oj</w:t>
        </w:r>
      </w:hyperlink>
      <w:r w:rsidRPr="000F2778">
        <w:rPr>
          <w:sz w:val="24"/>
          <w:lang w:val="pl-PL"/>
        </w:rPr>
        <w:t>.</w:t>
      </w:r>
    </w:p>
  </w:footnote>
  <w:footnote w:id="4">
    <w:p w14:paraId="5FAD7B49" w14:textId="69C9E921" w:rsidR="00DE1782" w:rsidRPr="00562C28" w:rsidRDefault="00DE1782" w:rsidP="00562C28">
      <w:pPr>
        <w:pStyle w:val="FootnoteText"/>
        <w:ind w:left="567" w:hanging="567"/>
        <w:rPr>
          <w:sz w:val="24"/>
          <w:szCs w:val="24"/>
          <w:lang w:val="pl-PL"/>
        </w:rPr>
      </w:pPr>
      <w:r w:rsidRPr="00562C28">
        <w:rPr>
          <w:rStyle w:val="FootnoteReference"/>
          <w:sz w:val="24"/>
          <w:szCs w:val="24"/>
        </w:rPr>
        <w:footnoteRef/>
      </w:r>
      <w:r w:rsidRPr="00562C28">
        <w:rPr>
          <w:sz w:val="24"/>
          <w:szCs w:val="24"/>
          <w:lang w:val="pl-PL"/>
        </w:rPr>
        <w:t xml:space="preserve"> </w:t>
      </w:r>
      <w:r w:rsidRPr="00562C28">
        <w:rPr>
          <w:sz w:val="24"/>
          <w:szCs w:val="24"/>
          <w:lang w:val="pl-PL"/>
        </w:rPr>
        <w:tab/>
        <w:t>https:/www.zdg.md/en/kremlins-digital-army-an-undercover-investigation-its-paid-let-me-tell-you-its-paid-directly-from-moscow/.</w:t>
      </w:r>
    </w:p>
  </w:footnote>
  <w:footnote w:id="5">
    <w:p w14:paraId="022CC137" w14:textId="544C630A" w:rsidR="002F2D95" w:rsidRPr="000F2778" w:rsidRDefault="002F2D95" w:rsidP="000F2778">
      <w:pPr>
        <w:pStyle w:val="FootnoteText"/>
        <w:ind w:left="567" w:hanging="567"/>
        <w:rPr>
          <w:sz w:val="24"/>
          <w:lang w:val="pl-PL"/>
        </w:rPr>
      </w:pPr>
      <w:r w:rsidRPr="000F2778">
        <w:rPr>
          <w:rStyle w:val="FootnoteReference"/>
          <w:sz w:val="24"/>
          <w:lang w:val="pl-PL"/>
        </w:rPr>
        <w:footnoteRef/>
      </w:r>
      <w:r w:rsidR="000F2778" w:rsidRPr="000F2778">
        <w:rPr>
          <w:sz w:val="24"/>
          <w:lang w:val="pl-PL"/>
        </w:rPr>
        <w:t xml:space="preserve"> </w:t>
      </w:r>
      <w:r w:rsidR="000F2778" w:rsidRPr="000F2778">
        <w:rPr>
          <w:sz w:val="24"/>
          <w:lang w:val="pl-PL"/>
        </w:rPr>
        <w:tab/>
      </w:r>
      <w:r w:rsidRPr="000F2778">
        <w:rPr>
          <w:sz w:val="24"/>
          <w:lang w:val="pl-PL"/>
        </w:rPr>
        <w:t xml:space="preserve">Rozporządzenie Parlamentu Europejskiego i Rady (UE) 2022/1925 z dnia 14 września 2022 r. w sprawie </w:t>
      </w:r>
      <w:proofErr w:type="spellStart"/>
      <w:r w:rsidRPr="000F2778">
        <w:rPr>
          <w:sz w:val="24"/>
          <w:lang w:val="pl-PL"/>
        </w:rPr>
        <w:t>kontestowalnych</w:t>
      </w:r>
      <w:proofErr w:type="spellEnd"/>
      <w:r w:rsidRPr="000F2778">
        <w:rPr>
          <w:sz w:val="24"/>
          <w:lang w:val="pl-PL"/>
        </w:rPr>
        <w:t xml:space="preserve"> i uczciwych rynków w sektorze cyfrowym oraz zmiany dyrektyw (UE) 2019/1937 i (UE) 2020/1828 (Dz.U. L 265 z 12.10.2022, s. 1, ELI: </w:t>
      </w:r>
      <w:hyperlink r:id="rId3" w:history="1">
        <w:r w:rsidR="005F3581" w:rsidRPr="00970908">
          <w:rPr>
            <w:rStyle w:val="Hyperlink"/>
            <w:sz w:val="24"/>
            <w:lang w:val="pl-PL"/>
          </w:rPr>
          <w:t>http://data.europa.eu/eli/reg/2022/1925/oj</w:t>
        </w:r>
      </w:hyperlink>
      <w:r w:rsidRPr="000F2778">
        <w:rPr>
          <w:sz w:val="24"/>
          <w:lang w:val="pl-PL"/>
        </w:rPr>
        <w:t>).</w:t>
      </w:r>
    </w:p>
  </w:footnote>
  <w:footnote w:id="6">
    <w:p w14:paraId="09FD05D8" w14:textId="20F4BB97" w:rsidR="002F2D95" w:rsidRPr="000F2778" w:rsidRDefault="002F2D95" w:rsidP="000F2778">
      <w:pPr>
        <w:pStyle w:val="FootnoteText"/>
        <w:ind w:left="567" w:hanging="567"/>
        <w:rPr>
          <w:sz w:val="24"/>
          <w:lang w:val="pl-PL"/>
        </w:rPr>
      </w:pPr>
      <w:r w:rsidRPr="000F2778">
        <w:rPr>
          <w:rStyle w:val="FootnoteReference"/>
          <w:sz w:val="24"/>
          <w:lang w:val="pl-PL"/>
        </w:rPr>
        <w:footnoteRef/>
      </w:r>
      <w:r w:rsidR="000F2778" w:rsidRPr="000F2778">
        <w:rPr>
          <w:sz w:val="24"/>
          <w:lang w:val="pl-PL"/>
        </w:rPr>
        <w:t xml:space="preserve"> </w:t>
      </w:r>
      <w:r w:rsidR="000F2778" w:rsidRPr="000F2778">
        <w:rPr>
          <w:sz w:val="24"/>
          <w:lang w:val="pl-PL"/>
        </w:rPr>
        <w:tab/>
      </w:r>
      <w:r w:rsidRPr="000F2778">
        <w:rPr>
          <w:sz w:val="24"/>
          <w:lang w:val="pl-PL"/>
        </w:rPr>
        <w:t xml:space="preserve">Rozporządzenie Parlamentu Europejskiego i Rady (UE) 2022/2065 z dnia 19 października 2022 r. w sprawie jednolitego rynku usług cyfrowych oraz zmiany dyrektywy 2000/31/WE (Dz.U. L 277 z 27.10.2022, s. 1, ELI: </w:t>
      </w:r>
      <w:hyperlink r:id="rId4" w:history="1">
        <w:r w:rsidR="005F3581" w:rsidRPr="00970908">
          <w:rPr>
            <w:rStyle w:val="Hyperlink"/>
            <w:sz w:val="24"/>
            <w:lang w:val="pl-PL"/>
          </w:rPr>
          <w:t>http://data.europa.eu/eli/reg/2022/2065/oj</w:t>
        </w:r>
      </w:hyperlink>
      <w:r w:rsidRPr="000F2778">
        <w:rPr>
          <w:sz w:val="24"/>
          <w:lang w:val="pl-PL"/>
        </w:rPr>
        <w:t>).</w:t>
      </w:r>
    </w:p>
  </w:footnote>
  <w:footnote w:id="7">
    <w:p w14:paraId="13A144BE" w14:textId="5B97726B" w:rsidR="00DE1782" w:rsidRPr="00562C28" w:rsidRDefault="00DE1782" w:rsidP="00562C28">
      <w:pPr>
        <w:pStyle w:val="FootnoteText"/>
        <w:ind w:left="567" w:hanging="567"/>
        <w:rPr>
          <w:sz w:val="24"/>
          <w:szCs w:val="24"/>
          <w:lang w:val="pl-PL"/>
        </w:rPr>
      </w:pPr>
      <w:r w:rsidRPr="00562C28">
        <w:rPr>
          <w:rStyle w:val="FootnoteReference"/>
          <w:sz w:val="24"/>
          <w:szCs w:val="24"/>
        </w:rPr>
        <w:footnoteRef/>
      </w:r>
      <w:r w:rsidRPr="00562C28">
        <w:rPr>
          <w:sz w:val="24"/>
          <w:szCs w:val="24"/>
          <w:lang w:val="pl-PL"/>
        </w:rPr>
        <w:t xml:space="preserve"> </w:t>
      </w:r>
      <w:r w:rsidRPr="00562C28">
        <w:rPr>
          <w:sz w:val="24"/>
          <w:szCs w:val="24"/>
          <w:lang w:val="pl-PL"/>
        </w:rPr>
        <w:tab/>
      </w:r>
      <w:hyperlink r:id="rId5" w:history="1">
        <w:r w:rsidRPr="00562C28">
          <w:rPr>
            <w:rStyle w:val="Hyperlink"/>
            <w:color w:val="0563C1"/>
            <w:sz w:val="24"/>
            <w:szCs w:val="24"/>
            <w:lang w:val="pl-PL"/>
          </w:rPr>
          <w:t>https://pace.coe.int/en/files/33808/html</w:t>
        </w:r>
      </w:hyperlink>
      <w:r w:rsidRPr="00562C28">
        <w:rPr>
          <w:sz w:val="24"/>
          <w:szCs w:val="24"/>
          <w:lang w:val="pl-PL"/>
        </w:rPr>
        <w:t xml:space="preserve">, </w:t>
      </w:r>
      <w:proofErr w:type="gramStart"/>
      <w:r w:rsidRPr="00562C28">
        <w:rPr>
          <w:sz w:val="24"/>
          <w:szCs w:val="24"/>
          <w:lang w:val="pl-PL"/>
        </w:rPr>
        <w:t>https://www.thetablet.co.uk/news/bartholomew-accuses-russian-church-of-ethno-nationalist-heresy/</w:t>
      </w:r>
      <w:r w:rsidR="00562C28">
        <w:rPr>
          <w:sz w:val="24"/>
          <w:szCs w:val="24"/>
          <w:lang w:val="pl-PL"/>
        </w:rPr>
        <w:t xml:space="preserve"> </w:t>
      </w:r>
      <w:r w:rsidRPr="00562C28">
        <w:rPr>
          <w:sz w:val="24"/>
          <w:szCs w:val="24"/>
          <w:lang w:val="pl-PL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66037" w14:textId="77777777" w:rsidR="00064002" w:rsidRPr="000F27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EE1DD" w14:textId="77777777" w:rsidR="00064002" w:rsidRPr="000F27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1B14" w14:textId="77777777" w:rsidR="00064002" w:rsidRPr="000F27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9132442">
    <w:abstractNumId w:val="9"/>
  </w:num>
  <w:num w:numId="2" w16cid:durableId="814839478">
    <w:abstractNumId w:val="9"/>
  </w:num>
  <w:num w:numId="3" w16cid:durableId="1557281885">
    <w:abstractNumId w:val="7"/>
  </w:num>
  <w:num w:numId="4" w16cid:durableId="449204244">
    <w:abstractNumId w:val="7"/>
  </w:num>
  <w:num w:numId="5" w16cid:durableId="551579652">
    <w:abstractNumId w:val="6"/>
  </w:num>
  <w:num w:numId="6" w16cid:durableId="1625697369">
    <w:abstractNumId w:val="6"/>
  </w:num>
  <w:num w:numId="7" w16cid:durableId="560410729">
    <w:abstractNumId w:val="5"/>
  </w:num>
  <w:num w:numId="8" w16cid:durableId="710765987">
    <w:abstractNumId w:val="5"/>
  </w:num>
  <w:num w:numId="9" w16cid:durableId="1104568126">
    <w:abstractNumId w:val="4"/>
  </w:num>
  <w:num w:numId="10" w16cid:durableId="507135618">
    <w:abstractNumId w:val="4"/>
  </w:num>
  <w:num w:numId="11" w16cid:durableId="626622422">
    <w:abstractNumId w:val="8"/>
  </w:num>
  <w:num w:numId="12" w16cid:durableId="1752311621">
    <w:abstractNumId w:val="8"/>
  </w:num>
  <w:num w:numId="13" w16cid:durableId="1160849691">
    <w:abstractNumId w:val="3"/>
  </w:num>
  <w:num w:numId="14" w16cid:durableId="51320116">
    <w:abstractNumId w:val="3"/>
  </w:num>
  <w:num w:numId="15" w16cid:durableId="1241057408">
    <w:abstractNumId w:val="2"/>
  </w:num>
  <w:num w:numId="16" w16cid:durableId="116729745">
    <w:abstractNumId w:val="2"/>
  </w:num>
  <w:num w:numId="17" w16cid:durableId="54402546">
    <w:abstractNumId w:val="1"/>
  </w:num>
  <w:num w:numId="18" w16cid:durableId="1619948934">
    <w:abstractNumId w:val="1"/>
  </w:num>
  <w:num w:numId="19" w16cid:durableId="572012582">
    <w:abstractNumId w:val="0"/>
  </w:num>
  <w:num w:numId="20" w16cid:durableId="1341467599">
    <w:abstractNumId w:val="0"/>
  </w:num>
  <w:num w:numId="21" w16cid:durableId="938223073">
    <w:abstractNumId w:val="9"/>
  </w:num>
  <w:num w:numId="22" w16cid:durableId="1970744987">
    <w:abstractNumId w:val="7"/>
  </w:num>
  <w:num w:numId="23" w16cid:durableId="742870854">
    <w:abstractNumId w:val="6"/>
  </w:num>
  <w:num w:numId="24" w16cid:durableId="2007975650">
    <w:abstractNumId w:val="5"/>
  </w:num>
  <w:num w:numId="25" w16cid:durableId="95173764">
    <w:abstractNumId w:val="4"/>
  </w:num>
  <w:num w:numId="26" w16cid:durableId="1436631568">
    <w:abstractNumId w:val="8"/>
  </w:num>
  <w:num w:numId="27" w16cid:durableId="546721492">
    <w:abstractNumId w:val="3"/>
  </w:num>
  <w:num w:numId="28" w16cid:durableId="2106925764">
    <w:abstractNumId w:val="2"/>
  </w:num>
  <w:num w:numId="29" w16cid:durableId="1020427050">
    <w:abstractNumId w:val="1"/>
  </w:num>
  <w:num w:numId="30" w16cid:durableId="518203627">
    <w:abstractNumId w:val="0"/>
  </w:num>
  <w:num w:numId="31" w16cid:durableId="2104567782">
    <w:abstractNumId w:val="9"/>
  </w:num>
  <w:num w:numId="32" w16cid:durableId="966278875">
    <w:abstractNumId w:val="7"/>
  </w:num>
  <w:num w:numId="33" w16cid:durableId="1443652692">
    <w:abstractNumId w:val="6"/>
  </w:num>
  <w:num w:numId="34" w16cid:durableId="344210421">
    <w:abstractNumId w:val="5"/>
  </w:num>
  <w:num w:numId="35" w16cid:durableId="803045070">
    <w:abstractNumId w:val="4"/>
  </w:num>
  <w:num w:numId="36" w16cid:durableId="1898085029">
    <w:abstractNumId w:val="8"/>
  </w:num>
  <w:num w:numId="37" w16cid:durableId="79065169">
    <w:abstractNumId w:val="3"/>
  </w:num>
  <w:num w:numId="38" w16cid:durableId="1431504480">
    <w:abstractNumId w:val="2"/>
  </w:num>
  <w:num w:numId="39" w16cid:durableId="570385071">
    <w:abstractNumId w:val="1"/>
  </w:num>
  <w:num w:numId="40" w16cid:durableId="417409871">
    <w:abstractNumId w:val="0"/>
  </w:num>
  <w:num w:numId="41" w16cid:durableId="1817601606">
    <w:abstractNumId w:val="10"/>
  </w:num>
  <w:num w:numId="42" w16cid:durableId="592978628">
    <w:abstractNumId w:val="10"/>
  </w:num>
  <w:num w:numId="43" w16cid:durableId="1759519686">
    <w:abstractNumId w:val="10"/>
  </w:num>
  <w:num w:numId="44" w16cid:durableId="13691813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55/2025"/>
    <w:docVar w:name="dvlangue" w:val="PL"/>
    <w:docVar w:name="dvnumam" w:val="0"/>
    <w:docVar w:name="dvpe" w:val="776.179"/>
    <w:docVar w:name="dvtitre" w:val="Rezolucja Parlamentu Europejskiego z dnia  2025 r. w sprawie wzmacniania odporności Mołdawii wobec zagrożeń hybrydowych i szkodliwych ingerencji ze strony Rosji(2025/2811(RSP))"/>
  </w:docVars>
  <w:rsids>
    <w:rsidRoot w:val="00735544"/>
    <w:rsid w:val="00002272"/>
    <w:rsid w:val="00064002"/>
    <w:rsid w:val="000677B9"/>
    <w:rsid w:val="000831BA"/>
    <w:rsid w:val="000A42CC"/>
    <w:rsid w:val="000E7DD9"/>
    <w:rsid w:val="000F2778"/>
    <w:rsid w:val="0010095E"/>
    <w:rsid w:val="001157BF"/>
    <w:rsid w:val="00125B37"/>
    <w:rsid w:val="00187494"/>
    <w:rsid w:val="001933D4"/>
    <w:rsid w:val="001F32AE"/>
    <w:rsid w:val="002767FF"/>
    <w:rsid w:val="002B18FE"/>
    <w:rsid w:val="002B5493"/>
    <w:rsid w:val="002F2D9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C28"/>
    <w:rsid w:val="005C2568"/>
    <w:rsid w:val="005F1B17"/>
    <w:rsid w:val="005F3581"/>
    <w:rsid w:val="006037C0"/>
    <w:rsid w:val="006631B6"/>
    <w:rsid w:val="00680577"/>
    <w:rsid w:val="006F74FA"/>
    <w:rsid w:val="00731ADD"/>
    <w:rsid w:val="00734777"/>
    <w:rsid w:val="0073554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90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14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7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5D9D0"/>
  <w15:chartTrackingRefBased/>
  <w15:docId w15:val="{07D66118-7CFA-4236-A93E-C0F95ADB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2D9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F2D9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F2D95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2F2D95"/>
    <w:rPr>
      <w:sz w:val="24"/>
      <w:lang w:val="pl-PL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2F2D95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uiPriority w:val="99"/>
    <w:unhideWhenUsed/>
    <w:rsid w:val="002F2D95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2F2D95"/>
  </w:style>
  <w:style w:type="character" w:styleId="Strong">
    <w:name w:val="Strong"/>
    <w:basedOn w:val="DefaultParagraphFont"/>
    <w:uiPriority w:val="22"/>
    <w:qFormat/>
    <w:rsid w:val="002F2D95"/>
    <w:rPr>
      <w:b/>
      <w:bCs/>
    </w:rPr>
  </w:style>
  <w:style w:type="paragraph" w:styleId="Revision">
    <w:name w:val="Revision"/>
    <w:hidden/>
    <w:uiPriority w:val="99"/>
    <w:semiHidden/>
    <w:rsid w:val="00970908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562C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2/1925/oj" TargetMode="External"/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C/2025/204/oj" TargetMode="External"/><Relationship Id="rId5" Type="http://schemas.openxmlformats.org/officeDocument/2006/relationships/hyperlink" Target="https://pace.coe.int/en/files/33808/html" TargetMode="External"/><Relationship Id="rId4" Type="http://schemas.openxmlformats.org/officeDocument/2006/relationships/hyperlink" Target="http://data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2707</Words>
  <Characters>18453</Characters>
  <Application>Microsoft Office Word</Application>
  <DocSecurity>0</DocSecurity>
  <Lines>153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2025-09-10T13:51:00Z</dcterms:created>
  <dcterms:modified xsi:type="dcterms:W3CDTF">2025-09-10T13:51:00Z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B10-0355/2025</vt:lpwstr>
  </property>
  <property fmtid="{D5CDD505-2E9C-101B-9397-08002B2CF9AE}" pid="4" name="&lt;Type&gt;">
    <vt:lpwstr>RR</vt:lpwstr>
  </property>
</Properties>
</file>