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04997" w14:paraId="4ED68965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95729BC" w14:textId="77777777" w:rsidR="00751A4A" w:rsidRPr="00F04997" w:rsidRDefault="00730578" w:rsidP="0010095E">
            <w:pPr>
              <w:pStyle w:val="EPName"/>
            </w:pPr>
            <w:r w:rsidRPr="00F04997">
              <w:t>Európsky parlament</w:t>
            </w:r>
          </w:p>
          <w:p w14:paraId="7FE9074E" w14:textId="77777777" w:rsidR="00751A4A" w:rsidRPr="00F04997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04997">
              <w:t>2024</w:t>
            </w:r>
            <w:r w:rsidR="00817416" w:rsidRPr="00F04997">
              <w:t>-202</w:t>
            </w:r>
            <w:r w:rsidRPr="00F04997">
              <w:t>9</w:t>
            </w:r>
          </w:p>
        </w:tc>
        <w:tc>
          <w:tcPr>
            <w:tcW w:w="2268" w:type="dxa"/>
            <w:shd w:val="clear" w:color="auto" w:fill="auto"/>
          </w:tcPr>
          <w:p w14:paraId="29CA3EC3" w14:textId="77777777" w:rsidR="00751A4A" w:rsidRPr="00F04997" w:rsidRDefault="00187494" w:rsidP="0010095E">
            <w:pPr>
              <w:pStyle w:val="EPLogo"/>
            </w:pPr>
            <w:r w:rsidRPr="00F04997">
              <w:rPr>
                <w:noProof/>
                <w:lang w:eastAsia="ja-JP"/>
              </w:rPr>
              <w:drawing>
                <wp:inline distT="0" distB="0" distL="0" distR="0" wp14:anchorId="139566C7" wp14:editId="65949D5C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761B745" w14:textId="77777777" w:rsidR="00D058B8" w:rsidRPr="00F04997" w:rsidRDefault="00D058B8" w:rsidP="004C5D52">
      <w:pPr>
        <w:pStyle w:val="LineTop"/>
      </w:pPr>
    </w:p>
    <w:p w14:paraId="1AC081CC" w14:textId="77777777" w:rsidR="00680577" w:rsidRPr="00F04997" w:rsidRDefault="00730578" w:rsidP="00680577">
      <w:pPr>
        <w:pStyle w:val="EPBodyTA1"/>
      </w:pPr>
      <w:r w:rsidRPr="00F04997">
        <w:t>PRIJATÉ TEXTY</w:t>
      </w:r>
    </w:p>
    <w:p w14:paraId="66403DA2" w14:textId="77777777" w:rsidR="00D058B8" w:rsidRPr="00F04997" w:rsidRDefault="00D058B8" w:rsidP="00D058B8">
      <w:pPr>
        <w:pStyle w:val="LineBottom"/>
      </w:pPr>
    </w:p>
    <w:p w14:paraId="4989577A" w14:textId="52F6ABC7" w:rsidR="00730578" w:rsidRPr="00F04997" w:rsidRDefault="00730578" w:rsidP="00730578">
      <w:pPr>
        <w:pStyle w:val="ATHeading1"/>
      </w:pPr>
      <w:bookmarkStart w:id="0" w:name="TANumber"/>
      <w:r w:rsidRPr="00F04997">
        <w:t>P10_TA(2025)0</w:t>
      </w:r>
      <w:r w:rsidR="00F04997" w:rsidRPr="00F04997">
        <w:t>191</w:t>
      </w:r>
      <w:bookmarkEnd w:id="0"/>
    </w:p>
    <w:p w14:paraId="34EDC52D" w14:textId="77777777" w:rsidR="00730578" w:rsidRPr="00F04997" w:rsidRDefault="00730578" w:rsidP="00730578">
      <w:pPr>
        <w:pStyle w:val="ATHeading2"/>
      </w:pPr>
      <w:bookmarkStart w:id="1" w:name="title"/>
      <w:r w:rsidRPr="00F04997">
        <w:t>Posilnenie odolnosti Moldavska voči ruským hybridným hrozbám a škodlivému zasahovaniu</w:t>
      </w:r>
      <w:bookmarkEnd w:id="1"/>
    </w:p>
    <w:p w14:paraId="20B231BB" w14:textId="77777777" w:rsidR="00730578" w:rsidRPr="00F04997" w:rsidRDefault="00730578" w:rsidP="00730578">
      <w:pPr>
        <w:rPr>
          <w:i/>
          <w:vanish/>
        </w:rPr>
      </w:pPr>
      <w:r w:rsidRPr="00F04997">
        <w:rPr>
          <w:i/>
        </w:rPr>
        <w:fldChar w:fldCharType="begin"/>
      </w:r>
      <w:r w:rsidRPr="00F04997">
        <w:rPr>
          <w:i/>
        </w:rPr>
        <w:instrText xml:space="preserve"> TC"(</w:instrText>
      </w:r>
      <w:bookmarkStart w:id="2" w:name="DocNumber"/>
      <w:r w:rsidRPr="00F04997">
        <w:rPr>
          <w:i/>
        </w:rPr>
        <w:instrText>B10-0355, 0357, 0356, 0359 a 0361/2025</w:instrText>
      </w:r>
      <w:bookmarkEnd w:id="2"/>
      <w:r w:rsidRPr="00F04997">
        <w:rPr>
          <w:i/>
        </w:rPr>
        <w:instrText xml:space="preserve">)"\l3 \n&gt; \* MERGEFORMAT </w:instrText>
      </w:r>
      <w:r w:rsidRPr="00F04997">
        <w:rPr>
          <w:i/>
        </w:rPr>
        <w:fldChar w:fldCharType="end"/>
      </w:r>
    </w:p>
    <w:p w14:paraId="6F2A995D" w14:textId="77777777" w:rsidR="00730578" w:rsidRPr="00F04997" w:rsidRDefault="00730578" w:rsidP="00730578">
      <w:pPr>
        <w:rPr>
          <w:vanish/>
        </w:rPr>
      </w:pPr>
      <w:bookmarkStart w:id="3" w:name="PE"/>
      <w:r w:rsidRPr="00F04997">
        <w:rPr>
          <w:vanish/>
        </w:rPr>
        <w:t>PE776.179</w:t>
      </w:r>
      <w:bookmarkEnd w:id="3"/>
    </w:p>
    <w:p w14:paraId="504A7B19" w14:textId="10B2A33F" w:rsidR="00730578" w:rsidRPr="00F04997" w:rsidRDefault="00730578" w:rsidP="00730578">
      <w:pPr>
        <w:pStyle w:val="ATHeading3"/>
      </w:pPr>
      <w:bookmarkStart w:id="4" w:name="Sujet"/>
      <w:r w:rsidRPr="00F04997">
        <w:t>Uznesenie Európskeho parlamentu z</w:t>
      </w:r>
      <w:r w:rsidR="00C87FDC" w:rsidRPr="00F04997">
        <w:t> 10</w:t>
      </w:r>
      <w:r w:rsidRPr="00F04997">
        <w:t>. septembra 2025 o posilnení odolnosti Moldavska voči ruským hybridným hrozbám a škodlivému zasahovaniu</w:t>
      </w:r>
      <w:bookmarkEnd w:id="4"/>
      <w:r w:rsidRPr="00F04997">
        <w:t xml:space="preserve"> </w:t>
      </w:r>
      <w:bookmarkStart w:id="5" w:name="References"/>
      <w:r w:rsidRPr="00F04997">
        <w:t>(2025/2811(RSP))</w:t>
      </w:r>
      <w:bookmarkEnd w:id="5"/>
    </w:p>
    <w:p w14:paraId="0F5C81E2" w14:textId="77777777" w:rsidR="002B319E" w:rsidRPr="00F04997" w:rsidRDefault="002B319E" w:rsidP="002B319E">
      <w:pPr>
        <w:pStyle w:val="EPComma"/>
      </w:pPr>
      <w:bookmarkStart w:id="6" w:name="TextBodyBegin"/>
      <w:bookmarkEnd w:id="6"/>
      <w:r w:rsidRPr="00F04997">
        <w:rPr>
          <w:i/>
        </w:rPr>
        <w:t>Európsky parlament,</w:t>
      </w:r>
    </w:p>
    <w:p w14:paraId="6AEF6669" w14:textId="77777777" w:rsidR="002B319E" w:rsidRPr="00F04997" w:rsidRDefault="002B319E" w:rsidP="002B319E">
      <w:pPr>
        <w:pStyle w:val="NormalHanging12a"/>
      </w:pPr>
      <w:r w:rsidRPr="00F04997">
        <w:t>–</w:t>
      </w:r>
      <w:r w:rsidRPr="00F04997">
        <w:tab/>
        <w:t>so zreteľom na svoje predchádzajúce uznesenia o Moldavsku, najmä na svoje uznesenie z 18. júna 2025 o správach Komisie o Moldavsku za roky 2023 a 2024</w:t>
      </w:r>
      <w:r w:rsidRPr="00F04997">
        <w:rPr>
          <w:vertAlign w:val="superscript"/>
        </w:rPr>
        <w:footnoteReference w:id="1"/>
      </w:r>
      <w:r w:rsidRPr="00F04997">
        <w:t xml:space="preserve"> a uznesenie z 9. októbra 2024 o posilnení odolnosti Moldavska voči zasahovaniu Ruska pred prezidentskými voľbami a ústavným referendom o integrácii do EÚ</w:t>
      </w:r>
      <w:r w:rsidRPr="00F04997">
        <w:rPr>
          <w:vertAlign w:val="superscript"/>
        </w:rPr>
        <w:footnoteReference w:id="2"/>
      </w:r>
      <w:r w:rsidRPr="00F04997">
        <w:t>,</w:t>
      </w:r>
    </w:p>
    <w:p w14:paraId="7D38BA89" w14:textId="77777777" w:rsidR="002B319E" w:rsidRPr="00F04997" w:rsidRDefault="002B319E" w:rsidP="002B319E">
      <w:pPr>
        <w:pStyle w:val="NormalHanging12a"/>
      </w:pPr>
      <w:r w:rsidRPr="00F04997">
        <w:t>–</w:t>
      </w:r>
      <w:r w:rsidRPr="00F04997">
        <w:tab/>
        <w:t>so zreteľom na Dohodu o pridružení medzi Európskou úniou a Európskym spoločenstvom pre atómovú energiu a ich členskými štátmi na jednej strane a Moldavskou republikou na strane druhej</w:t>
      </w:r>
      <w:r w:rsidRPr="00F04997">
        <w:rPr>
          <w:vertAlign w:val="superscript"/>
        </w:rPr>
        <w:footnoteReference w:id="3"/>
      </w:r>
      <w:r w:rsidRPr="00F04997">
        <w:t>, ktorá zahŕňa prehĺbenú a komplexnú zónu voľného obchodu,</w:t>
      </w:r>
    </w:p>
    <w:p w14:paraId="0459054C" w14:textId="77777777" w:rsidR="002B319E" w:rsidRPr="00F04997" w:rsidRDefault="002B319E" w:rsidP="002B319E">
      <w:pPr>
        <w:pStyle w:val="NormalHanging12a"/>
      </w:pPr>
      <w:r w:rsidRPr="00F04997">
        <w:t>–</w:t>
      </w:r>
      <w:r w:rsidRPr="00F04997">
        <w:tab/>
        <w:t>so zreteľom na závery Európskej rady o Moldavsku z 27. júna 2025,</w:t>
      </w:r>
    </w:p>
    <w:p w14:paraId="662CDAE5" w14:textId="77777777" w:rsidR="002B319E" w:rsidRPr="00F04997" w:rsidRDefault="002B319E" w:rsidP="002B319E">
      <w:pPr>
        <w:pStyle w:val="NormalHanging12a"/>
      </w:pPr>
      <w:r w:rsidRPr="00F04997">
        <w:t>–</w:t>
      </w:r>
      <w:r w:rsidRPr="00F04997">
        <w:tab/>
        <w:t>so zreteľom na návštevu troch hláv štátov alebo predsedov vlád EÚ (Francúzsko, Nemecko a Poľsko) v Moldavsku 27. augusta 2025 a návštevu prezidenta Rumunska v Moldavsku 31. augusta 2025,</w:t>
      </w:r>
    </w:p>
    <w:p w14:paraId="61D67C6C" w14:textId="77777777" w:rsidR="002B319E" w:rsidRPr="00F04997" w:rsidRDefault="002B319E" w:rsidP="002B319E">
      <w:pPr>
        <w:pStyle w:val="NormalHanging12a"/>
      </w:pPr>
      <w:r w:rsidRPr="00F04997">
        <w:t>–</w:t>
      </w:r>
      <w:r w:rsidRPr="00F04997">
        <w:tab/>
        <w:t>so zreteľom na návštevu prezidenta Moldavska na pôde Európskeho parlamentu 9. septembra 2025,</w:t>
      </w:r>
    </w:p>
    <w:p w14:paraId="7C703763" w14:textId="77777777" w:rsidR="002B319E" w:rsidRPr="00F04997" w:rsidRDefault="002B319E" w:rsidP="002B319E">
      <w:pPr>
        <w:pStyle w:val="NormalHanging12a"/>
      </w:pPr>
      <w:r w:rsidRPr="00F04997">
        <w:t>–</w:t>
      </w:r>
      <w:r w:rsidRPr="00F04997">
        <w:tab/>
        <w:t>so zreteľom na spoločné vyhlásenie po prvom samite Moldavskej republiky a EÚ, ktorý sa konal 4. júla 2025,</w:t>
      </w:r>
    </w:p>
    <w:p w14:paraId="7809D057" w14:textId="77777777" w:rsidR="002B319E" w:rsidRPr="00F04997" w:rsidRDefault="002B319E" w:rsidP="002B319E">
      <w:pPr>
        <w:pStyle w:val="NormalHanging12a"/>
      </w:pPr>
      <w:r w:rsidRPr="00F04997">
        <w:t>–</w:t>
      </w:r>
      <w:r w:rsidRPr="00F04997">
        <w:tab/>
        <w:t xml:space="preserve">so zreteľom na návštevu komisárky pre rozšírenie v Moldavsku 9. mája 2025 (Deň </w:t>
      </w:r>
      <w:r w:rsidRPr="00F04997">
        <w:lastRenderedPageBreak/>
        <w:t>Európy),</w:t>
      </w:r>
    </w:p>
    <w:p w14:paraId="2B8A91B8" w14:textId="77777777" w:rsidR="002B319E" w:rsidRPr="00F04997" w:rsidRDefault="002B319E" w:rsidP="002B319E">
      <w:pPr>
        <w:pStyle w:val="NormalHanging12a"/>
      </w:pPr>
      <w:r w:rsidRPr="00F04997">
        <w:t>–</w:t>
      </w:r>
      <w:r w:rsidRPr="00F04997">
        <w:tab/>
        <w:t>so zreteľom na článok 136 ods. 2 a ods. 4 rokovacieho poriadku,</w:t>
      </w:r>
    </w:p>
    <w:p w14:paraId="7E04F9E9" w14:textId="77777777" w:rsidR="002B319E" w:rsidRPr="00F04997" w:rsidRDefault="002B319E" w:rsidP="002B319E">
      <w:pPr>
        <w:pStyle w:val="NormalHanging12a"/>
      </w:pPr>
      <w:r w:rsidRPr="00F04997">
        <w:t>A.</w:t>
      </w:r>
      <w:r w:rsidRPr="00F04997">
        <w:tab/>
        <w:t>keďže 28. septembra 2025 sa v Moldavskej republike uskutočnia parlamentné voľby, ktoré určia pokračujúcu demokratickú konsolidáciu krajiny a ďalší pokrok smerom k pristúpeniu k EÚ, ako aj jej budúcnosť ako slobodnej a zvrchovanej demokracie v rámci EÚ; keďže tieto parlamentné voľby sa budú konať v kontexte pokračujúceho zasahovania Ruska a jeho úsilia o destabilizáciu politického prostredia a demokratických volebných procesov v Moldavsku;</w:t>
      </w:r>
    </w:p>
    <w:p w14:paraId="1FF45715" w14:textId="77777777" w:rsidR="002B319E" w:rsidRPr="00F04997" w:rsidRDefault="002B319E" w:rsidP="002B319E">
      <w:pPr>
        <w:pStyle w:val="NormalHanging12a"/>
      </w:pPr>
      <w:r w:rsidRPr="00F04997">
        <w:t>B.</w:t>
      </w:r>
      <w:r w:rsidRPr="00F04997">
        <w:tab/>
        <w:t>keďže v Moldavsku sa 20. októbra 2024 uskutočnilo referendum, ktorého výsledok potvrdil, že pristúpenie k EÚ sa zakotví v moldavskej ústave, a to aj napriek bezprecedentnej úrovni manipulatívneho zasahovania Ruska s cieľom destabilizovať krajinu vrátane nezákonného financovania politických aktérov, dezinformačných kampaní a kybernetických útokov;</w:t>
      </w:r>
    </w:p>
    <w:p w14:paraId="7BBD88C8" w14:textId="77777777" w:rsidR="002B319E" w:rsidRPr="00F04997" w:rsidRDefault="002B319E" w:rsidP="002B319E">
      <w:pPr>
        <w:pStyle w:val="NormalHanging12a"/>
        <w:rPr>
          <w:i/>
          <w:iCs/>
        </w:rPr>
      </w:pPr>
      <w:r w:rsidRPr="00F04997">
        <w:t>C.</w:t>
      </w:r>
      <w:r w:rsidRPr="00F04997">
        <w:tab/>
        <w:t>keďže existuje množstvo správ o obnovených a zintenzívnených pokusoch o dezinformácie, destabilizáciu a zasahovanie zo strany Ruska a ruských zástupných aktérov s cieľom narušiť proces demokratických reforiem a európskej integrácie Moldavska, opätovne získať politickú kontrolu nad ním a ďalej zdokonaľovať hybridné taktiky voči Moldavsku, Ukrajine a ďalším európskym krajinám, ako napríklad nedávno v Rumunsku;</w:t>
      </w:r>
    </w:p>
    <w:p w14:paraId="31355DCA" w14:textId="77777777" w:rsidR="002B319E" w:rsidRPr="00F04997" w:rsidRDefault="002B319E" w:rsidP="002B319E">
      <w:pPr>
        <w:pStyle w:val="NormalHanging12a"/>
      </w:pPr>
      <w:r w:rsidRPr="00F04997">
        <w:t>D.</w:t>
      </w:r>
      <w:r w:rsidRPr="00F04997">
        <w:tab/>
        <w:t xml:space="preserve">keďže v nadväznosti na zasadnutie Najvyššej bezpečnostnej rady 30. júla 2025 predložila prezidentka </w:t>
      </w:r>
      <w:proofErr w:type="spellStart"/>
      <w:r w:rsidRPr="00F04997">
        <w:t>Maia</w:t>
      </w:r>
      <w:proofErr w:type="spellEnd"/>
      <w:r w:rsidRPr="00F04997">
        <w:t xml:space="preserve"> </w:t>
      </w:r>
      <w:proofErr w:type="spellStart"/>
      <w:r w:rsidRPr="00F04997">
        <w:t>Sandu</w:t>
      </w:r>
      <w:proofErr w:type="spellEnd"/>
      <w:r w:rsidRPr="00F04997">
        <w:t xml:space="preserve"> zistenia špecializovaných inštitúcií Moldavska o metódach hybridnej vojny, v ktorých identifikovala 10 hlavných nástrojov zahraničného zasahovania do politických a volebných procesov Moldavska;</w:t>
      </w:r>
    </w:p>
    <w:p w14:paraId="675BCF0B" w14:textId="77777777" w:rsidR="002B319E" w:rsidRPr="00F04997" w:rsidRDefault="002B319E" w:rsidP="002B319E">
      <w:pPr>
        <w:pStyle w:val="NormalHanging12a"/>
      </w:pPr>
      <w:r w:rsidRPr="00F04997">
        <w:t>E.</w:t>
      </w:r>
      <w:r w:rsidRPr="00F04997">
        <w:tab/>
        <w:t xml:space="preserve">keďže 15. júla 2025 EÚ uložila reštriktívne opatrenia voči </w:t>
      </w:r>
      <w:r w:rsidRPr="00F04997">
        <w:rPr>
          <w:rStyle w:val="Strong"/>
          <w:b w:val="0"/>
          <w:bCs w:val="0"/>
          <w:color w:val="000000"/>
        </w:rPr>
        <w:t>siedmim</w:t>
      </w:r>
      <w:r w:rsidRPr="00F04997">
        <w:t xml:space="preserve"> osobám a </w:t>
      </w:r>
      <w:r w:rsidRPr="00F04997">
        <w:rPr>
          <w:rStyle w:val="Strong"/>
          <w:b w:val="0"/>
          <w:bCs w:val="0"/>
          <w:color w:val="000000"/>
        </w:rPr>
        <w:t>trom subjektom</w:t>
      </w:r>
      <w:r w:rsidRPr="00F04997">
        <w:t xml:space="preserve"> zodpovedným za konanie zamerané na destabilizáciu, narúšanie alebo ohrozovanie zvrchovanosti, nezávislosti, demokracie, právneho štátu a stability Moldavskej republiky; keďže tieto sankcie sú namierené proti blízkym spoločníkom </w:t>
      </w:r>
      <w:proofErr w:type="spellStart"/>
      <w:r w:rsidRPr="00F04997">
        <w:t>Ilana</w:t>
      </w:r>
      <w:proofErr w:type="spellEnd"/>
      <w:r w:rsidRPr="00F04997">
        <w:t xml:space="preserve"> </w:t>
      </w:r>
      <w:proofErr w:type="spellStart"/>
      <w:r w:rsidRPr="00F04997">
        <w:t>Șora</w:t>
      </w:r>
      <w:proofErr w:type="spellEnd"/>
      <w:r w:rsidRPr="00F04997">
        <w:t xml:space="preserve"> a zakázanej strane ȘOR, teda proti ľuďom, ktorí sa aktívne zapájajú do systémov kupovania hlasov a podplácania skorumpovaných politikov;</w:t>
      </w:r>
    </w:p>
    <w:p w14:paraId="4822CFD5" w14:textId="77777777" w:rsidR="002B319E" w:rsidRDefault="002B319E" w:rsidP="002B319E">
      <w:pPr>
        <w:pStyle w:val="NormalHanging12a"/>
      </w:pPr>
      <w:r w:rsidRPr="00F04997">
        <w:t>F.</w:t>
      </w:r>
      <w:r w:rsidRPr="00F04997">
        <w:tab/>
        <w:t>keďže moldavská občianska spoločnosť a nezávislé médiá zohrávajú kľúčovú úlohu pri odhaľovaní dezinformácií, posilňovaní odolnosti a obrane demokratických hodnôt; keďže Moldavskej republike sa podarilo výrazne upevniť svoju demokraciu, pokračovať na ceste reforiem a rozvíjať vzťahy s EÚ; keďže zlepšenie demokratického systému krajiny sa odrazilo v jej pokroku v rôznych medzinárodných indexoch; keďže Moldavsko dosiahlo významný pokrok, pokiaľ ide o reformy súdnictva vrátane preverovania a reštrukturalizácie súdnictva, posilnenia jeho nezávislosti a zlepšenia protikorupčných predpisov; keďže pre stabilitu a odolnosť Moldavska voči škodlivému zasahovaniu je nevyhnutná dôvera verejnosti v demokratické inštitúcie;</w:t>
      </w:r>
    </w:p>
    <w:p w14:paraId="5135C327" w14:textId="0FB4CA13" w:rsidR="0046708B" w:rsidRPr="00F04997" w:rsidRDefault="0046708B" w:rsidP="002B319E">
      <w:pPr>
        <w:pStyle w:val="NormalHanging12a"/>
      </w:pPr>
      <w:r>
        <w:t>G</w:t>
      </w:r>
      <w:r w:rsidRPr="0046708B">
        <w:t>.</w:t>
      </w:r>
      <w:r w:rsidRPr="0046708B">
        <w:tab/>
        <w:t xml:space="preserve">keďže pri nedávnej novinárskej investigatívnej činnosti, ktorá spočívala v infiltrácii siete strany ȘOR utajeným reportérom od roku 2024, sa zistilo, že boli založené stovky falošných účtov, ktoré využívali aktivisti z politického bloku Víťazstvo pod vedením </w:t>
      </w:r>
      <w:proofErr w:type="spellStart"/>
      <w:r w:rsidRPr="0046708B">
        <w:t>Ilana</w:t>
      </w:r>
      <w:proofErr w:type="spellEnd"/>
      <w:r w:rsidRPr="0046708B">
        <w:t xml:space="preserve"> </w:t>
      </w:r>
      <w:proofErr w:type="spellStart"/>
      <w:r w:rsidRPr="0046708B">
        <w:t>Șora</w:t>
      </w:r>
      <w:proofErr w:type="spellEnd"/>
      <w:r w:rsidRPr="0046708B">
        <w:t xml:space="preserve"> z Moskvy s cieľom šíriť na </w:t>
      </w:r>
      <w:proofErr w:type="spellStart"/>
      <w:r w:rsidRPr="0046708B">
        <w:t>TikToku</w:t>
      </w:r>
      <w:proofErr w:type="spellEnd"/>
      <w:r w:rsidRPr="0046708B">
        <w:t xml:space="preserve"> a Facebooku ruskú propagandu; keďže tento </w:t>
      </w:r>
      <w:proofErr w:type="spellStart"/>
      <w:r w:rsidRPr="0046708B">
        <w:t>protieurópsky</w:t>
      </w:r>
      <w:proofErr w:type="spellEnd"/>
      <w:r w:rsidRPr="0046708B">
        <w:t xml:space="preserve"> obsah, plne zosúladený s </w:t>
      </w:r>
      <w:proofErr w:type="spellStart"/>
      <w:r w:rsidRPr="0046708B">
        <w:t>naratívmi</w:t>
      </w:r>
      <w:proofErr w:type="spellEnd"/>
      <w:r w:rsidRPr="0046708B">
        <w:t xml:space="preserve"> Kremľa, bol systematicky </w:t>
      </w:r>
      <w:r w:rsidRPr="0046708B">
        <w:lastRenderedPageBreak/>
        <w:t>monitorovaný a koordinovaný tajnými skupinami a kanálmi na Telegrame</w:t>
      </w:r>
      <w:r>
        <w:rPr>
          <w:rStyle w:val="FootnoteReference"/>
        </w:rPr>
        <w:footnoteReference w:id="4"/>
      </w:r>
      <w:r w:rsidRPr="0046708B">
        <w:t>;</w:t>
      </w:r>
    </w:p>
    <w:p w14:paraId="7A8BFB5D" w14:textId="6FD8DEA8" w:rsidR="002B319E" w:rsidRPr="00F04997" w:rsidRDefault="0046708B" w:rsidP="002B319E">
      <w:pPr>
        <w:pStyle w:val="NormalHanging12a"/>
      </w:pPr>
      <w:r>
        <w:t>H</w:t>
      </w:r>
      <w:r w:rsidR="002B319E" w:rsidRPr="00F04997">
        <w:t>.</w:t>
      </w:r>
      <w:r w:rsidR="002B319E" w:rsidRPr="00F04997">
        <w:tab/>
        <w:t>keďže je dôležité verejne preukázať neochvejnú solidaritu s moldavským ľudom, na ktorý má závažný vplyv útočná vojna Ruska proti Ukrajine, ako aj pokračujúce, cielené ruské hybridné hrozby, ktorých cieľom je politická destabilizácia krajiny, narušenie hospodárskej prosperity a oslabenie sociálnej súdržnosti;</w:t>
      </w:r>
    </w:p>
    <w:p w14:paraId="67370895" w14:textId="6DE2CE23" w:rsidR="002B319E" w:rsidRPr="00F04997" w:rsidRDefault="0046708B" w:rsidP="002B319E">
      <w:pPr>
        <w:pStyle w:val="NormalHanging12a"/>
      </w:pPr>
      <w:r>
        <w:t>I</w:t>
      </w:r>
      <w:r w:rsidR="002B319E" w:rsidRPr="00F04997">
        <w:t>.</w:t>
      </w:r>
      <w:r w:rsidR="002B319E" w:rsidRPr="00F04997">
        <w:tab/>
        <w:t>keďže podľa moldavských odhadov Rusko už vynaložilo viac ako 200 miliónov EUR – čo predstavuje viac ako 1 % HDP Moldavska – na propagandistické a informačné operácie v Moldavskej republike;</w:t>
      </w:r>
    </w:p>
    <w:p w14:paraId="45512840" w14:textId="310AFF57" w:rsidR="002B319E" w:rsidRPr="00F04997" w:rsidRDefault="0046708B" w:rsidP="002B319E">
      <w:pPr>
        <w:pStyle w:val="NormalHanging12a"/>
      </w:pPr>
      <w:r>
        <w:t>J</w:t>
      </w:r>
      <w:r w:rsidR="002B319E" w:rsidRPr="00F04997">
        <w:t>.</w:t>
      </w:r>
      <w:r w:rsidR="002B319E" w:rsidRPr="00F04997">
        <w:tab/>
        <w:t>keďže účasť delegácie Európskeho parlamentu na medzinárodnej volebnej pozorovateľskej misii Úradu pre demokratické inštitúcie a ľudské práva (ODIHR) Organizácie pre bezpečnosť a spoluprácu v Európe (OBSE) na moldavských parlamentných voľbách 28. septembra 2025 preukazuje odhodlanie Parlamentu podporovať integritu volebných procesov a posilňovať demokratické inštitúcie v Moldavsku;</w:t>
      </w:r>
    </w:p>
    <w:p w14:paraId="5581FD36" w14:textId="0DF2725E" w:rsidR="002B319E" w:rsidRPr="00F04997" w:rsidRDefault="0046708B" w:rsidP="002B319E">
      <w:pPr>
        <w:pStyle w:val="NormalHanging12a"/>
      </w:pPr>
      <w:r>
        <w:t>K</w:t>
      </w:r>
      <w:r w:rsidR="002B319E" w:rsidRPr="00F04997">
        <w:t>.</w:t>
      </w:r>
      <w:r w:rsidR="002B319E" w:rsidRPr="00F04997">
        <w:tab/>
        <w:t>keďže Európska rada vo svojich záveroch z júna 2025 opätovne potvrdila plnú podporu Moldavska na ceste do EÚ a vyzvala Radu, aby podnikla ďalšie kroky v prístupovom procese; keďže rozširovanie EÚ je založené na prísnej podmienenosti a zásade, že každá kandidátska krajina sa posudzuje na základe dosiahnutých výsledkov a pokroku v reformách;</w:t>
      </w:r>
    </w:p>
    <w:p w14:paraId="76DBD1E9" w14:textId="77777777" w:rsidR="002B319E" w:rsidRPr="00F04997" w:rsidRDefault="002B319E" w:rsidP="002B319E">
      <w:pPr>
        <w:pStyle w:val="NormalHanging12a"/>
      </w:pPr>
      <w:r w:rsidRPr="00F04997">
        <w:t>1.</w:t>
      </w:r>
      <w:r w:rsidRPr="00F04997">
        <w:tab/>
        <w:t>vyjadruje solidaritu s ľudom Moldavskej republiky a opätovne zdôrazňuje svoju plnú podporu nezávislosti, zvrchovanosti a územnej celistvosti krajiny, ako aj jej úsiliu o obranu integrity jej demokratických procesov, zvrchovanosti jej rozhodnutí v oblasti zahraničnej politiky a sociálno-ekonomických vyhliadok jej ľudu; vyzýva preto Rusko, aby rešpektovalo nezávislosť, zvrchovanosť a územnú celistvosť Moldavska a prestalo sa pokúšať o narušenie ústavného poriadku a demokratických inštitúcií Moldavska;</w:t>
      </w:r>
    </w:p>
    <w:p w14:paraId="6A10DAEB" w14:textId="77777777" w:rsidR="002B319E" w:rsidRPr="00F04997" w:rsidRDefault="002B319E" w:rsidP="002B319E">
      <w:pPr>
        <w:pStyle w:val="NormalHanging12a"/>
        <w:rPr>
          <w:szCs w:val="24"/>
        </w:rPr>
      </w:pPr>
      <w:r w:rsidRPr="00F04997">
        <w:t>2.</w:t>
      </w:r>
      <w:r w:rsidRPr="00F04997">
        <w:tab/>
        <w:t xml:space="preserve">odsudzuje opakované pokusy Ruskej federácie, </w:t>
      </w:r>
      <w:proofErr w:type="spellStart"/>
      <w:r w:rsidRPr="00F04997">
        <w:t>proruských</w:t>
      </w:r>
      <w:proofErr w:type="spellEnd"/>
      <w:r w:rsidRPr="00F04997">
        <w:t xml:space="preserve"> oligarchov a miestnych zástupných aktérov podporovaných Ruskom o destabilizáciu Moldavska, podnecovanie rozporov v moldavskej spoločnosti, narúšanie demokracie krajiny a marenie jej pokroku na ceste k pristúpeniu k EÚ prostredníctvom hybridných útokov, manipulácie s dodávkami energie s cieľom dosiahnuť politické výsledky, nezákonného financovania politických aktérov a dezinformačných, manipulačných a zastrašovacích kampaní zameraných na organizácie občianskej spoločnosti a nezávislé médiá;</w:t>
      </w:r>
    </w:p>
    <w:p w14:paraId="23AB4C34" w14:textId="77777777" w:rsidR="002B319E" w:rsidRPr="00F04997" w:rsidRDefault="002B319E" w:rsidP="002B319E">
      <w:pPr>
        <w:pStyle w:val="NormalHanging12a"/>
        <w:rPr>
          <w:szCs w:val="24"/>
        </w:rPr>
      </w:pPr>
      <w:r w:rsidRPr="00F04997">
        <w:t>3.</w:t>
      </w:r>
      <w:r w:rsidRPr="00F04997">
        <w:tab/>
        <w:t>odsudzuje zintenzívnenie ruských hybridných operácií a pokusov o zasahovanie pred parlamentnými voľbami, ktoré sa uskutočnia 28. septembra 2025, ktorých jasným cieľom je destabilizovať krajinu a zvrátiť jej demokratické smerovanie a zvrchované rozhodnutia, najmä v súvislosti s budúcim členstvom v EÚ;</w:t>
      </w:r>
    </w:p>
    <w:p w14:paraId="7D9730C4" w14:textId="77777777" w:rsidR="002B319E" w:rsidRPr="00F04997" w:rsidRDefault="002B319E" w:rsidP="002B319E">
      <w:pPr>
        <w:pStyle w:val="NormalHanging12a"/>
        <w:rPr>
          <w:szCs w:val="24"/>
          <w:shd w:val="clear" w:color="auto" w:fill="FFFFFF"/>
        </w:rPr>
      </w:pPr>
      <w:r w:rsidRPr="00F04997">
        <w:t>4.</w:t>
      </w:r>
      <w:r w:rsidRPr="00F04997">
        <w:tab/>
      </w:r>
      <w:r w:rsidRPr="00F04997">
        <w:rPr>
          <w:shd w:val="clear" w:color="auto" w:fill="FFFFFF"/>
        </w:rPr>
        <w:t>oceňuje príkladný záväzok Moldavska a stabilný pokrok v reformách súvisiacich s pristúpením k EÚ napriek významným vnútorným a vonkajším výzvam, medzi ktoré patrí rozsiahla ruská útočná vojna proti Ukrajine a cielené ruské hybridné hrozby voči Moldavsku, čo umožnilo začatie prístupových rokovaní v júni 2024</w:t>
      </w:r>
      <w:r w:rsidRPr="00F04997">
        <w:rPr>
          <w:rStyle w:val="highlight-diff"/>
          <w:color w:val="000000"/>
          <w:shd w:val="clear" w:color="auto" w:fill="FFFFFF"/>
        </w:rPr>
        <w:t xml:space="preserve">, teda len šesť </w:t>
      </w:r>
      <w:r w:rsidRPr="00F04997">
        <w:rPr>
          <w:rStyle w:val="highlight-diff"/>
          <w:color w:val="000000"/>
          <w:shd w:val="clear" w:color="auto" w:fill="FFFFFF"/>
        </w:rPr>
        <w:lastRenderedPageBreak/>
        <w:t>mesiacov po príslušnom rozhodnutí Európskej rady zo 14. decembra 2023 a menej než dva roky po podaní žiadosti Moldavska o členstvo v EÚ z 3. marca 2022</w:t>
      </w:r>
      <w:r w:rsidRPr="00F04997">
        <w:rPr>
          <w:shd w:val="clear" w:color="auto" w:fill="FFFFFF"/>
        </w:rPr>
        <w:t xml:space="preserve">; </w:t>
      </w:r>
      <w:r w:rsidRPr="00F04997">
        <w:rPr>
          <w:rStyle w:val="highlight-diff"/>
          <w:color w:val="000000"/>
          <w:shd w:val="clear" w:color="auto" w:fill="FFFFFF"/>
        </w:rPr>
        <w:t>vyzýva Radu a Komisiu, aby dodržiavali zásadu dosiahnutých výsledkov tým, že každú kandidátsku krajinu individuálne posúdia a zabezpečia, aby pokrok v prístupových krokoch vrátane otvorenia kapitol rokovania závisel od jej vlastných úspechov a okolností;</w:t>
      </w:r>
      <w:r w:rsidRPr="00F04997">
        <w:t xml:space="preserve"> </w:t>
      </w:r>
      <w:r w:rsidRPr="00F04997">
        <w:rPr>
          <w:shd w:val="clear" w:color="auto" w:fill="FFFFFF"/>
        </w:rPr>
        <w:t>opätovne potvrdzuje svoju neochvejnú podporu vyhliadkam Moldavska na členstvo v EÚ; okrem toho naliehavo vyzýva Radu, aby urýchlene začala prístupové rokovania o klastri 1 (základné otázky) ako uznanie značného pokroku Moldavska pri napredovaní kľúčových reforiem;</w:t>
      </w:r>
    </w:p>
    <w:p w14:paraId="2C36D327" w14:textId="77777777" w:rsidR="002B319E" w:rsidRPr="00F04997" w:rsidRDefault="002B319E" w:rsidP="002B319E">
      <w:pPr>
        <w:pStyle w:val="NormalHanging12a"/>
        <w:rPr>
          <w:szCs w:val="24"/>
        </w:rPr>
      </w:pPr>
      <w:r w:rsidRPr="00F04997">
        <w:rPr>
          <w:shd w:val="clear" w:color="auto" w:fill="FFFFFF"/>
        </w:rPr>
        <w:t>5.</w:t>
      </w:r>
      <w:r w:rsidRPr="00F04997">
        <w:rPr>
          <w:shd w:val="clear" w:color="auto" w:fill="FFFFFF"/>
        </w:rPr>
        <w:tab/>
        <w:t>vyzýva EÚ, aby naďalej podporovala Moldavskú republiku pri zabezpečení konania slobodných, spravodlivých a transparentných volieb; zdôrazňuje kľúčovú úlohu medzinárodných pozorovateľov nielen pri monitorovaní volebného procesu, ale aj pri monitorovaní a dokumentovaní škodlivého zahraničného zasahovania vrátane dezinformácií, nezákonného financovania a koordinovaných kybernetických operácií a operácií ovplyvňovania;</w:t>
      </w:r>
    </w:p>
    <w:p w14:paraId="4E4F5410" w14:textId="77777777" w:rsidR="002B319E" w:rsidRPr="00F04997" w:rsidRDefault="002B319E" w:rsidP="002B319E">
      <w:pPr>
        <w:pStyle w:val="NormalHanging12a"/>
      </w:pPr>
      <w:r w:rsidRPr="00F04997">
        <w:t>6.</w:t>
      </w:r>
      <w:r w:rsidRPr="00F04997">
        <w:tab/>
        <w:t>vyjadruje pevné presvedčenie, že schopnosť Moldavska konsolidovať svoj súčasný pokrok v reformách súvisiacich s pristúpením k EÚ a udržať ambiciózne tempo smerovania k členstvu v EÚ si bude vyžadovať silnú a skutočnú podporu jeho parlamentu;</w:t>
      </w:r>
    </w:p>
    <w:p w14:paraId="5458BBEF" w14:textId="77777777" w:rsidR="002B319E" w:rsidRPr="00F04997" w:rsidRDefault="002B319E" w:rsidP="002B319E">
      <w:pPr>
        <w:pStyle w:val="NormalHanging12a"/>
      </w:pPr>
      <w:r w:rsidRPr="00F04997">
        <w:t>7.</w:t>
      </w:r>
      <w:r w:rsidRPr="00F04997">
        <w:tab/>
        <w:t>s uspokojením berie na vedomie úsilie EÚ o poskytnutie politickej podpory Moldavsku na najvyššej úrovni, najmä vôbec prvý samit EÚ – Moldavsko 4. júla 2025 v Kišiňove, návštevu hláv štátov alebo predsedov vlád EÚ (Francúzsko, Nemecko a Poľsko) v Moldavsku 27. augusta 2025 a návštevu prezidenta Rumunska v Moldavsku 31. augusta 2025, ktoré opätovne zdôraznili jasnú perspektívu Moldavska na vstup do EÚ na základe zásluh a rešpektovania demokratických zásad;</w:t>
      </w:r>
    </w:p>
    <w:p w14:paraId="6B2E9CA8" w14:textId="77777777" w:rsidR="002B319E" w:rsidRPr="00F04997" w:rsidRDefault="002B319E" w:rsidP="002B319E">
      <w:pPr>
        <w:pStyle w:val="NormalHanging12a"/>
        <w:rPr>
          <w:rStyle w:val="NormalHanging12aChar"/>
          <w:color w:val="000000"/>
          <w:szCs w:val="24"/>
        </w:rPr>
      </w:pPr>
      <w:r w:rsidRPr="00F04997">
        <w:t>8.</w:t>
      </w:r>
      <w:r w:rsidRPr="00F04997">
        <w:tab/>
      </w:r>
      <w:r w:rsidRPr="00F04997">
        <w:rPr>
          <w:rStyle w:val="NormalHanging12aChar"/>
          <w:color w:val="000000"/>
        </w:rPr>
        <w:t xml:space="preserve">opätovne vyzýva EÚ, aby svoju politickú podporu naďalej dopĺňala o čoraz väčšiu finančnú a technickú podporu úsilia moldavskej vlády v boji proti zahraničnému zasahovaniu do demokratických procesov v krajine, a to aj prostredníctvom dodatočných sankčných zoznamov, ako sú zoznamy z 15. júla 2025, poskytnutím dodatočnej podpory partnerskej misii EÚ (EUPM) v Moldavsku, výmenou informácií o podozrivých finančných tokoch vrátane kryptomien a o nepriehľadných alebo nelegálnych finančných sieťach, výmenou odborných znalostí v oblasti zahraničnej manipulácie s informáciami a zahraničného zasahovania, bojom proti hybridným hrozbám a posilňovaním </w:t>
      </w:r>
      <w:bookmarkStart w:id="7" w:name="_Hlk194942091"/>
      <w:r w:rsidRPr="00F04997">
        <w:rPr>
          <w:rStyle w:val="NormalHanging12aChar"/>
          <w:color w:val="000000"/>
        </w:rPr>
        <w:t>odolnosti; opätovne vyzýva moldavské orgány a EÚ, aby zvýšili podporu nezávislým médiám a prodemokratickej občianskej spoločnosti s cieľom umožniť novinárom na vnútroštátnej a regionálnej úrovni bojovať proti zahraničnej manipulácii s informáciami a zahraničnému zasahovaniu a posilniť digitálnu gramotnosť;</w:t>
      </w:r>
      <w:bookmarkEnd w:id="7"/>
      <w:r w:rsidRPr="00F04997">
        <w:rPr>
          <w:rStyle w:val="NormalHanging12aChar"/>
          <w:color w:val="000000"/>
        </w:rPr>
        <w:t xml:space="preserve"> víta oznámenie Komisie o novom regionálnom centre Európskeho strediska pre monitorovanie digitálnych médií (EDMO) na podporu Moldavska a Ukrajiny v boji proti dezinformáciám; naliehavo vyzýva všetky hlavné online platformy, najmä spoločnosti </w:t>
      </w:r>
      <w:proofErr w:type="spellStart"/>
      <w:r w:rsidRPr="00F04997">
        <w:rPr>
          <w:rStyle w:val="NormalHanging12aChar"/>
          <w:color w:val="000000"/>
        </w:rPr>
        <w:t>Meta</w:t>
      </w:r>
      <w:proofErr w:type="spellEnd"/>
      <w:r w:rsidRPr="00F04997">
        <w:rPr>
          <w:rStyle w:val="NormalHanging12aChar"/>
          <w:color w:val="000000"/>
        </w:rPr>
        <w:t xml:space="preserve">, Google, Telegram, </w:t>
      </w:r>
      <w:proofErr w:type="spellStart"/>
      <w:r w:rsidRPr="00F04997">
        <w:rPr>
          <w:rStyle w:val="NormalHanging12aChar"/>
          <w:color w:val="000000"/>
        </w:rPr>
        <w:t>TikTok</w:t>
      </w:r>
      <w:proofErr w:type="spellEnd"/>
      <w:r w:rsidRPr="00F04997">
        <w:rPr>
          <w:rStyle w:val="NormalHanging12aChar"/>
          <w:color w:val="000000"/>
        </w:rPr>
        <w:t xml:space="preserve">, Microsoft a </w:t>
      </w:r>
      <w:proofErr w:type="spellStart"/>
      <w:r w:rsidRPr="00F04997">
        <w:rPr>
          <w:rStyle w:val="NormalHanging12aChar"/>
          <w:color w:val="000000"/>
        </w:rPr>
        <w:t>Rakuten</w:t>
      </w:r>
      <w:proofErr w:type="spellEnd"/>
      <w:r w:rsidRPr="00F04997">
        <w:rPr>
          <w:rStyle w:val="NormalHanging12aChar"/>
          <w:color w:val="000000"/>
        </w:rPr>
        <w:t xml:space="preserve">, aby úzko spolupracovali s moldavskými orgánmi, občianskou spoločnosťou a novým centrom EDMO; vyzýva Moldavsko, aby bezodkladne zosúladilo svoje právne </w:t>
      </w:r>
      <w:r w:rsidRPr="00F04997">
        <w:rPr>
          <w:rStyle w:val="NormalHanging12aChar"/>
          <w:color w:val="000000"/>
        </w:rPr>
        <w:lastRenderedPageBreak/>
        <w:t>predpisy s aktom EÚ o digitálnych trhoch</w:t>
      </w:r>
      <w:r w:rsidRPr="00F04997">
        <w:rPr>
          <w:rStyle w:val="FootnoteReference"/>
          <w:color w:val="000000"/>
        </w:rPr>
        <w:footnoteReference w:id="5"/>
      </w:r>
      <w:r w:rsidRPr="00F04997">
        <w:rPr>
          <w:rStyle w:val="NormalHanging12aChar"/>
          <w:color w:val="000000"/>
        </w:rPr>
        <w:t xml:space="preserve"> a aktom o digitálnych službách</w:t>
      </w:r>
      <w:r w:rsidRPr="00F04997">
        <w:rPr>
          <w:rStyle w:val="FootnoteReference"/>
          <w:color w:val="000000"/>
        </w:rPr>
        <w:footnoteReference w:id="6"/>
      </w:r>
      <w:r w:rsidRPr="00F04997">
        <w:rPr>
          <w:rStyle w:val="NormalHanging12aChar"/>
          <w:color w:val="000000"/>
        </w:rPr>
        <w:t>; vyzýva Komisiu, aby Moldavsku v tejto súvislosti poskytla osobitnú podporu;</w:t>
      </w:r>
    </w:p>
    <w:p w14:paraId="763CDB41" w14:textId="77777777" w:rsidR="002B319E" w:rsidRPr="00F04997" w:rsidRDefault="002B319E" w:rsidP="002B319E">
      <w:pPr>
        <w:pStyle w:val="NormalHanging12a"/>
        <w:rPr>
          <w:szCs w:val="24"/>
        </w:rPr>
      </w:pPr>
      <w:r w:rsidRPr="00F04997">
        <w:t>9.</w:t>
      </w:r>
      <w:r w:rsidRPr="00F04997">
        <w:tab/>
        <w:t>nabáda moldavské orgány, aby v plnej miere využívali odborné znalosti EUPM na boj proti akýmkoľvek opakovaným zásahom do volieb pred parlamentnými voľbami, ktoré sa uskutočnia 28. septembra 2025; nabáda Európsku službu pre vonkajšiu činnosť a Komisiu, aby využili všetky dostupné nástroje EÚ na podporu Moldavska v boji proti hybridným hrozbám, a to aj prostredníctvom tímu rýchlej reakcie na hybridné hrozby, tímu rýchlej kybernetickej reakcie a rezervy na účely kybernetickej bezpečnosti; víta úsilie moldavského Centra pre strategickú komunikáciu a boj proti dezinformáciám v koordinácii boja proti zahraničnému zasahovaniu v rôznych moldavských inštitúciách a úsilie Národnej agentúry pre kybernetickú bezpečnosť a Národného inštitútu pre inovácie v oblasti kybernetickej bezpečnosti, a vyzýva EÚ, aby zvýšila svoju podporu tomuto úsiliu; opätovne zdôrazňuje, že je dôležité zlepšiť výmenu informácií a spravodajskú spoluprácu v oblasti bezpečnostných hrozieb medzi Moldavskom a EÚ a jej členskými štátmi; vyzýva EÚ, aby sa poučila zo skúseností získaných v Moldavsku, ktoré možno zužitkovať pri ochrane vlastných volebných procesov a demokratických inštitúcií EÚ;</w:t>
      </w:r>
    </w:p>
    <w:p w14:paraId="17B44121" w14:textId="77777777" w:rsidR="002B319E" w:rsidRPr="00F04997" w:rsidRDefault="002B319E" w:rsidP="002B319E">
      <w:pPr>
        <w:pStyle w:val="NormalHanging12a"/>
        <w:rPr>
          <w:szCs w:val="24"/>
        </w:rPr>
      </w:pPr>
      <w:r w:rsidRPr="00F04997">
        <w:t>10.</w:t>
      </w:r>
      <w:r w:rsidRPr="00F04997">
        <w:tab/>
        <w:t>berie na vedomie, že Moldavsko sa dôsledne pripája k pozíciám EÚ v oblasti spoločnej zahraničnej a bezpečnostnej politiky, od roku 2024 uplatňuje partnerstvo s EÚ v oblasti bezpečnosti a obrany a prijalo novú stratégiu národnej obrany na obdobie 2024 – 2034; vyzýva preto členské štáty, aby zvýšili finančné prostriedky pre Moldavsko prostredníctvom Európskeho mierového nástroja, a to aj vzhľadom na opakované narúšanie moldavského vzdušného priestoru ruskými bezpilotnými lietadlami a riadenými strelami, a aby Moldavsko zahrnuli do spoločného obstarávania v oblasti obrany v rámci Programu pre európsky obranný priemysel; zdôrazňuje úlohu Moldavska v oblasti bezpečnosti a stability východnej hranice EÚ a čiernomorského regiónu v kontexte humanitárnej a energetickej krízy spôsobenej útočnou vojnou Ruska proti Ukrajine;</w:t>
      </w:r>
    </w:p>
    <w:p w14:paraId="793353D8" w14:textId="77777777" w:rsidR="002B319E" w:rsidRPr="00F04997" w:rsidRDefault="002B319E" w:rsidP="002B319E">
      <w:pPr>
        <w:pStyle w:val="NormalHanging12a"/>
      </w:pPr>
      <w:r w:rsidRPr="00F04997">
        <w:t>11.</w:t>
      </w:r>
      <w:r w:rsidRPr="00F04997">
        <w:tab/>
        <w:t xml:space="preserve">vyzýva Ruskú federáciu, aby stiahla svoje vojenské jednotky, vybavenie a muníciu z </w:t>
      </w:r>
      <w:proofErr w:type="spellStart"/>
      <w:r w:rsidRPr="00F04997">
        <w:t>podnesterskej</w:t>
      </w:r>
      <w:proofErr w:type="spellEnd"/>
      <w:r w:rsidRPr="00F04997">
        <w:t xml:space="preserve"> oblasti a aby podporovala mierové riešenie konfliktu v súlade s medzinárodným právom a zvrchovanosťou a územnou celistvosťou Moldavska;</w:t>
      </w:r>
    </w:p>
    <w:p w14:paraId="412482E6" w14:textId="291A37BF" w:rsidR="002B319E" w:rsidRPr="00F04997" w:rsidRDefault="002B319E" w:rsidP="002B319E">
      <w:pPr>
        <w:pStyle w:val="NormalHanging12a"/>
        <w:rPr>
          <w:szCs w:val="24"/>
        </w:rPr>
      </w:pPr>
      <w:r w:rsidRPr="00F04997">
        <w:t>12.</w:t>
      </w:r>
      <w:r w:rsidRPr="00F04997">
        <w:tab/>
        <w:t xml:space="preserve">naliehavo vyzýva moldavské orgány, moldavskú občiansku spoločnosť a EÚ, aby posilnili strategickú komunikáciu, odhaľovali falošné </w:t>
      </w:r>
      <w:proofErr w:type="spellStart"/>
      <w:r w:rsidRPr="00F04997">
        <w:t>naratívy</w:t>
      </w:r>
      <w:proofErr w:type="spellEnd"/>
      <w:r w:rsidRPr="00F04997">
        <w:t xml:space="preserve"> o EÚ a jej politikách, ktoré šíri Rusko, a bojovali proti nim a vyzdvihovali konkrétne krátkodobé a dlhodobé prínosy pristúpenia k EÚ pre ľudí v celom Moldavsku</w:t>
      </w:r>
      <w:bookmarkStart w:id="8" w:name="_Hlk196923727"/>
      <w:r w:rsidRPr="00F04997">
        <w:t xml:space="preserve"> s osobitným dôrazom na komunikáciu v regiónoch, ako je </w:t>
      </w:r>
      <w:proofErr w:type="spellStart"/>
      <w:r w:rsidRPr="00F04997">
        <w:t>Gagauzsko</w:t>
      </w:r>
      <w:proofErr w:type="spellEnd"/>
      <w:r w:rsidRPr="00F04997">
        <w:t>, a v sociálno-ekonomicky znevýhodnených komunitách vo vidieckych oblastiach;</w:t>
      </w:r>
      <w:bookmarkEnd w:id="8"/>
      <w:r w:rsidRPr="00F04997">
        <w:t xml:space="preserve"> vyhlasuje, že je pripravený naďalej podporovať Parlament Moldavska prostredníctvom vzájomne dohodnutých činností na podporu demokracie; odporúča preto, aby sa v plnej miere využila styčná kancelária Európskeho </w:t>
      </w:r>
      <w:r w:rsidRPr="00F04997">
        <w:lastRenderedPageBreak/>
        <w:t>parlamentu v Kišiňove na šírenie informácií, boj proti dezinformáciám a podporu angažovanosti občanov, čím sa prispeje k posilneniu demokratickej odolnosti Moldavska; je hlboko znepokojený rozsiahlou kampaňou Ruska zneužívajúcou homofóbiu vrátane zastrašovania a fyzických útokov a vyzýva Komisiu, členské štáty a Moldavsko, aby investovali do odolnosti moldavskej spoločnosti tým, že budú presadzovať rovnosť pre všetkých bez ohľadu na sexuálnu orientáciu alebo rodovú identitu;</w:t>
      </w:r>
    </w:p>
    <w:p w14:paraId="30BE8E18" w14:textId="6D7029CE" w:rsidR="002B319E" w:rsidRDefault="002B319E" w:rsidP="002B319E">
      <w:pPr>
        <w:pStyle w:val="NormalHanging12a"/>
      </w:pPr>
      <w:r w:rsidRPr="00F04997">
        <w:t>13.</w:t>
      </w:r>
      <w:r w:rsidRPr="00F04997">
        <w:tab/>
        <w:t xml:space="preserve">konštatuje, že stratégia národnej bezpečnosti Ruska, ktorú prezident Putin schválil 31. decembra 2015 a ktorá vychádza z vojenskej doktríny z 25. decembra 2014, výslovne obhajuje tzv. tradičné ruské duchovné a morálne hodnoty pred vnímaným vplyvom Západu, čím preukazuje </w:t>
      </w:r>
      <w:proofErr w:type="spellStart"/>
      <w:r w:rsidRPr="00F04997">
        <w:t>inštrumentalizáciu</w:t>
      </w:r>
      <w:proofErr w:type="spellEnd"/>
      <w:r w:rsidRPr="00F04997">
        <w:t xml:space="preserve"> týchto hodnôt a ich inštitúcií zo strany Ruska na strategické účely; vyjadruje znepokojenie nad </w:t>
      </w:r>
      <w:proofErr w:type="spellStart"/>
      <w:r w:rsidRPr="00F04997">
        <w:t>inštrumentalizáciou</w:t>
      </w:r>
      <w:proofErr w:type="spellEnd"/>
      <w:r w:rsidRPr="00F04997">
        <w:t xml:space="preserve"> tzv. tradičných ruských hodnôt Ruskom a zdôrazňuje, že jedným z hlavných kanálov ruskej propagandy v Moldavsku je Moldavská pravoslávna cirkev pod jurisdikciou ruskej pravoslávnej cirkvi; </w:t>
      </w:r>
      <w:r w:rsidR="00777B4D" w:rsidRPr="00777B4D">
        <w:t xml:space="preserve">zdôrazňuje, že Parlamentné zhromaždenie Rady Európy označilo v apríli 2024 ruskú pravoslávnu cirkev za nástroj kremeľskej propagandy a v auguste 2024 ju ekumenický patriarcha Konštantínopolu odsúdil ako militaristickú, etnicko-nacionalistickú a kacírsku; </w:t>
      </w:r>
      <w:r w:rsidRPr="00F04997">
        <w:t>odsudzuje zastrašovanie duchovných pravoslávneho metropolu v Besarábii ruskými zástupnými aktérmi</w:t>
      </w:r>
      <w:r w:rsidR="00777B4D">
        <w:rPr>
          <w:rStyle w:val="FootnoteReference"/>
        </w:rPr>
        <w:footnoteReference w:id="7"/>
      </w:r>
      <w:r w:rsidRPr="00F04997">
        <w:t>;</w:t>
      </w:r>
    </w:p>
    <w:p w14:paraId="6DC416E1" w14:textId="6DD96BAE" w:rsidR="00777B4D" w:rsidRPr="00F04997" w:rsidRDefault="0046708B" w:rsidP="002B319E">
      <w:pPr>
        <w:pStyle w:val="NormalHanging12a"/>
      </w:pPr>
      <w:r>
        <w:t>14</w:t>
      </w:r>
      <w:r w:rsidR="00777B4D" w:rsidRPr="00777B4D">
        <w:t>.</w:t>
      </w:r>
      <w:r w:rsidR="00777B4D" w:rsidRPr="00777B4D">
        <w:tab/>
        <w:t xml:space="preserve">uznáva pravoslávnu </w:t>
      </w:r>
      <w:proofErr w:type="spellStart"/>
      <w:r w:rsidR="00777B4D" w:rsidRPr="00777B4D">
        <w:t>Metropoliu</w:t>
      </w:r>
      <w:proofErr w:type="spellEnd"/>
      <w:r w:rsidR="00777B4D" w:rsidRPr="00777B4D">
        <w:t xml:space="preserve"> Besarábie ako obeť sovietskeho útlaku; konštatuje, že po tom, čo sovietske orgány násilne zrušili pravoslávnu </w:t>
      </w:r>
      <w:proofErr w:type="spellStart"/>
      <w:r w:rsidR="00777B4D" w:rsidRPr="00777B4D">
        <w:t>Metropoliu</w:t>
      </w:r>
      <w:proofErr w:type="spellEnd"/>
      <w:r w:rsidR="00777B4D" w:rsidRPr="00777B4D">
        <w:t xml:space="preserve"> Besarábie, bola táto </w:t>
      </w:r>
      <w:proofErr w:type="spellStart"/>
      <w:r w:rsidR="00777B4D" w:rsidRPr="00777B4D">
        <w:t>metropolia</w:t>
      </w:r>
      <w:proofErr w:type="spellEnd"/>
      <w:r w:rsidR="00777B4D" w:rsidRPr="00777B4D">
        <w:t xml:space="preserve"> oficiálne uznaná až v roku 2002 na základe rozhodnutia Európskeho súdu pre ľudské práva;</w:t>
      </w:r>
    </w:p>
    <w:p w14:paraId="195DEEB6" w14:textId="4904F57C" w:rsidR="002B319E" w:rsidRPr="00F04997" w:rsidRDefault="0046708B" w:rsidP="002B319E">
      <w:pPr>
        <w:pStyle w:val="NormalHanging12a"/>
        <w:rPr>
          <w:szCs w:val="24"/>
        </w:rPr>
      </w:pPr>
      <w:r>
        <w:t>15</w:t>
      </w:r>
      <w:r w:rsidR="002B319E" w:rsidRPr="00F04997">
        <w:t>.</w:t>
      </w:r>
      <w:r w:rsidR="002B319E" w:rsidRPr="00F04997">
        <w:tab/>
        <w:t xml:space="preserve">berie na vedomie významný prínos organizácií občianskej spoločnosti v boji proti dezinformáciám a škodlivému vplyvu </w:t>
      </w:r>
      <w:proofErr w:type="spellStart"/>
      <w:r w:rsidR="002B319E" w:rsidRPr="00F04997">
        <w:t>protireformných</w:t>
      </w:r>
      <w:proofErr w:type="spellEnd"/>
      <w:r w:rsidR="002B319E" w:rsidRPr="00F04997">
        <w:t xml:space="preserve"> politických aktérov a ruských zástupných aktérov, ako aj pri ochrane ľudských práv, podpore transparentnosti a monitorovaní správy vecí verejných a pokroku v demokratických reformách a reformách súvisiacich s pristúpením k EÚ;</w:t>
      </w:r>
    </w:p>
    <w:p w14:paraId="439B743D" w14:textId="5E4A78E0" w:rsidR="002B319E" w:rsidRPr="00F04997" w:rsidRDefault="0046708B" w:rsidP="002B319E">
      <w:pPr>
        <w:pStyle w:val="NormalHanging12a"/>
        <w:rPr>
          <w:szCs w:val="24"/>
        </w:rPr>
      </w:pPr>
      <w:r>
        <w:t>16</w:t>
      </w:r>
      <w:r w:rsidR="002B319E" w:rsidRPr="00F04997">
        <w:t>.</w:t>
      </w:r>
      <w:r w:rsidR="002B319E" w:rsidRPr="00F04997">
        <w:tab/>
        <w:t>zdôrazňuje, že komplexná reforma justičného systému a boj proti korupcii majú zásadný význam pre odolnosť Moldavska voči zahraničnému zasahovaniu a hybridným hrozbám aj pre úspech demokratických reforiem a reforiem súvisiacich s pristúpením k EÚ; uznáva neustávajúce úsilie Moldavska o vybudovanie nezávislého, nestranného, zodpovedného a profesionálneho súdneho systému a dokončenie procesu preverovania do konca roka 2026; zdôrazňuje, že je potrebné zabezpečiť lepšiu koordináciu medzi všetkými kľúčovými protikorupčnými a justičnými inštitúciami s cieľom v plnej miere vykonať komplexné reformy v oblasti právneho štátu, dosiahnuť presvedčivé výsledky, pokiaľ ide o účinné stíhanie v prípadoch korupcie, pričom je nutné rešpektovať riadny proces a právo na spravodlivý proces, a zachovať dôveru verejnosti v demokratické inštitúcie a reformný proces; vyzýva preto budúcu vládu, aby zachovala súčasnú úroveň ambícií a dokončila reformy právneho štátu;</w:t>
      </w:r>
    </w:p>
    <w:p w14:paraId="3DC723DF" w14:textId="6A0C199E" w:rsidR="002B319E" w:rsidRDefault="0046708B" w:rsidP="002B319E">
      <w:pPr>
        <w:pStyle w:val="NormalHanging12a"/>
      </w:pPr>
      <w:r>
        <w:t>17</w:t>
      </w:r>
      <w:r w:rsidR="002B319E" w:rsidRPr="00F04997">
        <w:t>.</w:t>
      </w:r>
      <w:r w:rsidR="002B319E" w:rsidRPr="00F04997">
        <w:tab/>
        <w:t xml:space="preserve">zdôrazňuje kľúčový význam energetickej nezávislosti a prepojenosti pre zvýšenie odolnosti voči ruským hybridným hrozbám v odvetví energetiky, a preto požaduje </w:t>
      </w:r>
      <w:r w:rsidR="002B319E" w:rsidRPr="00F04997">
        <w:lastRenderedPageBreak/>
        <w:t xml:space="preserve">rýchlejšie vykonávanie plánu rastu; odsudzuje pokračujúcu </w:t>
      </w:r>
      <w:proofErr w:type="spellStart"/>
      <w:r w:rsidR="002B319E" w:rsidRPr="00F04997">
        <w:t>inštrumentalizáciu</w:t>
      </w:r>
      <w:proofErr w:type="spellEnd"/>
      <w:r w:rsidR="002B319E" w:rsidRPr="00F04997">
        <w:t xml:space="preserve"> dodávok energie zo strany Ruska a víta pokrok Moldavska v oblasti diverzifikácie zdrojov energie, zavádzaní obnoviteľných zdrojov energie a systémov uskladňovania energie, znižovaní závislosti od ruského plynu a integrácie do trhu EÚ s energiou;</w:t>
      </w:r>
    </w:p>
    <w:p w14:paraId="404BAC2C" w14:textId="5CB3ABCF" w:rsidR="00777B4D" w:rsidRPr="00F04997" w:rsidRDefault="0046708B" w:rsidP="002B319E">
      <w:pPr>
        <w:pStyle w:val="NormalHanging12a"/>
        <w:rPr>
          <w:szCs w:val="24"/>
        </w:rPr>
      </w:pPr>
      <w:r>
        <w:rPr>
          <w:szCs w:val="24"/>
        </w:rPr>
        <w:t>18</w:t>
      </w:r>
      <w:r w:rsidR="00777B4D" w:rsidRPr="00777B4D">
        <w:rPr>
          <w:szCs w:val="24"/>
        </w:rPr>
        <w:t>.</w:t>
      </w:r>
      <w:r w:rsidR="00777B4D" w:rsidRPr="00777B4D">
        <w:rPr>
          <w:szCs w:val="24"/>
        </w:rPr>
        <w:tab/>
        <w:t>vyjadruje Moldavskej republike uznanie za významný pokrok, ktorý dosiahla postupným vyradením ruských zdrojov energie, urýchlením dekarbonizácie a digitalizácie svojho energetického mixu a integráciou do trhu s energiou EÚ; opakuje svoju výzvu adresovanú EÚ a jej členským štátom, aby naďalej podporovali energetickú bezpečnosť Moldavska, podporovali budovanie a financovanie nových elektrických prepojení so susednými krajinami, presadzovali energetickú efektívnosť a využívali obnoviteľné zdroje energie a zásobníky energie v súlade s cieľmi stanovenými v jeho národnom energetickom a klimatickom pláne;</w:t>
      </w:r>
    </w:p>
    <w:p w14:paraId="1BB80871" w14:textId="3CE95B5E" w:rsidR="002B319E" w:rsidRPr="00F04997" w:rsidRDefault="0046708B" w:rsidP="002B319E">
      <w:pPr>
        <w:pStyle w:val="NormalHanging12a"/>
        <w:rPr>
          <w:szCs w:val="24"/>
        </w:rPr>
      </w:pPr>
      <w:r>
        <w:t>19</w:t>
      </w:r>
      <w:r w:rsidR="002B319E" w:rsidRPr="00F04997">
        <w:t>.</w:t>
      </w:r>
      <w:r w:rsidR="002B319E" w:rsidRPr="00F04997">
        <w:tab/>
        <w:t xml:space="preserve">víta bezproblémové prijatie plánu rastu pre Moldavsko s rozpočtom 1,9 miliardy EUR, ktorý predstavuje bezprecedentnú úroveň podpory určenej na posilnenie moldavského hospodárstva a napredovanie krajiny smerom k členstvu v EÚ prostredníctvom urýchlenia kľúčových reforiem v odvetviach, ako sú energetika, životné prostredie, digitálny sektor, doprava a iné; víta vyplatenie </w:t>
      </w:r>
      <w:proofErr w:type="spellStart"/>
      <w:r w:rsidR="002B319E" w:rsidRPr="00F04997">
        <w:t>tranže</w:t>
      </w:r>
      <w:proofErr w:type="spellEnd"/>
      <w:r w:rsidR="002B319E" w:rsidRPr="00F04997">
        <w:t xml:space="preserve"> predbežného financovania vo výške 270 miliónov EUR z plánu rastu s rozpočtom 1,9 miliardy EUR a vyzýva na urýchlené uvoľnenie prvej bežnej </w:t>
      </w:r>
      <w:proofErr w:type="spellStart"/>
      <w:r w:rsidR="002B319E" w:rsidRPr="00F04997">
        <w:t>tranže</w:t>
      </w:r>
      <w:proofErr w:type="spellEnd"/>
      <w:r w:rsidR="002B319E" w:rsidRPr="00F04997">
        <w:t xml:space="preserve"> na podporu kľúčových reforiem v oblasti infraštruktúry, ľudského kapitálu, rozvoja podnikania a digitálnej a zelenej transformácie; naliehavo vyzýva EÚ a Moldavsko, aby urýchlili postupnú integráciu krajiny do jednotného trhu EÚ s cieľom priniesť hmatateľné sociálno-ekonomické výhody ešte pred formálnym pristúpením k EÚ; víta nedávnu dohodu o preskúmaní a aktualizácii obchodných ustanovení prehĺbenej a komplexnej zóny voľného obchodu medzi EÚ a Moldavskom, ktorá poskytne lepší prístup na trh pre moldavský poľnohospodársky vývoz, ktorý ešte nebol liberalizovaný; podporuje začlenenie Moldavska do predvstupového nástroja v rámci budúceho viacročného finančného rámca; oceňuje rozhodnutie Rady z 25. júla 2025 začleniť Moldavsko do oblasti roamingu za vnútroštátne ceny od 1. januára 2026 v nadväznosti na podobné rozhodnutie týkajúce sa Ukrajiny, ktoré bolo prijaté 14. júla 2025;</w:t>
      </w:r>
    </w:p>
    <w:p w14:paraId="52FB8BAB" w14:textId="5F62F04D" w:rsidR="00E365E1" w:rsidRPr="00F04997" w:rsidRDefault="0046708B" w:rsidP="00C87FDC">
      <w:pPr>
        <w:pStyle w:val="NormalHanging12a"/>
      </w:pPr>
      <w:r>
        <w:t>20</w:t>
      </w:r>
      <w:r w:rsidR="002B319E" w:rsidRPr="00F04997">
        <w:t>.</w:t>
      </w:r>
      <w:r w:rsidR="002B319E" w:rsidRPr="00F04997">
        <w:tab/>
        <w:t>poveruje svoju predsedníčku, aby postúpila toto uznesenie podpredsedníčke Komisie/vysokej predstaviteľke Únie pre zahraničné veci a bezpečnostnú politiku, Rade, Komisii, vládam a parlamentom členských štátov, Rade Európy, Organizácii pre bezpečnosť a spoluprácu v Európe a prezidentke, vláde a parlamentu Moldavska.</w:t>
      </w:r>
    </w:p>
    <w:sectPr w:rsidR="00E365E1" w:rsidRPr="00F04997" w:rsidSect="000A164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1E9A68" w14:textId="77777777" w:rsidR="00730578" w:rsidRPr="000A1644" w:rsidRDefault="00730578">
      <w:r w:rsidRPr="000A1644">
        <w:separator/>
      </w:r>
    </w:p>
  </w:endnote>
  <w:endnote w:type="continuationSeparator" w:id="0">
    <w:p w14:paraId="72A6A538" w14:textId="77777777" w:rsidR="00730578" w:rsidRPr="000A1644" w:rsidRDefault="00730578">
      <w:r w:rsidRPr="000A164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D4A83B" w14:textId="77777777" w:rsidR="00064002" w:rsidRPr="000A164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71EAD4" w14:textId="77777777" w:rsidR="00064002" w:rsidRPr="000A164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64FF58" w14:textId="77777777" w:rsidR="00064002" w:rsidRPr="000A164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C4F58F" w14:textId="77777777" w:rsidR="00730578" w:rsidRPr="000A1644" w:rsidRDefault="00730578">
      <w:r w:rsidRPr="000A1644">
        <w:separator/>
      </w:r>
    </w:p>
  </w:footnote>
  <w:footnote w:type="continuationSeparator" w:id="0">
    <w:p w14:paraId="79A0E4C2" w14:textId="77777777" w:rsidR="00730578" w:rsidRPr="000A1644" w:rsidRDefault="00730578">
      <w:r w:rsidRPr="000A1644">
        <w:continuationSeparator/>
      </w:r>
    </w:p>
  </w:footnote>
  <w:footnote w:id="1">
    <w:p w14:paraId="144A1900" w14:textId="057FCBEE" w:rsidR="002B319E" w:rsidRPr="00562071" w:rsidRDefault="002B319E" w:rsidP="000A1644">
      <w:pPr>
        <w:pStyle w:val="FootnoteText"/>
        <w:ind w:left="567" w:hanging="567"/>
        <w:rPr>
          <w:sz w:val="24"/>
          <w:szCs w:val="24"/>
          <w:lang w:val="sk-SK"/>
        </w:rPr>
      </w:pPr>
      <w:r w:rsidRPr="00562071">
        <w:rPr>
          <w:rStyle w:val="FootnoteReference"/>
          <w:sz w:val="24"/>
          <w:szCs w:val="24"/>
          <w:lang w:val="sk-SK"/>
        </w:rPr>
        <w:footnoteRef/>
      </w:r>
      <w:r w:rsidR="000A1644" w:rsidRPr="00562071">
        <w:rPr>
          <w:sz w:val="24"/>
          <w:szCs w:val="24"/>
          <w:lang w:val="sk-SK"/>
        </w:rPr>
        <w:t xml:space="preserve"> </w:t>
      </w:r>
      <w:r w:rsidR="000A1644" w:rsidRPr="00562071">
        <w:rPr>
          <w:sz w:val="24"/>
          <w:szCs w:val="24"/>
          <w:lang w:val="sk-SK"/>
        </w:rPr>
        <w:tab/>
      </w:r>
      <w:r w:rsidRPr="00562071">
        <w:rPr>
          <w:sz w:val="24"/>
          <w:szCs w:val="24"/>
          <w:lang w:val="sk-SK"/>
        </w:rPr>
        <w:t>Prijaté texty, P10_TA(2025)0131.</w:t>
      </w:r>
    </w:p>
  </w:footnote>
  <w:footnote w:id="2">
    <w:p w14:paraId="79ADD79C" w14:textId="5058664B" w:rsidR="002B319E" w:rsidRPr="00562071" w:rsidRDefault="002B319E" w:rsidP="000A1644">
      <w:pPr>
        <w:pStyle w:val="FootnoteText"/>
        <w:ind w:left="567" w:hanging="567"/>
        <w:rPr>
          <w:sz w:val="24"/>
          <w:szCs w:val="24"/>
          <w:lang w:val="sk-SK"/>
        </w:rPr>
      </w:pPr>
      <w:r w:rsidRPr="00562071">
        <w:rPr>
          <w:rStyle w:val="FootnoteReference"/>
          <w:sz w:val="24"/>
          <w:szCs w:val="24"/>
          <w:lang w:val="sk-SK"/>
        </w:rPr>
        <w:footnoteRef/>
      </w:r>
      <w:r w:rsidR="000A1644" w:rsidRPr="00562071">
        <w:rPr>
          <w:sz w:val="24"/>
          <w:szCs w:val="24"/>
          <w:lang w:val="sk-SK"/>
        </w:rPr>
        <w:t xml:space="preserve"> </w:t>
      </w:r>
      <w:r w:rsidR="000A1644" w:rsidRPr="00562071">
        <w:rPr>
          <w:sz w:val="24"/>
          <w:szCs w:val="24"/>
          <w:lang w:val="sk-SK"/>
        </w:rPr>
        <w:tab/>
      </w:r>
      <w:r w:rsidRPr="00562071">
        <w:rPr>
          <w:sz w:val="24"/>
          <w:szCs w:val="24"/>
          <w:lang w:val="sk-SK"/>
        </w:rPr>
        <w:t xml:space="preserve">Ú. v. EÚ C, C/2025/204, 14.1.2025, ELI: </w:t>
      </w:r>
      <w:hyperlink r:id="rId1" w:history="1">
        <w:r w:rsidRPr="00562071">
          <w:rPr>
            <w:rStyle w:val="Hyperlink"/>
            <w:sz w:val="24"/>
            <w:szCs w:val="24"/>
            <w:lang w:val="sk-SK"/>
          </w:rPr>
          <w:t>http://data.europa.eu/eli/C/2025/204/oj</w:t>
        </w:r>
      </w:hyperlink>
      <w:r w:rsidRPr="00562071">
        <w:rPr>
          <w:sz w:val="24"/>
          <w:szCs w:val="24"/>
          <w:lang w:val="sk-SK"/>
        </w:rPr>
        <w:t>.</w:t>
      </w:r>
    </w:p>
  </w:footnote>
  <w:footnote w:id="3">
    <w:p w14:paraId="1D3567DF" w14:textId="3843AAD1" w:rsidR="002B319E" w:rsidRPr="00562071" w:rsidRDefault="002B319E" w:rsidP="000A1644">
      <w:pPr>
        <w:pStyle w:val="FootnoteText"/>
        <w:ind w:left="567" w:hanging="567"/>
        <w:rPr>
          <w:sz w:val="24"/>
          <w:szCs w:val="24"/>
          <w:lang w:val="sk-SK"/>
        </w:rPr>
      </w:pPr>
      <w:r w:rsidRPr="00562071">
        <w:rPr>
          <w:rStyle w:val="FootnoteReference"/>
          <w:sz w:val="24"/>
          <w:szCs w:val="24"/>
          <w:lang w:val="sk-SK"/>
        </w:rPr>
        <w:footnoteRef/>
      </w:r>
      <w:r w:rsidR="000A1644" w:rsidRPr="00562071">
        <w:rPr>
          <w:sz w:val="24"/>
          <w:szCs w:val="24"/>
          <w:lang w:val="sk-SK"/>
        </w:rPr>
        <w:t xml:space="preserve"> </w:t>
      </w:r>
      <w:r w:rsidR="000A1644" w:rsidRPr="00562071">
        <w:rPr>
          <w:sz w:val="24"/>
          <w:szCs w:val="24"/>
          <w:lang w:val="sk-SK"/>
        </w:rPr>
        <w:tab/>
      </w:r>
      <w:r w:rsidRPr="00562071">
        <w:rPr>
          <w:sz w:val="24"/>
          <w:szCs w:val="24"/>
          <w:lang w:val="sk-SK"/>
        </w:rPr>
        <w:t>Ú. v. EÚ L 260, 30.8.2014, s. 4, ELI:</w:t>
      </w:r>
      <w:r w:rsidR="00C87FDC" w:rsidRPr="00562071">
        <w:rPr>
          <w:sz w:val="24"/>
          <w:szCs w:val="24"/>
          <w:lang w:val="sk-SK"/>
        </w:rPr>
        <w:t xml:space="preserve"> </w:t>
      </w:r>
      <w:hyperlink r:id="rId2" w:tooltip="Umožňuje prístup k tomuto dokumentu prostredníctvom identifikátora URI používaného v rámci ELI." w:history="1">
        <w:r w:rsidRPr="00562071">
          <w:rPr>
            <w:rStyle w:val="Hyperlink"/>
            <w:sz w:val="24"/>
            <w:szCs w:val="24"/>
            <w:lang w:val="sk-SK"/>
          </w:rPr>
          <w:t>http://data.europa.eu/eli/agree_internation/2014/492/oj</w:t>
        </w:r>
      </w:hyperlink>
      <w:r w:rsidRPr="00562071">
        <w:rPr>
          <w:sz w:val="24"/>
          <w:szCs w:val="24"/>
          <w:lang w:val="sk-SK"/>
        </w:rPr>
        <w:t>.</w:t>
      </w:r>
    </w:p>
  </w:footnote>
  <w:footnote w:id="4">
    <w:p w14:paraId="2062BD06" w14:textId="37266CD9" w:rsidR="0046708B" w:rsidRPr="00715F49" w:rsidRDefault="0046708B" w:rsidP="00715F49">
      <w:pPr>
        <w:pStyle w:val="FootnoteText"/>
        <w:ind w:left="567" w:hanging="567"/>
        <w:rPr>
          <w:sz w:val="24"/>
          <w:szCs w:val="24"/>
          <w:lang w:val="sk-SK"/>
        </w:rPr>
      </w:pPr>
      <w:r w:rsidRPr="00715F49">
        <w:rPr>
          <w:rStyle w:val="FootnoteReference"/>
          <w:sz w:val="24"/>
          <w:szCs w:val="24"/>
        </w:rPr>
        <w:footnoteRef/>
      </w:r>
      <w:r w:rsidRPr="00715F49">
        <w:rPr>
          <w:sz w:val="24"/>
          <w:szCs w:val="24"/>
          <w:lang w:val="sk-SK"/>
        </w:rPr>
        <w:t xml:space="preserve"> </w:t>
      </w:r>
      <w:r w:rsidRPr="00715F49">
        <w:rPr>
          <w:sz w:val="24"/>
          <w:szCs w:val="24"/>
          <w:lang w:val="sk-SK"/>
        </w:rPr>
        <w:tab/>
      </w:r>
      <w:hyperlink r:id="rId3" w:history="1">
        <w:r w:rsidRPr="00715F49">
          <w:rPr>
            <w:rStyle w:val="Hyperlink"/>
            <w:sz w:val="24"/>
            <w:szCs w:val="24"/>
            <w:lang w:val="sk-SK"/>
          </w:rPr>
          <w:t>https:/www.zdg.md/en/kremlins-digital-army-an-undercover-investigation-its-paid-let-me-tell-you-its-paid-directly-from-moscow/</w:t>
        </w:r>
      </w:hyperlink>
      <w:r w:rsidRPr="00715F49">
        <w:rPr>
          <w:sz w:val="24"/>
          <w:szCs w:val="24"/>
          <w:lang w:val="sk-SK"/>
        </w:rPr>
        <w:t>.</w:t>
      </w:r>
    </w:p>
  </w:footnote>
  <w:footnote w:id="5">
    <w:p w14:paraId="24DE9494" w14:textId="54AB0438" w:rsidR="002B319E" w:rsidRPr="00562071" w:rsidRDefault="002B319E" w:rsidP="000A1644">
      <w:pPr>
        <w:pStyle w:val="FootnoteText"/>
        <w:ind w:left="567" w:hanging="567"/>
        <w:rPr>
          <w:sz w:val="24"/>
          <w:szCs w:val="24"/>
          <w:lang w:val="sk-SK"/>
        </w:rPr>
      </w:pPr>
      <w:r w:rsidRPr="00562071">
        <w:rPr>
          <w:rStyle w:val="FootnoteReference"/>
          <w:sz w:val="24"/>
          <w:szCs w:val="24"/>
          <w:lang w:val="sk-SK"/>
        </w:rPr>
        <w:footnoteRef/>
      </w:r>
      <w:r w:rsidR="000A1644" w:rsidRPr="00562071">
        <w:rPr>
          <w:sz w:val="24"/>
          <w:szCs w:val="24"/>
          <w:lang w:val="sk-SK"/>
        </w:rPr>
        <w:t xml:space="preserve"> </w:t>
      </w:r>
      <w:r w:rsidR="000A1644" w:rsidRPr="00562071">
        <w:rPr>
          <w:sz w:val="24"/>
          <w:szCs w:val="24"/>
          <w:lang w:val="sk-SK"/>
        </w:rPr>
        <w:tab/>
      </w:r>
      <w:r w:rsidRPr="00562071">
        <w:rPr>
          <w:sz w:val="24"/>
          <w:szCs w:val="24"/>
          <w:lang w:val="sk-SK"/>
        </w:rPr>
        <w:t>Nariadenie Európskeho parlamentu a Rady (EÚ) 2022/1925 zo 14. septembra 2022 o </w:t>
      </w:r>
      <w:proofErr w:type="spellStart"/>
      <w:r w:rsidRPr="00562071">
        <w:rPr>
          <w:sz w:val="24"/>
          <w:szCs w:val="24"/>
          <w:lang w:val="sk-SK"/>
        </w:rPr>
        <w:t>súťažeschopných</w:t>
      </w:r>
      <w:proofErr w:type="spellEnd"/>
      <w:r w:rsidRPr="00562071">
        <w:rPr>
          <w:sz w:val="24"/>
          <w:szCs w:val="24"/>
          <w:lang w:val="sk-SK"/>
        </w:rPr>
        <w:t xml:space="preserve"> a spravodlivých trhoch digitálneho sektora a o zmene smerníc (EÚ) 2019/1937 a (EÚ) 2020/1828 (Ú. v. EÚ L 265, 12.10.2022, s. </w:t>
      </w:r>
      <w:r w:rsidRPr="00562071">
        <w:rPr>
          <w:sz w:val="24"/>
          <w:szCs w:val="24"/>
          <w:lang w:val="sk-SK"/>
        </w:rPr>
        <w:t xml:space="preserve">1, ELI: </w:t>
      </w:r>
      <w:hyperlink r:id="rId4" w:history="1">
        <w:r w:rsidRPr="00562071">
          <w:rPr>
            <w:rStyle w:val="Hyperlink"/>
            <w:sz w:val="24"/>
            <w:szCs w:val="24"/>
            <w:lang w:val="sk-SK"/>
          </w:rPr>
          <w:t>http://data.europa.eu/eli/reg/2022/1925/oj</w:t>
        </w:r>
      </w:hyperlink>
      <w:r w:rsidRPr="00562071">
        <w:rPr>
          <w:sz w:val="24"/>
          <w:szCs w:val="24"/>
          <w:lang w:val="sk-SK"/>
        </w:rPr>
        <w:t>).</w:t>
      </w:r>
    </w:p>
  </w:footnote>
  <w:footnote w:id="6">
    <w:p w14:paraId="09F6BEF2" w14:textId="71D1AC52" w:rsidR="002B319E" w:rsidRPr="00562071" w:rsidRDefault="002B319E" w:rsidP="000A1644">
      <w:pPr>
        <w:pStyle w:val="FootnoteText"/>
        <w:ind w:left="567" w:hanging="567"/>
        <w:rPr>
          <w:sz w:val="24"/>
          <w:szCs w:val="24"/>
          <w:lang w:val="sk-SK"/>
        </w:rPr>
      </w:pPr>
      <w:r w:rsidRPr="00562071">
        <w:rPr>
          <w:rStyle w:val="FootnoteReference"/>
          <w:sz w:val="24"/>
          <w:szCs w:val="24"/>
          <w:lang w:val="sk-SK"/>
        </w:rPr>
        <w:footnoteRef/>
      </w:r>
      <w:r w:rsidR="000A1644" w:rsidRPr="00562071">
        <w:rPr>
          <w:sz w:val="24"/>
          <w:szCs w:val="24"/>
          <w:lang w:val="sk-SK"/>
        </w:rPr>
        <w:t xml:space="preserve"> </w:t>
      </w:r>
      <w:r w:rsidR="000A1644" w:rsidRPr="00562071">
        <w:rPr>
          <w:sz w:val="24"/>
          <w:szCs w:val="24"/>
          <w:lang w:val="sk-SK"/>
        </w:rPr>
        <w:tab/>
      </w:r>
      <w:r w:rsidRPr="00562071">
        <w:rPr>
          <w:sz w:val="24"/>
          <w:szCs w:val="24"/>
          <w:lang w:val="sk-SK"/>
        </w:rPr>
        <w:t xml:space="preserve">Nariadenie Európskeho parlamentu a Rady (EÚ) 2022/2065 z 19. októbra 2022 o jednotnom trhu s digitálnymi službami a o zmene smernice 2000/31/ES (Ú. v. EÚ L 277, 27.10.2022, s. </w:t>
      </w:r>
      <w:r w:rsidRPr="00562071">
        <w:rPr>
          <w:sz w:val="24"/>
          <w:szCs w:val="24"/>
          <w:lang w:val="sk-SK"/>
        </w:rPr>
        <w:t>1,</w:t>
      </w:r>
      <w:r w:rsidR="00C87FDC" w:rsidRPr="00562071">
        <w:rPr>
          <w:sz w:val="24"/>
          <w:szCs w:val="24"/>
          <w:lang w:val="sk-SK"/>
        </w:rPr>
        <w:t xml:space="preserve"> </w:t>
      </w:r>
      <w:r w:rsidRPr="00562071">
        <w:rPr>
          <w:sz w:val="24"/>
          <w:szCs w:val="24"/>
          <w:lang w:val="sk-SK"/>
        </w:rPr>
        <w:t xml:space="preserve">ELI: </w:t>
      </w:r>
      <w:hyperlink r:id="rId5" w:history="1">
        <w:r w:rsidRPr="00562071">
          <w:rPr>
            <w:rStyle w:val="Hyperlink"/>
            <w:sz w:val="24"/>
            <w:szCs w:val="24"/>
            <w:lang w:val="sk-SK"/>
          </w:rPr>
          <w:t>http://data.europa.eu/eli/reg/2022/2065/oj</w:t>
        </w:r>
      </w:hyperlink>
      <w:r w:rsidRPr="00562071">
        <w:rPr>
          <w:sz w:val="24"/>
          <w:szCs w:val="24"/>
          <w:lang w:val="sk-SK"/>
        </w:rPr>
        <w:t>).</w:t>
      </w:r>
    </w:p>
  </w:footnote>
  <w:footnote w:id="7">
    <w:p w14:paraId="0300C491" w14:textId="6192D38A" w:rsidR="00777B4D" w:rsidRPr="00715F49" w:rsidRDefault="00777B4D" w:rsidP="00715F49">
      <w:pPr>
        <w:pStyle w:val="FootnoteText"/>
        <w:ind w:left="567" w:hanging="567"/>
        <w:rPr>
          <w:sz w:val="24"/>
          <w:szCs w:val="24"/>
          <w:lang w:val="sk-SK"/>
        </w:rPr>
      </w:pPr>
      <w:r w:rsidRPr="00715F49">
        <w:rPr>
          <w:rStyle w:val="FootnoteReference"/>
          <w:sz w:val="24"/>
          <w:szCs w:val="24"/>
        </w:rPr>
        <w:footnoteRef/>
      </w:r>
      <w:r w:rsidRPr="00715F49">
        <w:rPr>
          <w:sz w:val="24"/>
          <w:szCs w:val="24"/>
          <w:lang w:val="sk-SK"/>
        </w:rPr>
        <w:t xml:space="preserve"> </w:t>
      </w:r>
      <w:r w:rsidRPr="00715F49">
        <w:rPr>
          <w:sz w:val="24"/>
          <w:szCs w:val="24"/>
          <w:lang w:val="sk-SK"/>
        </w:rPr>
        <w:tab/>
      </w:r>
      <w:hyperlink r:id="rId6" w:history="1">
        <w:r w:rsidRPr="00715F49">
          <w:rPr>
            <w:rStyle w:val="Hyperlink"/>
            <w:sz w:val="24"/>
            <w:szCs w:val="24"/>
            <w:lang w:val="sk-SK"/>
          </w:rPr>
          <w:t>https://pace.coe.int/en/files/33808/html</w:t>
        </w:r>
      </w:hyperlink>
      <w:r w:rsidRPr="00715F49">
        <w:rPr>
          <w:sz w:val="24"/>
          <w:szCs w:val="24"/>
          <w:lang w:val="sk-SK"/>
        </w:rPr>
        <w:t xml:space="preserve">, </w:t>
      </w:r>
      <w:hyperlink r:id="rId7" w:history="1">
        <w:r w:rsidRPr="00715F49">
          <w:rPr>
            <w:rStyle w:val="Hyperlink"/>
            <w:sz w:val="24"/>
            <w:szCs w:val="24"/>
            <w:lang w:val="sk-SK"/>
          </w:rPr>
          <w:t>https://www.thetablet.co.uk/news/bartholomew-accuses-russian-church-of-ethno-nationalist-heresy/</w:t>
        </w:r>
      </w:hyperlink>
      <w:r w:rsidRPr="00715F49">
        <w:rPr>
          <w:sz w:val="24"/>
          <w:szCs w:val="24"/>
          <w:lang w:val="sk-SK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BE22F3" w14:textId="77777777" w:rsidR="00064002" w:rsidRPr="000A164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01C720" w14:textId="77777777" w:rsidR="00064002" w:rsidRPr="000A164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B35B9A" w14:textId="77777777" w:rsidR="00064002" w:rsidRPr="000A164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301419033">
    <w:abstractNumId w:val="9"/>
  </w:num>
  <w:num w:numId="2" w16cid:durableId="1247574781">
    <w:abstractNumId w:val="9"/>
  </w:num>
  <w:num w:numId="3" w16cid:durableId="85730614">
    <w:abstractNumId w:val="7"/>
  </w:num>
  <w:num w:numId="4" w16cid:durableId="1265766217">
    <w:abstractNumId w:val="7"/>
  </w:num>
  <w:num w:numId="5" w16cid:durableId="120538392">
    <w:abstractNumId w:val="6"/>
  </w:num>
  <w:num w:numId="6" w16cid:durableId="203635646">
    <w:abstractNumId w:val="6"/>
  </w:num>
  <w:num w:numId="7" w16cid:durableId="141309383">
    <w:abstractNumId w:val="5"/>
  </w:num>
  <w:num w:numId="8" w16cid:durableId="1868133736">
    <w:abstractNumId w:val="5"/>
  </w:num>
  <w:num w:numId="9" w16cid:durableId="1750813519">
    <w:abstractNumId w:val="4"/>
  </w:num>
  <w:num w:numId="10" w16cid:durableId="170142527">
    <w:abstractNumId w:val="4"/>
  </w:num>
  <w:num w:numId="11" w16cid:durableId="1603488080">
    <w:abstractNumId w:val="8"/>
  </w:num>
  <w:num w:numId="12" w16cid:durableId="1217280747">
    <w:abstractNumId w:val="8"/>
  </w:num>
  <w:num w:numId="13" w16cid:durableId="510293583">
    <w:abstractNumId w:val="3"/>
  </w:num>
  <w:num w:numId="14" w16cid:durableId="1745176075">
    <w:abstractNumId w:val="3"/>
  </w:num>
  <w:num w:numId="15" w16cid:durableId="1119032359">
    <w:abstractNumId w:val="2"/>
  </w:num>
  <w:num w:numId="16" w16cid:durableId="1025326693">
    <w:abstractNumId w:val="2"/>
  </w:num>
  <w:num w:numId="17" w16cid:durableId="1959558526">
    <w:abstractNumId w:val="1"/>
  </w:num>
  <w:num w:numId="18" w16cid:durableId="907963790">
    <w:abstractNumId w:val="1"/>
  </w:num>
  <w:num w:numId="19" w16cid:durableId="653139815">
    <w:abstractNumId w:val="0"/>
  </w:num>
  <w:num w:numId="20" w16cid:durableId="1473865572">
    <w:abstractNumId w:val="0"/>
  </w:num>
  <w:num w:numId="21" w16cid:durableId="1292590419">
    <w:abstractNumId w:val="9"/>
  </w:num>
  <w:num w:numId="22" w16cid:durableId="515463367">
    <w:abstractNumId w:val="7"/>
  </w:num>
  <w:num w:numId="23" w16cid:durableId="1002321699">
    <w:abstractNumId w:val="6"/>
  </w:num>
  <w:num w:numId="24" w16cid:durableId="765611198">
    <w:abstractNumId w:val="5"/>
  </w:num>
  <w:num w:numId="25" w16cid:durableId="1334383470">
    <w:abstractNumId w:val="4"/>
  </w:num>
  <w:num w:numId="26" w16cid:durableId="982200657">
    <w:abstractNumId w:val="8"/>
  </w:num>
  <w:num w:numId="27" w16cid:durableId="955647863">
    <w:abstractNumId w:val="3"/>
  </w:num>
  <w:num w:numId="28" w16cid:durableId="784468865">
    <w:abstractNumId w:val="2"/>
  </w:num>
  <w:num w:numId="29" w16cid:durableId="2040932565">
    <w:abstractNumId w:val="1"/>
  </w:num>
  <w:num w:numId="30" w16cid:durableId="1053191770">
    <w:abstractNumId w:val="0"/>
  </w:num>
  <w:num w:numId="31" w16cid:durableId="81295969">
    <w:abstractNumId w:val="9"/>
  </w:num>
  <w:num w:numId="32" w16cid:durableId="376970315">
    <w:abstractNumId w:val="7"/>
  </w:num>
  <w:num w:numId="33" w16cid:durableId="529532419">
    <w:abstractNumId w:val="6"/>
  </w:num>
  <w:num w:numId="34" w16cid:durableId="1318530672">
    <w:abstractNumId w:val="5"/>
  </w:num>
  <w:num w:numId="35" w16cid:durableId="703942213">
    <w:abstractNumId w:val="4"/>
  </w:num>
  <w:num w:numId="36" w16cid:durableId="399520910">
    <w:abstractNumId w:val="8"/>
  </w:num>
  <w:num w:numId="37" w16cid:durableId="742794227">
    <w:abstractNumId w:val="3"/>
  </w:num>
  <w:num w:numId="38" w16cid:durableId="51002803">
    <w:abstractNumId w:val="2"/>
  </w:num>
  <w:num w:numId="39" w16cid:durableId="1127310993">
    <w:abstractNumId w:val="1"/>
  </w:num>
  <w:num w:numId="40" w16cid:durableId="1551647409">
    <w:abstractNumId w:val="0"/>
  </w:num>
  <w:num w:numId="41" w16cid:durableId="1432386419">
    <w:abstractNumId w:val="10"/>
  </w:num>
  <w:num w:numId="42" w16cid:durableId="445537669">
    <w:abstractNumId w:val="10"/>
  </w:num>
  <w:num w:numId="43" w16cid:durableId="762915899">
    <w:abstractNumId w:val="10"/>
  </w:num>
  <w:num w:numId="44" w16cid:durableId="103909052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355, 0357, 0356, 0359 a 0361/2025"/>
    <w:docVar w:name="dvlangue" w:val="SK"/>
    <w:docVar w:name="dvnumam" w:val="0"/>
    <w:docVar w:name="dvpe" w:val="776.179"/>
    <w:docVar w:name="dvtitre" w:val="Uznesenie Európskeho parlamentu z xx. septembra 2025 o posilnení odolnosti Moldavska voči ruským hybridným hrozbám a škodlivému zasahovaniu(2025/2811(RSP))"/>
  </w:docVars>
  <w:rsids>
    <w:rsidRoot w:val="00730578"/>
    <w:rsid w:val="00002272"/>
    <w:rsid w:val="00064002"/>
    <w:rsid w:val="000677B9"/>
    <w:rsid w:val="000831BA"/>
    <w:rsid w:val="000A1644"/>
    <w:rsid w:val="000A42CC"/>
    <w:rsid w:val="000E7DD9"/>
    <w:rsid w:val="0010095E"/>
    <w:rsid w:val="00125B37"/>
    <w:rsid w:val="001578AA"/>
    <w:rsid w:val="00187494"/>
    <w:rsid w:val="001F32AE"/>
    <w:rsid w:val="002767FF"/>
    <w:rsid w:val="002B18FE"/>
    <w:rsid w:val="002B319E"/>
    <w:rsid w:val="002B5493"/>
    <w:rsid w:val="00335B60"/>
    <w:rsid w:val="00343214"/>
    <w:rsid w:val="00344885"/>
    <w:rsid w:val="00361C00"/>
    <w:rsid w:val="00395FA1"/>
    <w:rsid w:val="003E15D4"/>
    <w:rsid w:val="00411CCE"/>
    <w:rsid w:val="0041666E"/>
    <w:rsid w:val="00421060"/>
    <w:rsid w:val="0046708B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62071"/>
    <w:rsid w:val="005C2568"/>
    <w:rsid w:val="005F1B17"/>
    <w:rsid w:val="006037C0"/>
    <w:rsid w:val="006631B6"/>
    <w:rsid w:val="00680577"/>
    <w:rsid w:val="006F74FA"/>
    <w:rsid w:val="00715F49"/>
    <w:rsid w:val="00730578"/>
    <w:rsid w:val="00731ADD"/>
    <w:rsid w:val="00734777"/>
    <w:rsid w:val="00747932"/>
    <w:rsid w:val="00751A4A"/>
    <w:rsid w:val="00756632"/>
    <w:rsid w:val="00762C74"/>
    <w:rsid w:val="00777B4D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A19E0"/>
    <w:rsid w:val="00BD48FE"/>
    <w:rsid w:val="00BD7BD8"/>
    <w:rsid w:val="00BE6ADC"/>
    <w:rsid w:val="00C05BFE"/>
    <w:rsid w:val="00C23CD4"/>
    <w:rsid w:val="00C61C0C"/>
    <w:rsid w:val="00C87FDC"/>
    <w:rsid w:val="00C941CB"/>
    <w:rsid w:val="00CC2357"/>
    <w:rsid w:val="00CE2DFF"/>
    <w:rsid w:val="00CF071A"/>
    <w:rsid w:val="00D058B8"/>
    <w:rsid w:val="00D56C11"/>
    <w:rsid w:val="00D601EF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4997"/>
    <w:rsid w:val="00F075DC"/>
    <w:rsid w:val="00F0790F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BE9A243"/>
  <w15:chartTrackingRefBased/>
  <w15:docId w15:val="{27E0EE33-30CB-47B4-B773-AC23AA57E9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4_G,Footnote,text,Footnotes refss,Footnote number,Fago Fußnotenzeichen,Footnote Ref,16 Point,Superscript 6 Point,Fago Fu?notenzeichen,Fago Fuﬂnotenzeichen,ftref,a Footnote Reference,FZ,Appel note de bas de page,Ref FNs Char,[0],[,Ref"/>
    <w:link w:val="ENFootnoteReference"/>
    <w:qFormat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2B319E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2B319E"/>
    <w:pPr>
      <w:spacing w:before="480" w:after="240"/>
    </w:pPr>
  </w:style>
  <w:style w:type="character" w:customStyle="1" w:styleId="EPCommaChar">
    <w:name w:val="EPComma Char"/>
    <w:basedOn w:val="DefaultParagraphFont"/>
    <w:link w:val="EPComma"/>
    <w:rsid w:val="002B319E"/>
    <w:rPr>
      <w:sz w:val="24"/>
      <w:lang w:val="sk-SK"/>
    </w:rPr>
  </w:style>
  <w:style w:type="character" w:customStyle="1" w:styleId="NormalHanging12aChar">
    <w:name w:val="NormalHanging12a Char"/>
    <w:basedOn w:val="DefaultParagraphFont"/>
    <w:link w:val="NormalHanging12a"/>
    <w:locked/>
    <w:rsid w:val="002B319E"/>
    <w:rPr>
      <w:sz w:val="24"/>
      <w:lang w:val="sk-SK"/>
    </w:rPr>
  </w:style>
  <w:style w:type="paragraph" w:customStyle="1" w:styleId="ENFootnoteReference">
    <w:name w:val="EN Footnote Reference"/>
    <w:aliases w:val="-E Fußnotenzeichen,number,SUPERS,BVI fnr תו Char Char Char,BVI fnr Car Car תו Char Char Char,BVI fnr Car תו Char Char Char,BVI fn"/>
    <w:basedOn w:val="Normal"/>
    <w:link w:val="FootnoteReference"/>
    <w:rsid w:val="002B319E"/>
    <w:pPr>
      <w:widowControl/>
      <w:spacing w:after="160" w:line="240" w:lineRule="exact"/>
    </w:pPr>
    <w:rPr>
      <w:sz w:val="20"/>
      <w:vertAlign w:val="superscript"/>
      <w:lang w:val="en-GB"/>
    </w:rPr>
  </w:style>
  <w:style w:type="character" w:styleId="Hyperlink">
    <w:name w:val="Hyperlink"/>
    <w:basedOn w:val="DefaultParagraphFont"/>
    <w:uiPriority w:val="99"/>
    <w:unhideWhenUsed/>
    <w:rsid w:val="002B319E"/>
    <w:rPr>
      <w:color w:val="0000FF"/>
      <w:u w:val="single"/>
    </w:rPr>
  </w:style>
  <w:style w:type="character" w:customStyle="1" w:styleId="highlight-diff">
    <w:name w:val="highlight-diff"/>
    <w:basedOn w:val="DefaultParagraphFont"/>
    <w:rsid w:val="002B319E"/>
  </w:style>
  <w:style w:type="character" w:styleId="Strong">
    <w:name w:val="Strong"/>
    <w:basedOn w:val="DefaultParagraphFont"/>
    <w:uiPriority w:val="22"/>
    <w:qFormat/>
    <w:rsid w:val="002B319E"/>
    <w:rPr>
      <w:b/>
      <w:bCs/>
    </w:rPr>
  </w:style>
  <w:style w:type="paragraph" w:styleId="Revision">
    <w:name w:val="Revision"/>
    <w:hidden/>
    <w:uiPriority w:val="99"/>
    <w:semiHidden/>
    <w:rsid w:val="00C87FDC"/>
    <w:rPr>
      <w:sz w:val="24"/>
      <w:lang w:val="sk-SK"/>
    </w:rPr>
  </w:style>
  <w:style w:type="character" w:styleId="UnresolvedMention">
    <w:name w:val="Unresolved Mention"/>
    <w:basedOn w:val="DefaultParagraphFont"/>
    <w:uiPriority w:val="99"/>
    <w:semiHidden/>
    <w:unhideWhenUsed/>
    <w:rsid w:val="00C87FD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zdg.md/en/kremlins-digital-army-an-undercover-investigation-its-paid-let-me-tell-you-its-paid-directly-from-moscow/" TargetMode="External"/><Relationship Id="rId7" Type="http://schemas.openxmlformats.org/officeDocument/2006/relationships/hyperlink" Target="https://www.thetablet.co.uk/news/bartholomew-accuses-russian-church-of-ethno-nationalist-heresy/" TargetMode="External"/><Relationship Id="rId2" Type="http://schemas.openxmlformats.org/officeDocument/2006/relationships/hyperlink" Target="http://data.europa.eu/eli/agree_internation/2014/492/oj" TargetMode="External"/><Relationship Id="rId1" Type="http://schemas.openxmlformats.org/officeDocument/2006/relationships/hyperlink" Target="http://data.europa.eu/eli/C/2025/204/oj" TargetMode="External"/><Relationship Id="rId6" Type="http://schemas.openxmlformats.org/officeDocument/2006/relationships/hyperlink" Target="https://pace.coe.int/en/files/33808/html" TargetMode="External"/><Relationship Id="rId5" Type="http://schemas.openxmlformats.org/officeDocument/2006/relationships/hyperlink" Target="http://data.europa.eu/eli/reg/2022/2065/oj" TargetMode="External"/><Relationship Id="rId4" Type="http://schemas.openxmlformats.org/officeDocument/2006/relationships/hyperlink" Target="http://data.europa.eu/eli/reg/2022/1925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2650</Words>
  <Characters>17183</Characters>
  <Application>Microsoft Office Word</Application>
  <DocSecurity>0</DocSecurity>
  <Lines>781</Lines>
  <Paragraphs>440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SOLTYSOVA Zuzana</cp:lastModifiedBy>
  <cp:revision>2</cp:revision>
  <cp:lastPrinted>2004-11-19T15:42:00Z</cp:lastPrinted>
  <dcterms:created xsi:type="dcterms:W3CDTF">2025-09-10T15:28:00Z</dcterms:created>
  <dcterms:modified xsi:type="dcterms:W3CDTF">2025-09-10T15:28:00Z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B10-0355, 0357, 0356, 0359 a 0361/2025</vt:lpwstr>
  </property>
  <property fmtid="{D5CDD505-2E9C-101B-9397-08002B2CF9AE}" pid="4" name="&lt;Type&gt;">
    <vt:lpwstr>RR</vt:lpwstr>
  </property>
</Properties>
</file>