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B34A2" w14:paraId="2911ABBA" w14:textId="77777777" w:rsidTr="0010095E">
        <w:trPr>
          <w:trHeight w:hRule="exact" w:val="1418"/>
        </w:trPr>
        <w:tc>
          <w:tcPr>
            <w:tcW w:w="6804" w:type="dxa"/>
            <w:shd w:val="clear" w:color="auto" w:fill="auto"/>
            <w:vAlign w:val="center"/>
          </w:tcPr>
          <w:p w14:paraId="275FF8EA" w14:textId="77777777" w:rsidR="00751A4A" w:rsidRPr="002B34A2" w:rsidRDefault="00CD2D3B" w:rsidP="0010095E">
            <w:pPr>
              <w:pStyle w:val="EPName"/>
            </w:pPr>
            <w:r w:rsidRPr="002B34A2">
              <w:t>Evropski parlament</w:t>
            </w:r>
          </w:p>
          <w:p w14:paraId="27DCE7CD" w14:textId="77777777" w:rsidR="00751A4A" w:rsidRPr="002B34A2" w:rsidRDefault="005F1B17" w:rsidP="005F1B17">
            <w:pPr>
              <w:pStyle w:val="EPTerm"/>
              <w:rPr>
                <w:rStyle w:val="HideTWBExt"/>
                <w:noProof w:val="0"/>
                <w:vanish w:val="0"/>
                <w:color w:val="auto"/>
              </w:rPr>
            </w:pPr>
            <w:r w:rsidRPr="002B34A2">
              <w:t>2024</w:t>
            </w:r>
            <w:r w:rsidR="00817416" w:rsidRPr="002B34A2">
              <w:t>-202</w:t>
            </w:r>
            <w:r w:rsidRPr="002B34A2">
              <w:t>9</w:t>
            </w:r>
          </w:p>
        </w:tc>
        <w:tc>
          <w:tcPr>
            <w:tcW w:w="2268" w:type="dxa"/>
            <w:shd w:val="clear" w:color="auto" w:fill="auto"/>
          </w:tcPr>
          <w:p w14:paraId="60B55F30" w14:textId="77777777" w:rsidR="00751A4A" w:rsidRPr="002B34A2" w:rsidRDefault="00187494" w:rsidP="0010095E">
            <w:pPr>
              <w:pStyle w:val="EPLogo"/>
            </w:pPr>
            <w:r w:rsidRPr="002B34A2">
              <w:rPr>
                <w:noProof/>
                <w:lang w:eastAsia="ja-JP"/>
              </w:rPr>
              <w:drawing>
                <wp:inline distT="0" distB="0" distL="0" distR="0" wp14:anchorId="01C0B082" wp14:editId="584009A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5F5B8A4" w14:textId="77777777" w:rsidR="00D058B8" w:rsidRPr="002B34A2" w:rsidRDefault="00D058B8" w:rsidP="004C5D52">
      <w:pPr>
        <w:pStyle w:val="LineTop"/>
      </w:pPr>
    </w:p>
    <w:p w14:paraId="5EB93CA6" w14:textId="77777777" w:rsidR="00680577" w:rsidRPr="002B34A2" w:rsidRDefault="00CD2D3B" w:rsidP="00680577">
      <w:pPr>
        <w:pStyle w:val="EPBodyTA1"/>
      </w:pPr>
      <w:r w:rsidRPr="002B34A2">
        <w:t>SPREJETA BESEDILA</w:t>
      </w:r>
    </w:p>
    <w:p w14:paraId="03589AAE" w14:textId="77777777" w:rsidR="00D058B8" w:rsidRPr="002B34A2" w:rsidRDefault="00D058B8" w:rsidP="00D058B8">
      <w:pPr>
        <w:pStyle w:val="LineBottom"/>
      </w:pPr>
    </w:p>
    <w:p w14:paraId="7932A7AD" w14:textId="7F68692F" w:rsidR="00CD2D3B" w:rsidRPr="002B34A2" w:rsidRDefault="00CD2D3B" w:rsidP="00CD2D3B">
      <w:pPr>
        <w:pStyle w:val="ATHeading1"/>
      </w:pPr>
      <w:bookmarkStart w:id="0" w:name="TANumber"/>
      <w:r w:rsidRPr="002B34A2">
        <w:t>P10_TA(2025)</w:t>
      </w:r>
      <w:bookmarkEnd w:id="0"/>
      <w:r w:rsidR="003251ED">
        <w:t>0191</w:t>
      </w:r>
    </w:p>
    <w:p w14:paraId="275786F8" w14:textId="7E4D5D08" w:rsidR="00CD2D3B" w:rsidRPr="002B34A2" w:rsidRDefault="0076497F" w:rsidP="00CD2D3B">
      <w:pPr>
        <w:pStyle w:val="ATHeading2"/>
      </w:pPr>
      <w:r w:rsidRPr="0076497F">
        <w:t>Krepitev odpornosti Moldavije proti ruskim hibridnim grožnjam in zlonamernemu vmešavanju</w:t>
      </w:r>
    </w:p>
    <w:p w14:paraId="63E199F4" w14:textId="21A807D3" w:rsidR="00CD2D3B" w:rsidRPr="002B34A2" w:rsidRDefault="00CD2D3B" w:rsidP="00CD2D3B">
      <w:pPr>
        <w:rPr>
          <w:i/>
          <w:vanish/>
        </w:rPr>
      </w:pPr>
      <w:r w:rsidRPr="002B34A2">
        <w:rPr>
          <w:i/>
        </w:rPr>
        <w:fldChar w:fldCharType="begin"/>
      </w:r>
      <w:r w:rsidRPr="002B34A2">
        <w:rPr>
          <w:i/>
        </w:rPr>
        <w:instrText xml:space="preserve"> TC"(</w:instrText>
      </w:r>
      <w:bookmarkStart w:id="1" w:name="DocNumber"/>
      <w:r w:rsidRPr="002B34A2">
        <w:rPr>
          <w:i/>
        </w:rPr>
        <w:instrText>B10-0355, 0356, 0357, 0359 in 0361/2025</w:instrText>
      </w:r>
      <w:bookmarkEnd w:id="1"/>
      <w:r w:rsidRPr="002B34A2">
        <w:rPr>
          <w:i/>
        </w:rPr>
        <w:instrText xml:space="preserve">)"\l3 \n&gt; \* MERGEFORMAT </w:instrText>
      </w:r>
      <w:r w:rsidRPr="002B34A2">
        <w:rPr>
          <w:i/>
        </w:rPr>
        <w:fldChar w:fldCharType="end"/>
      </w:r>
    </w:p>
    <w:p w14:paraId="60DC18E1" w14:textId="77777777" w:rsidR="00CD2D3B" w:rsidRPr="002B34A2" w:rsidRDefault="00CD2D3B" w:rsidP="00CD2D3B">
      <w:pPr>
        <w:rPr>
          <w:vanish/>
        </w:rPr>
      </w:pPr>
      <w:bookmarkStart w:id="2" w:name="PE"/>
      <w:r w:rsidRPr="002B34A2">
        <w:rPr>
          <w:vanish/>
        </w:rPr>
        <w:t>PE776.179</w:t>
      </w:r>
      <w:bookmarkEnd w:id="2"/>
    </w:p>
    <w:p w14:paraId="76B35783" w14:textId="6C5EB332" w:rsidR="00CD2D3B" w:rsidRPr="002B34A2" w:rsidRDefault="00CD2D3B" w:rsidP="00CD2D3B">
      <w:pPr>
        <w:pStyle w:val="ATHeading3"/>
      </w:pPr>
      <w:bookmarkStart w:id="3" w:name="Sujet"/>
      <w:r w:rsidRPr="002B34A2">
        <w:t xml:space="preserve">Resolucija Evropskega parlamenta z dne </w:t>
      </w:r>
      <w:r w:rsidR="00E869DA">
        <w:t>10. septembra</w:t>
      </w:r>
      <w:r w:rsidRPr="002B34A2">
        <w:t xml:space="preserve"> 2025 o krepitvi odpornosti Moldavije proti ruskim hibridnim grožnjam in zlonamernemu vmešavanju</w:t>
      </w:r>
      <w:bookmarkEnd w:id="3"/>
      <w:r w:rsidRPr="002B34A2">
        <w:t xml:space="preserve"> </w:t>
      </w:r>
      <w:bookmarkStart w:id="4" w:name="References"/>
      <w:r w:rsidRPr="002B34A2">
        <w:t>(2025/2811(RSP))</w:t>
      </w:r>
      <w:bookmarkEnd w:id="4"/>
    </w:p>
    <w:p w14:paraId="16F02B00" w14:textId="77777777" w:rsidR="00D87AE2" w:rsidRPr="002B34A2" w:rsidRDefault="00D87AE2" w:rsidP="00D87AE2">
      <w:pPr>
        <w:pStyle w:val="EPComma"/>
      </w:pPr>
      <w:bookmarkStart w:id="5" w:name="TextBodyBegin"/>
      <w:bookmarkEnd w:id="5"/>
      <w:r w:rsidRPr="002B34A2">
        <w:rPr>
          <w:i/>
        </w:rPr>
        <w:t>Evropski parlament</w:t>
      </w:r>
      <w:r w:rsidRPr="002B34A2">
        <w:t>,</w:t>
      </w:r>
    </w:p>
    <w:p w14:paraId="16AE5194" w14:textId="77777777" w:rsidR="00D87AE2" w:rsidRPr="002B34A2" w:rsidRDefault="00D87AE2" w:rsidP="00D87AE2">
      <w:pPr>
        <w:pStyle w:val="NormalHanging12a"/>
      </w:pPr>
      <w:r w:rsidRPr="002B34A2">
        <w:t>–</w:t>
      </w:r>
      <w:r w:rsidRPr="002B34A2">
        <w:tab/>
        <w:t>ob upoštevanju svojih prejšnjih resolucij o Moldaviji, zlasti resolucije z dne 18. junija 2025 o poročilih Komisije o Moldaviji za leti 2023 in 2024</w:t>
      </w:r>
      <w:r w:rsidRPr="002B34A2">
        <w:rPr>
          <w:vertAlign w:val="superscript"/>
        </w:rPr>
        <w:footnoteReference w:id="1"/>
      </w:r>
      <w:r w:rsidRPr="002B34A2">
        <w:t xml:space="preserve"> ter resolucije z dne 9. oktobra 2024 o povečanju odpornosti Moldavije proti ruskemu vmešavanju pred bližajočimi se predsedniškimi volitvami in ustavnem referendumu o vstopu v EU</w:t>
      </w:r>
      <w:r w:rsidRPr="002B34A2">
        <w:rPr>
          <w:vertAlign w:val="superscript"/>
        </w:rPr>
        <w:footnoteReference w:id="2"/>
      </w:r>
      <w:r w:rsidRPr="002B34A2">
        <w:t>,</w:t>
      </w:r>
    </w:p>
    <w:p w14:paraId="387C658B" w14:textId="77777777" w:rsidR="00D87AE2" w:rsidRPr="002B34A2" w:rsidRDefault="00D87AE2" w:rsidP="00D87AE2">
      <w:pPr>
        <w:pStyle w:val="NormalHanging12a"/>
      </w:pPr>
      <w:r w:rsidRPr="002B34A2">
        <w:t>–</w:t>
      </w:r>
      <w:r w:rsidRPr="002B34A2">
        <w:tab/>
        <w:t>ob upoštevanju pridružitvenega sporazuma med Evropsko unijo in Evropsko skupnostjo za atomsko energijo in njunimi državami članicami na eni strani ter Republiko Moldavijo na drugi strani</w:t>
      </w:r>
      <w:r w:rsidRPr="002B34A2">
        <w:rPr>
          <w:vertAlign w:val="superscript"/>
        </w:rPr>
        <w:footnoteReference w:id="3"/>
      </w:r>
      <w:r w:rsidRPr="002B34A2">
        <w:t>, ki vključuje poglobljeno in celovito območje proste trgovine,</w:t>
      </w:r>
    </w:p>
    <w:p w14:paraId="175069FA" w14:textId="77777777" w:rsidR="00D87AE2" w:rsidRPr="002B34A2" w:rsidRDefault="00D87AE2" w:rsidP="00D87AE2">
      <w:pPr>
        <w:pStyle w:val="NormalHanging12a"/>
      </w:pPr>
      <w:r w:rsidRPr="002B34A2">
        <w:t>–</w:t>
      </w:r>
      <w:r w:rsidRPr="002B34A2">
        <w:tab/>
        <w:t>ob upoštevanju sklepov Evropskega sveta z dne 27. junija 2025 o Moldaviji,</w:t>
      </w:r>
    </w:p>
    <w:p w14:paraId="02FE658E" w14:textId="77777777" w:rsidR="00D87AE2" w:rsidRPr="002B34A2" w:rsidRDefault="00D87AE2" w:rsidP="00D87AE2">
      <w:pPr>
        <w:pStyle w:val="NormalHanging12a"/>
      </w:pPr>
      <w:r w:rsidRPr="002B34A2">
        <w:t>–</w:t>
      </w:r>
      <w:r w:rsidRPr="002B34A2">
        <w:tab/>
        <w:t>ob upoštevanju, da so Moldavijo 27. avgusta 2025 obiskali trije voditelji držav ali vlad EU, in sicer Francije, Nemčije in Poljske, 31. avgusta 2025 pa jo je obiskal še romunski predsednik,</w:t>
      </w:r>
    </w:p>
    <w:p w14:paraId="748AA1DE" w14:textId="77777777" w:rsidR="00D87AE2" w:rsidRPr="002B34A2" w:rsidRDefault="00D87AE2" w:rsidP="00D87AE2">
      <w:pPr>
        <w:pStyle w:val="NormalHanging12a"/>
      </w:pPr>
      <w:r w:rsidRPr="002B34A2">
        <w:t>–</w:t>
      </w:r>
      <w:r w:rsidRPr="002B34A2">
        <w:tab/>
        <w:t>ob upoštevanju nagovora predsednice Republike Moldavije v Evropskem parlamentu 9. septembra 2025,</w:t>
      </w:r>
    </w:p>
    <w:p w14:paraId="0570C514" w14:textId="77777777" w:rsidR="00D87AE2" w:rsidRPr="002B34A2" w:rsidRDefault="00D87AE2" w:rsidP="00D87AE2">
      <w:pPr>
        <w:pStyle w:val="NormalHanging12a"/>
      </w:pPr>
      <w:r w:rsidRPr="002B34A2">
        <w:t>–</w:t>
      </w:r>
      <w:r w:rsidRPr="002B34A2">
        <w:tab/>
        <w:t>ob upoštevanju izjave, ki sta jo po prvem vrhu 4. julija 2025 skupaj podali Republika Moldavija in EU,</w:t>
      </w:r>
    </w:p>
    <w:p w14:paraId="52454B62" w14:textId="77777777" w:rsidR="00D87AE2" w:rsidRPr="002B34A2" w:rsidRDefault="00D87AE2" w:rsidP="00D87AE2">
      <w:pPr>
        <w:pStyle w:val="NormalHanging12a"/>
      </w:pPr>
      <w:r w:rsidRPr="002B34A2">
        <w:t>–</w:t>
      </w:r>
      <w:r w:rsidRPr="002B34A2">
        <w:tab/>
        <w:t>ob upoštevanju, da je Moldavijo 9. maja 2025 (na dan Evrope) obiskala komisarka za širitev,</w:t>
      </w:r>
    </w:p>
    <w:p w14:paraId="4769D481" w14:textId="77777777" w:rsidR="00D87AE2" w:rsidRPr="002B34A2" w:rsidRDefault="00D87AE2" w:rsidP="00D87AE2">
      <w:pPr>
        <w:pStyle w:val="NormalHanging12a"/>
      </w:pPr>
      <w:r w:rsidRPr="002B34A2">
        <w:lastRenderedPageBreak/>
        <w:t>–</w:t>
      </w:r>
      <w:r w:rsidRPr="002B34A2">
        <w:tab/>
        <w:t>ob upoštevanju člena 136(2) in 136(4) Poslovnika,</w:t>
      </w:r>
    </w:p>
    <w:p w14:paraId="420A33E7" w14:textId="77777777" w:rsidR="00D87AE2" w:rsidRPr="002B34A2" w:rsidRDefault="00D87AE2" w:rsidP="00D87AE2">
      <w:pPr>
        <w:pStyle w:val="NormalHanging12a"/>
      </w:pPr>
      <w:r w:rsidRPr="002B34A2">
        <w:t>A.</w:t>
      </w:r>
      <w:r w:rsidRPr="002B34A2">
        <w:tab/>
        <w:t>ker bodo 28. septembra 2025 v Republiki Moldaviji potekale parlamentarne volitve, ki bodo odločilne z vidika nadaljnjega utrjevanja demokracije in nadaljnjega napredka države v smeri pristopa k EU ter njene prihodnosti kot svobodne in suverene demokracije, ki bo del EU; ker te parlamentarne volitve potekajo v kontekstu, ki ga zaznamuje nenehno vmešavanje Rusije, ki tudi skuša destabilizirati politično okolje in demokratične volilne procese v državi;</w:t>
      </w:r>
    </w:p>
    <w:p w14:paraId="1C75F2FF" w14:textId="77777777" w:rsidR="00D87AE2" w:rsidRPr="002B34A2" w:rsidRDefault="00D87AE2" w:rsidP="00D87AE2">
      <w:pPr>
        <w:pStyle w:val="NormalHanging12a"/>
      </w:pPr>
      <w:r w:rsidRPr="002B34A2">
        <w:t>B.</w:t>
      </w:r>
      <w:r w:rsidRPr="002B34A2">
        <w:tab/>
        <w:t xml:space="preserve">ker je Moldavija 20. oktobra 2024 izvedla referendum, na katerem so potrdili, da bo pristop k EU vključen v njeno ustavo, in to kljub poskusom Rusije, da bi z manipulativnim vmešavanjem brez primere državo destabilizirala, tako da je med drugim nezakonito financirala politične akterje in izvajala </w:t>
      </w:r>
      <w:proofErr w:type="spellStart"/>
      <w:r w:rsidRPr="002B34A2">
        <w:t>dezinformacijske</w:t>
      </w:r>
      <w:proofErr w:type="spellEnd"/>
      <w:r w:rsidRPr="002B34A2">
        <w:t xml:space="preserve"> kampanje in kibernetske napade;</w:t>
      </w:r>
    </w:p>
    <w:p w14:paraId="73F7DE73" w14:textId="77777777" w:rsidR="00D87AE2" w:rsidRPr="002B34A2" w:rsidRDefault="00D87AE2" w:rsidP="00D87AE2">
      <w:pPr>
        <w:pStyle w:val="NormalHanging12a"/>
        <w:rPr>
          <w:i/>
          <w:iCs/>
        </w:rPr>
      </w:pPr>
      <w:r w:rsidRPr="002B34A2">
        <w:t>C.</w:t>
      </w:r>
      <w:r w:rsidRPr="002B34A2">
        <w:tab/>
        <w:t>ker obstajajo številna poročila, da Rusija in ruski posredniki ponovno in še intenzivneje skušajo širiti dezinformacije ter destabilizirati državo in se vmešavati vanjo, da bi spodnesli moldavski proces demokratičnih reform in proces evropskega povezovanja, si povrnili politični nadzor nad njim in izpopolnili hibridne taktike proti Moldaviji, Ukrajini in drugim evropskim državam, kot na primer nedavno proti Romuniji;</w:t>
      </w:r>
    </w:p>
    <w:p w14:paraId="071DDC5D" w14:textId="77777777" w:rsidR="00D87AE2" w:rsidRPr="002B34A2" w:rsidRDefault="00D87AE2" w:rsidP="00D87AE2">
      <w:pPr>
        <w:pStyle w:val="NormalHanging12a"/>
      </w:pPr>
      <w:r w:rsidRPr="002B34A2">
        <w:t>D.</w:t>
      </w:r>
      <w:r w:rsidRPr="002B34A2">
        <w:tab/>
        <w:t>ker je predsednica Maia Sandu po seji vrhovnega varnostnega sveta 30. julija 2025 predstavila ugotovitve moldavskih specializiranih institucij o metodah hibridnega vojskovanja, v katerih so opredelile deset glavnih instrumentov, ki jih tuji akterji uporabljajo za vmešavanje v moldavske volilne in politične procese;</w:t>
      </w:r>
    </w:p>
    <w:p w14:paraId="1F9B958F" w14:textId="77777777" w:rsidR="00D87AE2" w:rsidRPr="002B34A2" w:rsidRDefault="00D87AE2" w:rsidP="00D87AE2">
      <w:pPr>
        <w:pStyle w:val="NormalHanging12a"/>
      </w:pPr>
      <w:r w:rsidRPr="002B34A2">
        <w:t>E.</w:t>
      </w:r>
      <w:r w:rsidRPr="002B34A2">
        <w:tab/>
        <w:t xml:space="preserve">ker je Evropska unija 15. julija 2025 uvedla sankcije </w:t>
      </w:r>
      <w:r w:rsidRPr="00E869DA">
        <w:t>proti sedmim posameznikom in trem subjektom, ki so skušali destabilizirati, oslabiti ali ogroziti suverenost</w:t>
      </w:r>
      <w:r w:rsidRPr="002B34A2">
        <w:t xml:space="preserve"> in neodvisnost Moldavije ter njeno demokracijo, pravno državo in stabilnost; ker so te sankcije usmerjene proti tesnim sodelavcem Ilana </w:t>
      </w:r>
      <w:proofErr w:type="spellStart"/>
      <w:r w:rsidRPr="002B34A2">
        <w:t>Șora</w:t>
      </w:r>
      <w:proofErr w:type="spellEnd"/>
      <w:r w:rsidRPr="002B34A2">
        <w:t xml:space="preserve"> in njegove prepovedane stranke ȘOR, tj. osebam, ki dejavno sodelujejo pri kupovanju glasov in podkupovanju koruptivnih politikov;</w:t>
      </w:r>
    </w:p>
    <w:p w14:paraId="2EC54426" w14:textId="77777777" w:rsidR="00D87AE2" w:rsidRPr="002B34A2" w:rsidRDefault="00D87AE2" w:rsidP="00D87AE2">
      <w:pPr>
        <w:pStyle w:val="NormalHanging12a"/>
      </w:pPr>
      <w:r w:rsidRPr="002B34A2">
        <w:t>F.</w:t>
      </w:r>
      <w:r w:rsidRPr="002B34A2">
        <w:tab/>
        <w:t>ker imajo moldavska civilna družba in neodvisni mediji ključno vlogo pri razkrivanju dezinformacij, krepitvi odpornosti in zaščiti demokratičnih vrednot; ker je Republiki Moldaviji uspelo dodobra utrditi svojo demokracijo, napredovati na poti reform in poglobiti odnose z EU; ker se izboljšave demokratičnega sistema države kažejo v njeni boljši uvrstitvi na več mednarodnih indeksih; ker je Moldavija dosegla opazen napredek pri pravosodnih reformah, tudi na področju preverjanja in prestrukturiranja sodstva, krepitve njegove neodvisnosti in izboljšanja protikorupcijskih predpisov; ker je nujno, da javnost zaupa v demokratične institucije, če naj bo Moldavija stabilna in odporna proti zlonamernemu vmešavanju;</w:t>
      </w:r>
    </w:p>
    <w:p w14:paraId="399841D1" w14:textId="0CE9AEEA" w:rsidR="006B34A0" w:rsidRDefault="006B34A0" w:rsidP="00D87AE2">
      <w:pPr>
        <w:pStyle w:val="NormalHanging12a"/>
      </w:pPr>
      <w:r>
        <w:t>G.</w:t>
      </w:r>
      <w:r>
        <w:tab/>
      </w:r>
      <w:r w:rsidRPr="006B34A0">
        <w:t xml:space="preserve">ker je nedavna novinarska preiskava, ki je temeljila na tajni infiltraciji novinarja v mrežo stranke ȘOR na začetku leta 2024, pokazala, da je bilo za razširjanje ruske propagande na platformah </w:t>
      </w:r>
      <w:proofErr w:type="spellStart"/>
      <w:r w:rsidRPr="006B34A0">
        <w:t>TikTok</w:t>
      </w:r>
      <w:proofErr w:type="spellEnd"/>
      <w:r w:rsidRPr="006B34A0">
        <w:t xml:space="preserve"> in Facebook vzpostavljenih več sto lažnih računov, s katerimi so upravljali aktivisti iz političnega bloka „</w:t>
      </w:r>
      <w:proofErr w:type="spellStart"/>
      <w:r w:rsidRPr="006B34A0">
        <w:t>Victory</w:t>
      </w:r>
      <w:proofErr w:type="spellEnd"/>
      <w:r w:rsidRPr="006B34A0">
        <w:t xml:space="preserve">“, ki ga iz Moskve nadzira Ilan </w:t>
      </w:r>
      <w:proofErr w:type="spellStart"/>
      <w:r w:rsidRPr="006B34A0">
        <w:t>Șor</w:t>
      </w:r>
      <w:proofErr w:type="spellEnd"/>
      <w:r w:rsidRPr="006B34A0">
        <w:t xml:space="preserve">; ker so se te protievropske vsebine, ki so bile popolnoma usklajene s kremeljskim diskurzom, sistematično spremljale in usklajevale prek skrivnih skupin in </w:t>
      </w:r>
      <w:r w:rsidRPr="006B34A0">
        <w:lastRenderedPageBreak/>
        <w:t>kanalov na platformi Telegram</w:t>
      </w:r>
      <w:r>
        <w:rPr>
          <w:rStyle w:val="FootnoteReference"/>
        </w:rPr>
        <w:footnoteReference w:id="4"/>
      </w:r>
      <w:r>
        <w:t>;</w:t>
      </w:r>
    </w:p>
    <w:p w14:paraId="60D43E4B" w14:textId="71EE592A" w:rsidR="00D87AE2" w:rsidRPr="002B34A2" w:rsidRDefault="006B34A0" w:rsidP="00D87AE2">
      <w:pPr>
        <w:pStyle w:val="NormalHanging12a"/>
      </w:pPr>
      <w:r>
        <w:t>H</w:t>
      </w:r>
      <w:r w:rsidR="00D87AE2" w:rsidRPr="002B34A2">
        <w:t>.</w:t>
      </w:r>
      <w:r w:rsidR="00D87AE2" w:rsidRPr="002B34A2">
        <w:tab/>
        <w:t>ker je pomembno javno pokazati neomajno solidarnost z moldavskim ljudstvom, ki zelo trpi zaradi posledic, ki jih ima ruska vojaška agresija proti Ukrajini, pa tudi zaradi nenehnih, ciljno usmerjenih ruskih hibridnih groženj, katerih cilj je politično destabilizirati državo, ogroziti njeno gospodarsko blaginjo in oslabiti njeno socialno kohezijo;</w:t>
      </w:r>
    </w:p>
    <w:p w14:paraId="4966B0F1" w14:textId="5FDF81F6" w:rsidR="00D87AE2" w:rsidRPr="002B34A2" w:rsidRDefault="006B34A0" w:rsidP="00D87AE2">
      <w:pPr>
        <w:pStyle w:val="NormalHanging12a"/>
      </w:pPr>
      <w:r>
        <w:t>I</w:t>
      </w:r>
      <w:r w:rsidR="00D87AE2" w:rsidRPr="002B34A2">
        <w:t>.</w:t>
      </w:r>
      <w:r w:rsidR="00D87AE2" w:rsidRPr="002B34A2">
        <w:tab/>
        <w:t>ker naj bi Rusija po ocenah Moldavije v propagando in informacijske operacije v Republiki Moldaviji vložila že več kot 200 milijonov EUR, kar je več kot 1 % moldavskega BDP;</w:t>
      </w:r>
    </w:p>
    <w:p w14:paraId="039EE466" w14:textId="1C89B52D" w:rsidR="00D87AE2" w:rsidRPr="002B34A2" w:rsidRDefault="006B34A0" w:rsidP="00D87AE2">
      <w:pPr>
        <w:pStyle w:val="NormalHanging12a"/>
      </w:pPr>
      <w:r>
        <w:t>J</w:t>
      </w:r>
      <w:r w:rsidR="00D87AE2" w:rsidRPr="002B34A2">
        <w:t>.</w:t>
      </w:r>
      <w:r w:rsidR="00D87AE2" w:rsidRPr="002B34A2">
        <w:tab/>
        <w:t>ker dejstvo, da bo v mednarodni misiji Urada za demokratične institucije in človekove pravice (ODIHR) pri Organizaciji za varnost in sodelovanje v Evropi (OVSE) za opazovanje volitev na moldavskih parlamentarnih volitvah, ki bodo potekale 28. septembra 2025, sodelovala delegacija Evropskega parlamenta, dokazuje, da je Parlament zavezan podpiranju integritete volilnih procesov in krepitvi demokratičnih institucij v Moldaviji;</w:t>
      </w:r>
    </w:p>
    <w:p w14:paraId="01ACBE2D" w14:textId="69F84E05" w:rsidR="00D87AE2" w:rsidRPr="002B34A2" w:rsidRDefault="006B34A0" w:rsidP="00D87AE2">
      <w:pPr>
        <w:pStyle w:val="NormalHanging12a"/>
      </w:pPr>
      <w:r>
        <w:t>K</w:t>
      </w:r>
      <w:r w:rsidR="00D87AE2" w:rsidRPr="002B34A2">
        <w:t>.</w:t>
      </w:r>
      <w:r w:rsidR="00D87AE2" w:rsidRPr="002B34A2">
        <w:tab/>
        <w:t>ker je Evropski svet v sklepih iz junija 2025 ponovno potrdil, da v celoti podpira Moldavijo na poti v EU, in pozval Svet, naj stori naslednje korake v pristopnem procesu; ker širitev EU temelji na strogih pogojih in načelu, da se vsaka država kandidatka oceni na podlagi njenih dosežkov in napredka pri reformah;</w:t>
      </w:r>
    </w:p>
    <w:p w14:paraId="5B0882C3" w14:textId="77777777" w:rsidR="00D87AE2" w:rsidRPr="002B34A2" w:rsidRDefault="00D87AE2" w:rsidP="00D87AE2">
      <w:pPr>
        <w:pStyle w:val="NormalHanging12a"/>
      </w:pPr>
      <w:r w:rsidRPr="002B34A2">
        <w:t>1.</w:t>
      </w:r>
      <w:r w:rsidRPr="002B34A2">
        <w:tab/>
        <w:t>izraža solidarnost s prebivalci Republike Moldavije in ponovno potrjuje, da v celoti podpira njeno neodvisnost, suverenost in ozemeljsko celovitost, pa tudi njena prizadevanja, da bi zaščitila integriteto svojih demokratičnih procesov, suverenost v zunanjepolitičnem odločanju in socialno-ekonomske obete svojih prebivalcev; zato poziva Rusijo, naj spoštuje neodvisnost, suverenost in ozemeljsko celovitost Moldavije ter preneha spodkopavati ustavni red in demokratične institucije Moldavije;</w:t>
      </w:r>
    </w:p>
    <w:p w14:paraId="708D5871" w14:textId="77777777" w:rsidR="00D87AE2" w:rsidRPr="002B34A2" w:rsidRDefault="00D87AE2" w:rsidP="00D87AE2">
      <w:pPr>
        <w:pStyle w:val="NormalHanging12a"/>
        <w:rPr>
          <w:szCs w:val="24"/>
        </w:rPr>
      </w:pPr>
      <w:r w:rsidRPr="002B34A2">
        <w:t>2.</w:t>
      </w:r>
      <w:r w:rsidRPr="002B34A2">
        <w:tab/>
        <w:t xml:space="preserve">obsoja, da Ruska federacija, proruski oligarhi in lokalni posredniki, ki jih podpira Rusija, vedno znova skušajo destabilizirati Moldavijo, sejati razdor v moldavski družbi ter spodnesti demokracijo v tej državi in njen napredek v smeri pristopa k EU, tako da izvajajo hibridne napade, manipulirajo oskrbo z energijo za doseganje političnih ciljev, nezakonito financirajo politične akterje in izvajajo </w:t>
      </w:r>
      <w:proofErr w:type="spellStart"/>
      <w:r w:rsidRPr="002B34A2">
        <w:t>dezinformacijske</w:t>
      </w:r>
      <w:proofErr w:type="spellEnd"/>
      <w:r w:rsidRPr="002B34A2">
        <w:t xml:space="preserve"> kampanje ter kampanje manipulacij in zastraševanja, usmerjene proti organizacijam civilne družbe in neodvisnim medijem;</w:t>
      </w:r>
    </w:p>
    <w:p w14:paraId="7986E394" w14:textId="77777777" w:rsidR="00D87AE2" w:rsidRPr="002B34A2" w:rsidRDefault="00D87AE2" w:rsidP="00D87AE2">
      <w:pPr>
        <w:pStyle w:val="NormalHanging12a"/>
        <w:rPr>
          <w:szCs w:val="24"/>
        </w:rPr>
      </w:pPr>
      <w:r w:rsidRPr="002B34A2">
        <w:t>3.</w:t>
      </w:r>
      <w:r w:rsidRPr="002B34A2">
        <w:tab/>
        <w:t>obsoja, da je pred parlamentarnimi volitvami, ki bodo potekale 28. septembra 2025, vse več ruskih hibridnih operacij in poskusov vmešavanja, katerih jasen cilj je destabilizirati državo ter spremeniti njeno demokratično usmeritev in suverene odločitve, zlasti o prihodnjem članstvu v EU;</w:t>
      </w:r>
    </w:p>
    <w:p w14:paraId="46D5A0C6" w14:textId="77777777" w:rsidR="00D87AE2" w:rsidRPr="002B34A2" w:rsidRDefault="00D87AE2" w:rsidP="00D87AE2">
      <w:pPr>
        <w:pStyle w:val="NormalHanging12a"/>
        <w:rPr>
          <w:szCs w:val="24"/>
          <w:shd w:val="clear" w:color="auto" w:fill="FFFFFF"/>
        </w:rPr>
      </w:pPr>
      <w:r w:rsidRPr="002B34A2">
        <w:t>4.</w:t>
      </w:r>
      <w:r w:rsidRPr="002B34A2">
        <w:tab/>
      </w:r>
      <w:r w:rsidRPr="002B34A2">
        <w:rPr>
          <w:shd w:val="clear" w:color="auto" w:fill="FFFFFF"/>
        </w:rPr>
        <w:t>Moldaviji izraža priznanje, ker je kljub velikim notranjim in zunanjim izzivom, vključno z obsežno rusko vojaško agresijo proti Ukrajini, zgledno zavezana reformam, povezanim s pristopom k EU, ter stalno napreduje pri teh reformah, zato so se lahko pristopna pogajanja začela junija 2024</w:t>
      </w:r>
      <w:r w:rsidRPr="002B34A2">
        <w:rPr>
          <w:rStyle w:val="highlight-diff"/>
          <w:color w:val="000000"/>
          <w:shd w:val="clear" w:color="auto" w:fill="FFFFFF"/>
        </w:rPr>
        <w:t xml:space="preserve">, tj. le šest mesecev po ustreznem sklepu Evropskega sveta z dne 14. decembra 2023 in manj kot dve leti po tem, ko je Moldavija </w:t>
      </w:r>
      <w:r w:rsidRPr="002B34A2">
        <w:rPr>
          <w:rStyle w:val="highlight-diff"/>
          <w:color w:val="000000"/>
          <w:shd w:val="clear" w:color="auto" w:fill="FFFFFF"/>
        </w:rPr>
        <w:lastRenderedPageBreak/>
        <w:t>3. marca 2022 zaprosila za članstvo v EU</w:t>
      </w:r>
      <w:r w:rsidRPr="002B34A2">
        <w:rPr>
          <w:shd w:val="clear" w:color="auto" w:fill="FFFFFF"/>
        </w:rPr>
        <w:t xml:space="preserve">; </w:t>
      </w:r>
      <w:r w:rsidRPr="002B34A2">
        <w:rPr>
          <w:rStyle w:val="highlight-diff"/>
          <w:color w:val="000000"/>
          <w:shd w:val="clear" w:color="auto" w:fill="FFFFFF"/>
        </w:rPr>
        <w:t>poziva Svet in Komisijo, naj spoštujeta načelo ocenjevanja na podlagi dosežkov, tako da ocenita vsako državo kandidatko posebej in zagotovita, da bo napredek v fazah pristopnega procesa, tudi pri odpiranju pogajalskih poglavij, odvisen od njenih dosežkov in okoliščin;</w:t>
      </w:r>
      <w:r w:rsidRPr="002B34A2">
        <w:t xml:space="preserve"> </w:t>
      </w:r>
      <w:r w:rsidRPr="002B34A2">
        <w:rPr>
          <w:shd w:val="clear" w:color="auto" w:fill="FFFFFF"/>
        </w:rPr>
        <w:t>ponovno potrjuje, da neomajno podpira obete Moldavije za članstvo v EU; poleg tega poziva Svet, naj hitro začne pristopna pogajanja o prvem sklopu (temeljne prvine), da bi priznal znaten napredek, ki ga je Moldavija dosegla pri ključnih reformah;</w:t>
      </w:r>
    </w:p>
    <w:p w14:paraId="0C859716" w14:textId="77777777" w:rsidR="00D87AE2" w:rsidRPr="002B34A2" w:rsidRDefault="00D87AE2" w:rsidP="00D87AE2">
      <w:pPr>
        <w:pStyle w:val="NormalHanging12a"/>
        <w:rPr>
          <w:szCs w:val="24"/>
        </w:rPr>
      </w:pPr>
      <w:r w:rsidRPr="002B34A2">
        <w:rPr>
          <w:shd w:val="clear" w:color="auto" w:fill="FFFFFF"/>
        </w:rPr>
        <w:t>5.</w:t>
      </w:r>
      <w:r w:rsidRPr="002B34A2">
        <w:rPr>
          <w:shd w:val="clear" w:color="auto" w:fill="FFFFFF"/>
        </w:rPr>
        <w:tab/>
        <w:t>poziva EU, naj Republiko Moldavijo še naprej podpira pri zagotavljanju, da bodo volitve svobodne, poštene in pregledne; poudarja, da imajo mednarodni opazovalci ključno vlogo ne le pri spremljanju volilnega procesa, temveč tudi pri spremljanju in dokumentiranju zlonamernega tujega vmešavanja, vključno z dezinformacijami, nezakonitim financiranjem in usklajenimi kibernetskimi operacijami ali operacijami vplivanja;</w:t>
      </w:r>
    </w:p>
    <w:p w14:paraId="7C01E195" w14:textId="77777777" w:rsidR="00D87AE2" w:rsidRPr="002B34A2" w:rsidRDefault="00D87AE2" w:rsidP="00D87AE2">
      <w:pPr>
        <w:pStyle w:val="NormalHanging12a"/>
      </w:pPr>
      <w:r w:rsidRPr="002B34A2">
        <w:t>6.</w:t>
      </w:r>
      <w:r w:rsidRPr="002B34A2">
        <w:tab/>
        <w:t>je trdno prepričan, da bo lahko Moldavija utrdila svoj sedanji napredek pri reformah, povezanih s pristopom k EU, in s tako ambiciozno hitrostjo nadaljevala v smeri članstva v EU le, če bo imela za to trdno in resnično podporo lastnega parlamenta;</w:t>
      </w:r>
    </w:p>
    <w:p w14:paraId="6F3812FA" w14:textId="77777777" w:rsidR="00D87AE2" w:rsidRPr="002B34A2" w:rsidRDefault="00D87AE2" w:rsidP="00D87AE2">
      <w:pPr>
        <w:pStyle w:val="NormalHanging12a"/>
      </w:pPr>
      <w:r w:rsidRPr="002B34A2">
        <w:t>7.</w:t>
      </w:r>
      <w:r w:rsidRPr="002B34A2">
        <w:tab/>
        <w:t>se z zadovoljstvom seznanja s tem, da skuša EU Moldaviji nuditi politično podporo na najvišji ravni, zlasti s prvim vrhom EU-Moldavija, ki je 4. julija 2025 potekal v Kišinjevu, s tem, da so voditelji držav ali vlad EU, in sicer Francije, Nemčije in Poljske, 27. avgusta 2025 obiskali Moldavijo, 31. avgusta 2025 pa jo je obiskal še romunski predsednik, kar je bil ponoven signal o jasnih obetih, da se bo lahko Moldavija na podlagi dosežkov in spoštovanja demokratičnih načel pridružila EU;</w:t>
      </w:r>
    </w:p>
    <w:p w14:paraId="553CF8C8" w14:textId="77777777" w:rsidR="00D87AE2" w:rsidRPr="002B34A2" w:rsidRDefault="00D87AE2" w:rsidP="00D87AE2">
      <w:pPr>
        <w:pStyle w:val="NormalHanging12a"/>
        <w:rPr>
          <w:rStyle w:val="NormalHanging12aChar"/>
          <w:rFonts w:eastAsiaTheme="majorEastAsia"/>
          <w:color w:val="000000"/>
        </w:rPr>
      </w:pPr>
      <w:r w:rsidRPr="002B34A2">
        <w:t>8.</w:t>
      </w:r>
      <w:r w:rsidRPr="002B34A2">
        <w:tab/>
      </w:r>
      <w:r w:rsidRPr="002B34A2">
        <w:rPr>
          <w:rStyle w:val="NormalHanging12aChar"/>
          <w:color w:val="000000"/>
        </w:rPr>
        <w:t xml:space="preserve">ponovno poziva EU, naj politično podporo moldavski vladi v njenem boju proti tujemu vmešavanju v demokratične procese v državi še naprej dopolnjuje z večjo finančno in tehnično podporo, vključno z dodatnimi sankcijami po zgledu tistih z dne 15. julija 2025, odobritvijo dodatne podpore partnerski misiji EU (EUPM) v Moldaviji, izmenjavo informacij o sumljivih finančnih tokovih, tudi kriptovalut, in nepreglednih ali nezakonitih mrežah financiranja, ter z izmenjavo strokovnega znanja o tujem manipuliranju z informacijami in vmešavanju, boju proti hibridnim grožnjam ter krepitvi </w:t>
      </w:r>
      <w:bookmarkStart w:id="6" w:name="_Hlk194942091"/>
      <w:r w:rsidRPr="002B34A2">
        <w:rPr>
          <w:rStyle w:val="NormalHanging12aChar"/>
          <w:color w:val="000000"/>
        </w:rPr>
        <w:t xml:space="preserve">odpornosti; ponovno poziva, naj moldavske oblasti in EU povečajo podporo za neodvisne medije in </w:t>
      </w:r>
      <w:proofErr w:type="spellStart"/>
      <w:r w:rsidRPr="002B34A2">
        <w:rPr>
          <w:rStyle w:val="NormalHanging12aChar"/>
          <w:color w:val="000000"/>
        </w:rPr>
        <w:t>prodemokratično</w:t>
      </w:r>
      <w:proofErr w:type="spellEnd"/>
      <w:r w:rsidRPr="002B34A2">
        <w:rPr>
          <w:rStyle w:val="NormalHanging12aChar"/>
          <w:color w:val="000000"/>
        </w:rPr>
        <w:t xml:space="preserve"> civilno družbo, da se bodo lahko novinarji na nacionalni in regionalni ravni zoperstavili tujemu manipuliranju z informacijami in vmešavanju, ter za krepitev digitalne pismenosti;</w:t>
      </w:r>
      <w:bookmarkEnd w:id="6"/>
      <w:r w:rsidRPr="002B34A2">
        <w:rPr>
          <w:rStyle w:val="NormalHanging12aChar"/>
          <w:color w:val="000000"/>
        </w:rPr>
        <w:t xml:space="preserve"> pozdravlja, da je Komisija napovedala novo regionalno vozlišče za evropsko opazovalnico digitalnih medijev, da bi Ukrajino in Moldavijo podprla v boju proti dezinformacijam; poziva vse večje spletne platforme, zlasti Meto, Google, Telegram, </w:t>
      </w:r>
      <w:proofErr w:type="spellStart"/>
      <w:r w:rsidRPr="002B34A2">
        <w:rPr>
          <w:rStyle w:val="NormalHanging12aChar"/>
          <w:color w:val="000000"/>
        </w:rPr>
        <w:t>TikTok</w:t>
      </w:r>
      <w:proofErr w:type="spellEnd"/>
      <w:r w:rsidRPr="002B34A2">
        <w:rPr>
          <w:rStyle w:val="NormalHanging12aChar"/>
          <w:color w:val="000000"/>
        </w:rPr>
        <w:t xml:space="preserve">, Microsoft in </w:t>
      </w:r>
      <w:proofErr w:type="spellStart"/>
      <w:r w:rsidRPr="002B34A2">
        <w:rPr>
          <w:rStyle w:val="NormalHanging12aChar"/>
          <w:color w:val="000000"/>
        </w:rPr>
        <w:t>Rakuten</w:t>
      </w:r>
      <w:proofErr w:type="spellEnd"/>
      <w:r w:rsidRPr="002B34A2">
        <w:rPr>
          <w:rStyle w:val="NormalHanging12aChar"/>
          <w:color w:val="000000"/>
        </w:rPr>
        <w:t>, naj tesno sodelujejo z moldavskimi oblastmi in civilno družbo ter novim vozliščem evropske opazovalnice digitalnih medijev; poziva Moldavijo, naj svojo zakonodajo nemudoma uskladi z aktoma EU o digitalnih trgih</w:t>
      </w:r>
      <w:r w:rsidRPr="002B34A2">
        <w:rPr>
          <w:rStyle w:val="FootnoteReference"/>
          <w:color w:val="000000"/>
        </w:rPr>
        <w:footnoteReference w:id="5"/>
      </w:r>
      <w:r w:rsidRPr="002B34A2">
        <w:rPr>
          <w:rStyle w:val="NormalHanging12aChar"/>
          <w:color w:val="000000"/>
        </w:rPr>
        <w:t xml:space="preserve"> in o digitalnih storitvah</w:t>
      </w:r>
      <w:r w:rsidRPr="002B34A2">
        <w:rPr>
          <w:rStyle w:val="FootnoteReference"/>
          <w:color w:val="000000"/>
        </w:rPr>
        <w:footnoteReference w:id="6"/>
      </w:r>
      <w:r w:rsidRPr="002B34A2">
        <w:rPr>
          <w:rStyle w:val="NormalHanging12aChar"/>
          <w:color w:val="000000"/>
        </w:rPr>
        <w:t xml:space="preserve">; poziva Komisijo, naj Moldaviji </w:t>
      </w:r>
      <w:r w:rsidRPr="002B34A2">
        <w:rPr>
          <w:rStyle w:val="NormalHanging12aChar"/>
          <w:color w:val="000000"/>
        </w:rPr>
        <w:lastRenderedPageBreak/>
        <w:t>v zvezi s tem nudi namensko podporo;</w:t>
      </w:r>
    </w:p>
    <w:p w14:paraId="1F20E328" w14:textId="77777777" w:rsidR="00D87AE2" w:rsidRPr="002B34A2" w:rsidRDefault="00D87AE2" w:rsidP="00D87AE2">
      <w:pPr>
        <w:pStyle w:val="NormalHanging12a"/>
        <w:rPr>
          <w:szCs w:val="24"/>
        </w:rPr>
      </w:pPr>
      <w:r w:rsidRPr="002B34A2">
        <w:t>9.</w:t>
      </w:r>
      <w:r w:rsidRPr="002B34A2">
        <w:tab/>
        <w:t xml:space="preserve">spodbuja moldavske oblasti, naj v celoti izkoristijo strokovno znanje partnerske misije EU v Moldaviji, da se bodo lahko pred parlamentarnimi volitvami 28. septembra 2025 zoperstavile morebitnemu ponovnemu vmešavanju v volitve; spodbuja Evropsko službo za zunanje delovanje in Komisijo, naj za podporo Moldaviji v boju proti hibridnim grožnjam uporabita vse instrumente EU, ki so za to na voljo, vključno s skupinama za hitro odzivanje na hibridne grožnje ter za hitro odzivanje na kibernetske grožnje in </w:t>
      </w:r>
      <w:proofErr w:type="spellStart"/>
      <w:r w:rsidRPr="002B34A2">
        <w:t>kibernetskovarnostno</w:t>
      </w:r>
      <w:proofErr w:type="spellEnd"/>
      <w:r w:rsidRPr="002B34A2">
        <w:t xml:space="preserve"> rezervo; pozdravlja prizadevanja moldavskega centra za strateško komuniciranje in boj proti dezinformacijam pri usklajevanju različnih moldavskih institucij v boju proti tujemu vmešavanju ter prizadevanja nacionalne agencije za kibernetsko varnost in nacionalnega inštituta za inovacije na področju kibernetske varnosti ter poziva EU, naj poveča podporo za ta prizadevanja; ponavlja, da je pomembno izboljšati izmenjavo informacij in sodelovanje na področju obveščevalnih podatkov o varnostnih grožnjah med Moldavijo ter EU in državami članicami; poziva EU, naj izkušnje, pridobljene v Moldaviji, po možnosti uporabi za zaščito volilnih procesov in demokratičnih institucij EU;</w:t>
      </w:r>
    </w:p>
    <w:p w14:paraId="4BB7287B" w14:textId="77777777" w:rsidR="00D87AE2" w:rsidRPr="002B34A2" w:rsidRDefault="00D87AE2" w:rsidP="00D87AE2">
      <w:pPr>
        <w:pStyle w:val="NormalHanging12a"/>
        <w:rPr>
          <w:szCs w:val="24"/>
        </w:rPr>
      </w:pPr>
      <w:r w:rsidRPr="002B34A2">
        <w:t>10.</w:t>
      </w:r>
      <w:r w:rsidRPr="002B34A2">
        <w:tab/>
        <w:t>je seznanjen z doslednim usklajevanjem Moldavije s stališči skupne zunanje in varnostne politike EU ter z izvajanjem njenega partnerstva z EU na področju varnosti in obrambe od leta 2024 in z njeno novo nacionalno obrambno strategijo za obdobje 2024–2034; zato poziva države članice, naj povečajo financiranje za Moldavijo prek evropskega mirovnega instrumenta, tudi glede na to, da ruski brezpilotni zrakoplovi in izstrelki vedno znova kršijo moldavski zračni prostor, ter naj državo vključijo v skupna javna naročila za obrambo v okviru programa za evropsko obrambno industrijo; poudarja vlogo Moldavije pri varnosti in stabilnosti vzhodne meje EU in črnomorske regije v okoliščinah humanitarne in energetske krize, ki jo je povzročila ruska vojaška agresija na Ukrajino;</w:t>
      </w:r>
    </w:p>
    <w:p w14:paraId="4C98E44E" w14:textId="77777777" w:rsidR="00D87AE2" w:rsidRPr="002B34A2" w:rsidRDefault="00D87AE2" w:rsidP="00D87AE2">
      <w:pPr>
        <w:pStyle w:val="NormalHanging12a"/>
      </w:pPr>
      <w:r w:rsidRPr="002B34A2">
        <w:t>11.</w:t>
      </w:r>
      <w:r w:rsidRPr="002B34A2">
        <w:tab/>
        <w:t xml:space="preserve">poziva Rusko federacijo, naj umakne svoje vojaške sile, opremo in strelivo iz </w:t>
      </w:r>
      <w:proofErr w:type="spellStart"/>
      <w:r w:rsidRPr="002B34A2">
        <w:t>Pridnestrja</w:t>
      </w:r>
      <w:proofErr w:type="spellEnd"/>
      <w:r w:rsidRPr="002B34A2">
        <w:t xml:space="preserve"> ter podpre mirno rešitev konflikta v skladu z mednarodnim pravom ter suverenostjo in ozemeljsko celovitostjo Moldavije;</w:t>
      </w:r>
    </w:p>
    <w:p w14:paraId="207B5436" w14:textId="75D60B60" w:rsidR="00D87AE2" w:rsidRPr="002B34A2" w:rsidRDefault="00D87AE2" w:rsidP="00D87AE2">
      <w:pPr>
        <w:pStyle w:val="NormalHanging12a"/>
        <w:rPr>
          <w:szCs w:val="24"/>
        </w:rPr>
      </w:pPr>
      <w:r w:rsidRPr="002B34A2">
        <w:t>12.</w:t>
      </w:r>
      <w:r w:rsidRPr="002B34A2">
        <w:tab/>
        <w:t>poziva moldavske oblasti in civilno družbo ter EU, naj izboljšajo strateško obveščanje, ovržejo laži o EU in njenih politikah, ki jih širi Rusija, in se borijo proti njim ter naj poudarjajo konkretne kratkoročne in dolgoročne koristi pristopa k EU za ljudi v Moldaviji</w:t>
      </w:r>
      <w:bookmarkStart w:id="7" w:name="_Hlk196923727"/>
      <w:r w:rsidRPr="002B34A2">
        <w:t xml:space="preserve">, pri čemer naj posebno pozornost namenijo obveščanju v regijah, kot je </w:t>
      </w:r>
      <w:proofErr w:type="spellStart"/>
      <w:r w:rsidRPr="002B34A2">
        <w:t>Gagauzija</w:t>
      </w:r>
      <w:proofErr w:type="spellEnd"/>
      <w:r w:rsidRPr="002B34A2">
        <w:t>, in v socialno-ekonomsko prikrajšanih skupnostih na podeželju</w:t>
      </w:r>
      <w:bookmarkEnd w:id="7"/>
      <w:r w:rsidRPr="002B34A2">
        <w:t>; izraža pripravljenost, da še naprej podpira parlament Moldavije z vzajemno dogovorjenimi dejavnostmi za podporo demokraciji; zato priporoča, naj se v celoti izkoristi pisarna Evropskega parlamenta za stike v Kišinjevu za razširjanje informacij, boj proti dezinformacijam in podpiranje udejstvovanja državljanov, da bi prispevali h krepitvi demokratične odpornosti Moldavije; je zelo zaskrbljen zaradi obsežne ruske kampanje izkoriščanja homofobije, vključno z ustrahovanjem in fizičnimi napadi, ter poziva Komisijo, države članice in Moldavijo, naj vlagajo v odpornost moldavske družbe</w:t>
      </w:r>
      <w:r w:rsidR="000B41AE">
        <w:t xml:space="preserve"> tako da</w:t>
      </w:r>
      <w:r w:rsidRPr="002B34A2">
        <w:t xml:space="preserve"> se zavzemajo za enakost za vse, ne glede na spolno usmerjenost ali spolno identiteto;</w:t>
      </w:r>
    </w:p>
    <w:p w14:paraId="365A6739" w14:textId="3FA87A62" w:rsidR="00D87AE2" w:rsidRPr="002B34A2" w:rsidRDefault="00D87AE2" w:rsidP="00D87AE2">
      <w:pPr>
        <w:pStyle w:val="NormalHanging12a"/>
      </w:pPr>
      <w:r w:rsidRPr="002B34A2">
        <w:t>13.</w:t>
      </w:r>
      <w:r w:rsidRPr="002B34A2">
        <w:tab/>
        <w:t xml:space="preserve">ugotavlja, da ruska nacionalna varnostna strategija, ki jo je predsednik Putin odobril 31. decembra 2015 in temelji na vojaški doktrini s 25. decembra 2014, izrecno zagovarja tako imenovane tradicionalne ruske duhovne in moralne vrednote proti domnevnim zahodnim vplivom, kar dokazuje, da Rusija te vrednote in z njimi povezane institucije izkorišča za strateške namene; izraža zaskrbljenost, ker Rusija </w:t>
      </w:r>
      <w:proofErr w:type="spellStart"/>
      <w:r w:rsidRPr="002B34A2">
        <w:lastRenderedPageBreak/>
        <w:t>instrumentalizira</w:t>
      </w:r>
      <w:proofErr w:type="spellEnd"/>
      <w:r w:rsidRPr="002B34A2">
        <w:t xml:space="preserve"> tako imenovane tradicionalne ruske vrednote, in poudarja, da je metropolija Kišinjeva in vse Moldavije, ki je povezana z Moskvo in pripada ruski pravoslavni cerkvi, eden od glavnih kanalov ruske propagande v Moldaviji; </w:t>
      </w:r>
      <w:r w:rsidR="006B34A0" w:rsidRPr="006B34A0">
        <w:t xml:space="preserve">; poudarja, da je parlamentarna skupščina Sveta Evrope aprila 2024 rusko pravoslavno cerkev razglasila za instrument kremeljske propagande, carigrajski ekumenski patriarh pa jo je avgusta 2024 obsodil kot militaristično, </w:t>
      </w:r>
      <w:proofErr w:type="spellStart"/>
      <w:r w:rsidR="006B34A0" w:rsidRPr="006B34A0">
        <w:t>etnonacionalistično</w:t>
      </w:r>
      <w:proofErr w:type="spellEnd"/>
      <w:r w:rsidR="006B34A0" w:rsidRPr="006B34A0">
        <w:t xml:space="preserve"> in heretično; </w:t>
      </w:r>
      <w:r w:rsidRPr="002B34A2">
        <w:t>obsoja, da ruski posredniki ustrahujejo duhovnike pravoslavne metropolije Besarabije</w:t>
      </w:r>
      <w:r w:rsidR="006B34A0">
        <w:rPr>
          <w:rStyle w:val="FootnoteReference"/>
        </w:rPr>
        <w:footnoteReference w:id="7"/>
      </w:r>
      <w:r w:rsidRPr="002B34A2">
        <w:t>;</w:t>
      </w:r>
    </w:p>
    <w:p w14:paraId="3AA15B21" w14:textId="4439CEDA" w:rsidR="006B34A0" w:rsidRDefault="006B34A0" w:rsidP="00D87AE2">
      <w:pPr>
        <w:pStyle w:val="NormalHanging12a"/>
      </w:pPr>
      <w:r>
        <w:t>14.</w:t>
      </w:r>
      <w:r>
        <w:tab/>
      </w:r>
      <w:r w:rsidRPr="006B34A0">
        <w:t>priznava pravoslavno metropolijo Besarabije kot žrtev sovjetskega zatiranja; ugotavlja, da so sovjetske oblasti nezakonito ukinile pravoslavno metropolijo Besarabije in da je bila uradno priznana šele leta 2002 po odločitvi Evropskega sodišča za človekove pravice;</w:t>
      </w:r>
    </w:p>
    <w:p w14:paraId="4536B3BF" w14:textId="2F7F61DB" w:rsidR="00D87AE2" w:rsidRPr="002B34A2" w:rsidRDefault="002E6987" w:rsidP="00D87AE2">
      <w:pPr>
        <w:pStyle w:val="NormalHanging12a"/>
        <w:rPr>
          <w:szCs w:val="24"/>
        </w:rPr>
      </w:pPr>
      <w:r>
        <w:t>15</w:t>
      </w:r>
      <w:r w:rsidR="00D87AE2" w:rsidRPr="002B34A2">
        <w:t>.</w:t>
      </w:r>
      <w:r w:rsidR="00D87AE2" w:rsidRPr="002B34A2">
        <w:tab/>
        <w:t>ugotavlja, da organizacije civilne družbe pomembno prispevajo k boju proti dezinformacijam in zlonamernemu vplivu političnih akterjev, ki nasprotujejo reformam, in ruskih posrednikov, pa tudi k varstvu človekovih pravic, spodbujanju preglednosti ter spremljanju upravljanja in napredka pri demokratičnih reformah in reformah, povezanih s pristopom k EU;</w:t>
      </w:r>
    </w:p>
    <w:p w14:paraId="5E9A8F82" w14:textId="44D9CB53" w:rsidR="00D87AE2" w:rsidRPr="002B34A2" w:rsidRDefault="002E6987" w:rsidP="00D87AE2">
      <w:pPr>
        <w:pStyle w:val="NormalHanging12a"/>
        <w:rPr>
          <w:szCs w:val="24"/>
        </w:rPr>
      </w:pPr>
      <w:r>
        <w:t>16</w:t>
      </w:r>
      <w:r w:rsidR="00D87AE2" w:rsidRPr="002B34A2">
        <w:t>.</w:t>
      </w:r>
      <w:r w:rsidR="00D87AE2" w:rsidRPr="002B34A2">
        <w:tab/>
        <w:t>poudarja, da sta celovita reforma pravosodnega sistema in boj proti korupciji odločilnega pomena za odpornost Moldavije proti tujemu vmešavanju in hibridnim grožnjam ter za uspeh demokratičnih reform in reform, povezanih s pristopom k EU; priznava, da si Moldavija nenehno prizadeva za vzpostavitev neodvisnega, nepristranskega, odgovornega in strokovnega pravosodnega sistema ter za zaključek postopka preverjanja do konca leta 2026; poudarja, da je treba zagotoviti večjo usklajenost med vsemi ključnimi protikorupcijskimi in pravosodnimi institucijami, da se v celoti izvedejo vseobsegajoče reforme na področju pravne države, dosežejo prepričljivi rezultati pri učinkovitem pregonu v primerih korupcije, ob hkratnem spoštovanju ustreznih postopkov in pravice do poštenega sojenja, ter ohrani zaupanje javnosti v demokratične institucije in proces reform; zato poziva prihodnjo vlado, naj ohrani sedanjo raven ambicioznosti in dokonča reforme na področju pravne države;</w:t>
      </w:r>
    </w:p>
    <w:p w14:paraId="6A80685B" w14:textId="725A14E7" w:rsidR="00D87AE2" w:rsidRPr="002B34A2" w:rsidRDefault="002E6987" w:rsidP="00D87AE2">
      <w:pPr>
        <w:pStyle w:val="NormalHanging12a"/>
        <w:rPr>
          <w:szCs w:val="24"/>
        </w:rPr>
      </w:pPr>
      <w:r>
        <w:t>17</w:t>
      </w:r>
      <w:r w:rsidR="00D87AE2" w:rsidRPr="002B34A2">
        <w:t>.</w:t>
      </w:r>
      <w:r w:rsidR="00D87AE2" w:rsidRPr="002B34A2">
        <w:tab/>
        <w:t xml:space="preserve">poudarja, da sta energetska neodvisnost in povezljivost nadvse pomembni za večjo odpornost proti ruskim hibridnim grožnjam v energetskem sektorju, in zato poziva k hitrejšemu izvajanju načrta za rast; obsoja, da Rusija še naprej </w:t>
      </w:r>
      <w:proofErr w:type="spellStart"/>
      <w:r w:rsidR="00D87AE2" w:rsidRPr="002B34A2">
        <w:t>instrumentalizira</w:t>
      </w:r>
      <w:proofErr w:type="spellEnd"/>
      <w:r w:rsidR="00D87AE2" w:rsidRPr="002B34A2">
        <w:t xml:space="preserve"> oskrbo z energijo, in pozdravlja napredek Moldavije pri diverzifikaciji njenih virov energije, uvajanju obnovljivih virov energije in sistemov za shranjevanje energije, zmanjševanju odvisnosti od ruskega plina in povezovanju z energetskim trgom EU;</w:t>
      </w:r>
    </w:p>
    <w:p w14:paraId="049F3FE8" w14:textId="558C4702" w:rsidR="006B34A0" w:rsidRDefault="002E6987" w:rsidP="00D87AE2">
      <w:pPr>
        <w:pStyle w:val="NormalHanging12a"/>
      </w:pPr>
      <w:r>
        <w:t>18</w:t>
      </w:r>
      <w:r w:rsidR="006B34A0">
        <w:t>.</w:t>
      </w:r>
      <w:r w:rsidR="006B34A0">
        <w:tab/>
      </w:r>
      <w:r w:rsidR="006B34A0" w:rsidRPr="006B34A0">
        <w:t>izreka pohvalo Moldaviji za znaten napredek pri postopnem opuščanju ruskih virov energije, pospeševanju razogljičenja in digitalizacije svoje mešanice energetskih virov ter vključevanju v energetski trg EU; ponovno poziva EU in države članice, naj še naprej podpirajo energetsko varnost Moldavije, in sicer s podpiranjem izgradnje in financiranjem novih elektroenergetskih povezav s sosednjimi državami, spodbujanjem energetske učinkovitosti ter uvajanjem obnovljivih virov energije in sistemov za shranjevanje energije v skladu s cilji, določenimi v njenem nacionalnem energetskem in podnebnem načrtu;</w:t>
      </w:r>
    </w:p>
    <w:p w14:paraId="5B306E1B" w14:textId="04E0D563" w:rsidR="00D87AE2" w:rsidRPr="002B34A2" w:rsidRDefault="002E6987" w:rsidP="00D87AE2">
      <w:pPr>
        <w:pStyle w:val="NormalHanging12a"/>
        <w:rPr>
          <w:szCs w:val="24"/>
        </w:rPr>
      </w:pPr>
      <w:r>
        <w:lastRenderedPageBreak/>
        <w:t>19</w:t>
      </w:r>
      <w:r w:rsidR="00D87AE2" w:rsidRPr="002B34A2">
        <w:t>.</w:t>
      </w:r>
      <w:r w:rsidR="00D87AE2" w:rsidRPr="002B34A2">
        <w:tab/>
        <w:t>pozdravlja nemoteno sprejetje načrta za rast za Moldavijo v vrednosti 1,9 milijarde EUR, ki predstavlja doslej največjo raven podpore za spodbujanje moldavskega gospodarstva in napredovanje države k članstvu v EU s pospeševanjem ključnih reform v sektorjih, kot so energetika, okolje, digitalni sektor in promet ter drugi; pozdravlja, da je bila v okviru načrta za rast v vrednosti 1,9 milijarde EUR izplačano predhodno financiranje v znesku 270 milijonov EUR, in poziva k hitri sprostitvi prvega rednega obroka za podporo ključnim reformam na področjih infrastrukture, človeškega kapitala, razvoja podjetništva ter digitalnega in zelenega prehoda; poziva EU in Moldavijo, naj pospešita postopno vključevanje države v enotni trg EU, da bi že pred uradnim pristopom k EU zagotovili oprijemljive družbeno-gospodarske koristi; pozdravlja nedavni sporazum o pregledu in posodobitvi trgovinskih določb poglobljenega in celovitega prostotrgovinskega območja med EU in Moldavijo, ki bo moldavskemu kmetijskemu izvozu, ki še ni liberaliziran, zagotovilo večji dostop do trga; podpira, da se v naslednjem večletnem finančnem okviru Moldavija vključi v predpristopni instrument; pozdravlja sklep Sveta z dne 25. julija 2025 o vključitvi Moldavije v območje „gostovanja kot doma“ s 1. januarjem 2026, potem ko je bil 14. julija 2025 sprejet podoben sklep za Ukrajino;</w:t>
      </w:r>
    </w:p>
    <w:p w14:paraId="33979135" w14:textId="4066E6FF" w:rsidR="00E365E1" w:rsidRPr="002B34A2" w:rsidRDefault="002E6987" w:rsidP="00E869DA">
      <w:pPr>
        <w:pStyle w:val="NormalHanging12a"/>
      </w:pPr>
      <w:r>
        <w:t>20</w:t>
      </w:r>
      <w:r w:rsidR="00D87AE2" w:rsidRPr="002B34A2">
        <w:t>.</w:t>
      </w:r>
      <w:r w:rsidR="00D87AE2" w:rsidRPr="002B34A2">
        <w:tab/>
        <w:t>naroči svoji predsednici, naj to resolucijo posreduje podpredsednici Komisije/visoki predstavnici Unije za zunanje zadeve in varnostno politiko, Svetu, Komisiji, vladam in parlamentom držav članic, Svetu Evrope, Organizaciji za varnost in sodelovanje v Evropi ter predsednici, vladi in parlamentu Moldavije.</w:t>
      </w:r>
    </w:p>
    <w:sectPr w:rsidR="00E365E1" w:rsidRPr="002B34A2" w:rsidSect="002B34A2">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A7A2B5" w14:textId="77777777" w:rsidR="00CD2D3B" w:rsidRPr="002B34A2" w:rsidRDefault="00CD2D3B">
      <w:r w:rsidRPr="002B34A2">
        <w:separator/>
      </w:r>
    </w:p>
  </w:endnote>
  <w:endnote w:type="continuationSeparator" w:id="0">
    <w:p w14:paraId="5E7BF211" w14:textId="77777777" w:rsidR="00CD2D3B" w:rsidRPr="002B34A2" w:rsidRDefault="00CD2D3B">
      <w:r w:rsidRPr="002B34A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D967ED" w14:textId="77777777" w:rsidR="00CD2D3B" w:rsidRPr="002B34A2" w:rsidRDefault="00CD2D3B">
      <w:r w:rsidRPr="002B34A2">
        <w:separator/>
      </w:r>
    </w:p>
  </w:footnote>
  <w:footnote w:type="continuationSeparator" w:id="0">
    <w:p w14:paraId="016C6167" w14:textId="77777777" w:rsidR="00CD2D3B" w:rsidRPr="002B34A2" w:rsidRDefault="00CD2D3B">
      <w:r w:rsidRPr="002B34A2">
        <w:continuationSeparator/>
      </w:r>
    </w:p>
  </w:footnote>
  <w:footnote w:id="1">
    <w:p w14:paraId="6279F353" w14:textId="096DEC80" w:rsidR="00D87AE2" w:rsidRPr="006B34A0" w:rsidRDefault="00D87AE2" w:rsidP="002B34A2">
      <w:pPr>
        <w:pStyle w:val="FootnoteText"/>
        <w:ind w:left="567" w:hanging="567"/>
        <w:rPr>
          <w:sz w:val="24"/>
          <w:szCs w:val="24"/>
          <w:lang w:val="sl-SI"/>
        </w:rPr>
      </w:pPr>
      <w:r w:rsidRPr="006B34A0">
        <w:rPr>
          <w:rStyle w:val="FootnoteReference"/>
          <w:sz w:val="24"/>
          <w:szCs w:val="24"/>
          <w:lang w:val="sl-SI"/>
        </w:rPr>
        <w:footnoteRef/>
      </w:r>
      <w:r w:rsidR="002B34A2" w:rsidRPr="006B34A0">
        <w:rPr>
          <w:sz w:val="24"/>
          <w:szCs w:val="24"/>
          <w:lang w:val="sl-SI"/>
        </w:rPr>
        <w:t xml:space="preserve"> </w:t>
      </w:r>
      <w:r w:rsidR="002B34A2" w:rsidRPr="006B34A0">
        <w:rPr>
          <w:sz w:val="24"/>
          <w:szCs w:val="24"/>
          <w:lang w:val="sl-SI"/>
        </w:rPr>
        <w:tab/>
      </w:r>
      <w:r w:rsidRPr="006B34A0">
        <w:rPr>
          <w:sz w:val="24"/>
          <w:szCs w:val="24"/>
          <w:lang w:val="sl-SI"/>
        </w:rPr>
        <w:t>Sprejeta besedila, P10_</w:t>
      </w:r>
      <w:r w:rsidR="00BE3551">
        <w:rPr>
          <w:sz w:val="24"/>
          <w:szCs w:val="24"/>
          <w:lang w:val="sl-SI"/>
        </w:rPr>
        <w:t>TA</w:t>
      </w:r>
      <w:r w:rsidRPr="006B34A0">
        <w:rPr>
          <w:sz w:val="24"/>
          <w:szCs w:val="24"/>
          <w:lang w:val="sl-SI"/>
        </w:rPr>
        <w:t>(2025)0131.</w:t>
      </w:r>
    </w:p>
  </w:footnote>
  <w:footnote w:id="2">
    <w:p w14:paraId="7B7893AF" w14:textId="6BE43E90" w:rsidR="00D87AE2" w:rsidRPr="006B34A0" w:rsidRDefault="00D87AE2" w:rsidP="002B34A2">
      <w:pPr>
        <w:pStyle w:val="FootnoteText"/>
        <w:ind w:left="567" w:hanging="567"/>
        <w:rPr>
          <w:sz w:val="24"/>
          <w:szCs w:val="24"/>
          <w:lang w:val="sl-SI"/>
        </w:rPr>
      </w:pPr>
      <w:r w:rsidRPr="006B34A0">
        <w:rPr>
          <w:rStyle w:val="FootnoteReference"/>
          <w:sz w:val="24"/>
          <w:szCs w:val="24"/>
          <w:lang w:val="sl-SI"/>
        </w:rPr>
        <w:footnoteRef/>
      </w:r>
      <w:r w:rsidR="002B34A2" w:rsidRPr="006B34A0">
        <w:rPr>
          <w:sz w:val="24"/>
          <w:szCs w:val="24"/>
          <w:lang w:val="sl-SI"/>
        </w:rPr>
        <w:t xml:space="preserve"> </w:t>
      </w:r>
      <w:r w:rsidR="002B34A2" w:rsidRPr="006B34A0">
        <w:rPr>
          <w:sz w:val="24"/>
          <w:szCs w:val="24"/>
          <w:lang w:val="sl-SI"/>
        </w:rPr>
        <w:tab/>
      </w:r>
      <w:r w:rsidRPr="006B34A0">
        <w:rPr>
          <w:sz w:val="24"/>
          <w:szCs w:val="24"/>
          <w:lang w:val="sl-SI"/>
        </w:rPr>
        <w:t xml:space="preserve">UL C, C/2025/204, 14.1.2025, ELI: </w:t>
      </w:r>
      <w:hyperlink r:id="rId1" w:history="1">
        <w:r w:rsidRPr="006B34A0">
          <w:rPr>
            <w:rStyle w:val="Hyperlink"/>
            <w:sz w:val="24"/>
            <w:szCs w:val="24"/>
            <w:lang w:val="sl-SI"/>
          </w:rPr>
          <w:t>http://data.europa.eu/eli/C/2025/204/oj</w:t>
        </w:r>
      </w:hyperlink>
      <w:r w:rsidRPr="006B34A0">
        <w:rPr>
          <w:sz w:val="24"/>
          <w:szCs w:val="24"/>
          <w:lang w:val="sl-SI"/>
        </w:rPr>
        <w:t>.</w:t>
      </w:r>
    </w:p>
  </w:footnote>
  <w:footnote w:id="3">
    <w:p w14:paraId="5BC6AD4A" w14:textId="7EC81B8D" w:rsidR="00D87AE2" w:rsidRPr="006B34A0" w:rsidRDefault="00D87AE2" w:rsidP="002B34A2">
      <w:pPr>
        <w:pStyle w:val="FootnoteText"/>
        <w:ind w:left="567" w:hanging="567"/>
        <w:rPr>
          <w:sz w:val="24"/>
          <w:szCs w:val="24"/>
          <w:lang w:val="sl-SI"/>
        </w:rPr>
      </w:pPr>
      <w:r w:rsidRPr="006B34A0">
        <w:rPr>
          <w:rStyle w:val="FootnoteReference"/>
          <w:sz w:val="24"/>
          <w:szCs w:val="24"/>
          <w:lang w:val="sl-SI"/>
        </w:rPr>
        <w:footnoteRef/>
      </w:r>
      <w:r w:rsidR="002B34A2" w:rsidRPr="006B34A0">
        <w:rPr>
          <w:sz w:val="24"/>
          <w:szCs w:val="24"/>
          <w:lang w:val="sl-SI"/>
        </w:rPr>
        <w:t xml:space="preserve"> </w:t>
      </w:r>
      <w:r w:rsidR="002B34A2" w:rsidRPr="006B34A0">
        <w:rPr>
          <w:sz w:val="24"/>
          <w:szCs w:val="24"/>
          <w:lang w:val="sl-SI"/>
        </w:rPr>
        <w:tab/>
      </w:r>
      <w:r w:rsidRPr="006B34A0">
        <w:rPr>
          <w:sz w:val="24"/>
          <w:szCs w:val="24"/>
          <w:lang w:val="sl-SI"/>
        </w:rPr>
        <w:t>UL L 260, 30.8.2014, str. 4, ELI: </w:t>
      </w:r>
      <w:hyperlink r:id="rId2" w:tooltip="Povezava ELI s tem dokumentom." w:history="1">
        <w:r w:rsidRPr="006B34A0">
          <w:rPr>
            <w:rStyle w:val="Hyperlink"/>
            <w:sz w:val="24"/>
            <w:szCs w:val="24"/>
            <w:lang w:val="sl-SI"/>
          </w:rPr>
          <w:t>http://data.europa.eu/eli/agree_internation/2014/492/oj</w:t>
        </w:r>
      </w:hyperlink>
      <w:r w:rsidRPr="006B34A0">
        <w:rPr>
          <w:sz w:val="24"/>
          <w:szCs w:val="24"/>
          <w:lang w:val="sl-SI"/>
        </w:rPr>
        <w:t>.</w:t>
      </w:r>
    </w:p>
  </w:footnote>
  <w:footnote w:id="4">
    <w:p w14:paraId="7BE7ED98" w14:textId="3F54D136" w:rsidR="006B34A0" w:rsidRPr="000B41AE" w:rsidRDefault="006B34A0" w:rsidP="000B41AE">
      <w:pPr>
        <w:pStyle w:val="FootnoteText"/>
        <w:ind w:left="567" w:hanging="567"/>
        <w:rPr>
          <w:sz w:val="24"/>
          <w:szCs w:val="24"/>
          <w:lang w:val="sl-SI"/>
        </w:rPr>
      </w:pPr>
      <w:r w:rsidRPr="000B41AE">
        <w:rPr>
          <w:rStyle w:val="FootnoteReference"/>
          <w:sz w:val="24"/>
          <w:szCs w:val="24"/>
        </w:rPr>
        <w:footnoteRef/>
      </w:r>
      <w:r w:rsidRPr="000B41AE">
        <w:rPr>
          <w:sz w:val="24"/>
          <w:szCs w:val="24"/>
          <w:lang w:val="sl-SI"/>
        </w:rPr>
        <w:t xml:space="preserve"> </w:t>
      </w:r>
      <w:r w:rsidRPr="000B41AE">
        <w:rPr>
          <w:sz w:val="24"/>
          <w:szCs w:val="24"/>
          <w:lang w:val="sl-SI"/>
        </w:rPr>
        <w:tab/>
      </w:r>
      <w:hyperlink r:id="rId3" w:history="1">
        <w:r w:rsidRPr="000B41AE">
          <w:rPr>
            <w:rStyle w:val="Hyperlink"/>
            <w:sz w:val="24"/>
            <w:szCs w:val="24"/>
            <w:lang w:val="sl-SI"/>
          </w:rPr>
          <w:t>https:/www.zdg.md/en/kremlins-digital-army-an-undercover-investigation-its-paid-let-me-tell-you-its-paid-directly-from-moscow/</w:t>
        </w:r>
      </w:hyperlink>
    </w:p>
  </w:footnote>
  <w:footnote w:id="5">
    <w:p w14:paraId="6FF2CE84" w14:textId="4A526C9A" w:rsidR="00D87AE2" w:rsidRPr="006B34A0" w:rsidRDefault="00D87AE2" w:rsidP="002B34A2">
      <w:pPr>
        <w:pStyle w:val="FootnoteText"/>
        <w:ind w:left="567" w:hanging="567"/>
        <w:rPr>
          <w:sz w:val="24"/>
          <w:szCs w:val="24"/>
          <w:lang w:val="sl-SI"/>
        </w:rPr>
      </w:pPr>
      <w:r w:rsidRPr="006B34A0">
        <w:rPr>
          <w:rStyle w:val="FootnoteReference"/>
          <w:sz w:val="24"/>
          <w:szCs w:val="24"/>
          <w:lang w:val="sl-SI"/>
        </w:rPr>
        <w:footnoteRef/>
      </w:r>
      <w:r w:rsidR="002B34A2" w:rsidRPr="006B34A0">
        <w:rPr>
          <w:sz w:val="24"/>
          <w:szCs w:val="24"/>
          <w:lang w:val="sl-SI"/>
        </w:rPr>
        <w:t xml:space="preserve"> </w:t>
      </w:r>
      <w:r w:rsidR="002B34A2" w:rsidRPr="006B34A0">
        <w:rPr>
          <w:sz w:val="24"/>
          <w:szCs w:val="24"/>
          <w:lang w:val="sl-SI"/>
        </w:rPr>
        <w:tab/>
      </w:r>
      <w:r w:rsidRPr="006B34A0">
        <w:rPr>
          <w:sz w:val="24"/>
          <w:szCs w:val="24"/>
          <w:lang w:val="sl-SI"/>
        </w:rPr>
        <w:t xml:space="preserve">Uredba (EU) 2022/1925 Evropskega parlamenta in Sveta z dne 14. septembra 2022 o tekmovalnih in pravičnih trgih v digitalnem sektorju in spremembi direktiv (EU) 2019/1937 in (EU) 2020/1828 (UL L 265, 12.10.2022, str. 1, ELI: </w:t>
      </w:r>
      <w:hyperlink r:id="rId4" w:history="1">
        <w:r w:rsidRPr="006B34A0">
          <w:rPr>
            <w:rStyle w:val="Hyperlink"/>
            <w:sz w:val="24"/>
            <w:szCs w:val="24"/>
            <w:lang w:val="sl-SI"/>
          </w:rPr>
          <w:t>http://data.europa.eu/eli/reg/2022/1925/oj</w:t>
        </w:r>
      </w:hyperlink>
      <w:r w:rsidRPr="006B34A0">
        <w:rPr>
          <w:sz w:val="24"/>
          <w:szCs w:val="24"/>
          <w:lang w:val="sl-SI"/>
        </w:rPr>
        <w:t>).</w:t>
      </w:r>
    </w:p>
  </w:footnote>
  <w:footnote w:id="6">
    <w:p w14:paraId="50E9879A" w14:textId="53FCCB70" w:rsidR="00D87AE2" w:rsidRPr="006B34A0" w:rsidRDefault="00D87AE2" w:rsidP="002B34A2">
      <w:pPr>
        <w:pStyle w:val="FootnoteText"/>
        <w:ind w:left="567" w:hanging="567"/>
        <w:rPr>
          <w:sz w:val="24"/>
          <w:szCs w:val="24"/>
          <w:lang w:val="sl-SI"/>
        </w:rPr>
      </w:pPr>
      <w:r w:rsidRPr="006B34A0">
        <w:rPr>
          <w:rStyle w:val="FootnoteReference"/>
          <w:sz w:val="24"/>
          <w:szCs w:val="24"/>
          <w:lang w:val="sl-SI"/>
        </w:rPr>
        <w:footnoteRef/>
      </w:r>
      <w:r w:rsidR="002B34A2" w:rsidRPr="006B34A0">
        <w:rPr>
          <w:sz w:val="24"/>
          <w:szCs w:val="24"/>
          <w:lang w:val="sl-SI"/>
        </w:rPr>
        <w:t xml:space="preserve"> </w:t>
      </w:r>
      <w:r w:rsidR="002B34A2" w:rsidRPr="006B34A0">
        <w:rPr>
          <w:sz w:val="24"/>
          <w:szCs w:val="24"/>
          <w:lang w:val="sl-SI"/>
        </w:rPr>
        <w:tab/>
      </w:r>
      <w:r w:rsidRPr="006B34A0">
        <w:rPr>
          <w:sz w:val="24"/>
          <w:szCs w:val="24"/>
          <w:lang w:val="sl-SI"/>
        </w:rPr>
        <w:t xml:space="preserve">Uredba (EU) 2022/2065 Evropskega parlamenta in Sveta z dne 19. oktobra 2022 o enotnem trgu digitalnih storitev in spremembi Direktive 2000/31/ES (UL L 277, 27.10.2022, str. 1, ELI: </w:t>
      </w:r>
      <w:hyperlink r:id="rId5" w:history="1">
        <w:r w:rsidRPr="006B34A0">
          <w:rPr>
            <w:rStyle w:val="Hyperlink"/>
            <w:sz w:val="24"/>
            <w:szCs w:val="24"/>
            <w:lang w:val="sl-SI"/>
          </w:rPr>
          <w:t>http://data.europa.eu/eli/reg/2022/2065/oj</w:t>
        </w:r>
      </w:hyperlink>
      <w:r w:rsidRPr="006B34A0">
        <w:rPr>
          <w:sz w:val="24"/>
          <w:szCs w:val="24"/>
          <w:lang w:val="sl-SI"/>
        </w:rPr>
        <w:t>).</w:t>
      </w:r>
    </w:p>
  </w:footnote>
  <w:footnote w:id="7">
    <w:p w14:paraId="3D6BE7A8" w14:textId="7A444D9B" w:rsidR="006B34A0" w:rsidRPr="000B41AE" w:rsidRDefault="006B34A0" w:rsidP="000B41AE">
      <w:pPr>
        <w:pStyle w:val="FootnoteText"/>
        <w:ind w:left="567" w:hanging="567"/>
        <w:rPr>
          <w:sz w:val="24"/>
          <w:szCs w:val="24"/>
          <w:lang w:val="sl-SI"/>
        </w:rPr>
      </w:pPr>
      <w:r w:rsidRPr="000B41AE">
        <w:rPr>
          <w:rStyle w:val="FootnoteReference"/>
          <w:sz w:val="24"/>
          <w:szCs w:val="24"/>
        </w:rPr>
        <w:footnoteRef/>
      </w:r>
      <w:r w:rsidRPr="000B41AE">
        <w:rPr>
          <w:sz w:val="24"/>
          <w:szCs w:val="24"/>
          <w:lang w:val="sl-SI"/>
        </w:rPr>
        <w:t xml:space="preserve"> </w:t>
      </w:r>
      <w:r w:rsidRPr="000B41AE">
        <w:rPr>
          <w:sz w:val="24"/>
          <w:szCs w:val="24"/>
          <w:lang w:val="sl-SI"/>
        </w:rPr>
        <w:tab/>
      </w:r>
      <w:hyperlink r:id="rId6" w:history="1">
        <w:r w:rsidRPr="000B41AE">
          <w:rPr>
            <w:rStyle w:val="Hyperlink"/>
            <w:sz w:val="24"/>
            <w:szCs w:val="24"/>
            <w:lang w:val="sl-SI"/>
          </w:rPr>
          <w:t>https://pace.coe.int/en/files/33808/html, https://www.thetablet.co.uk/news/bartholomew-accuses-russian-church-of-ethno-nationalist-heresy/</w:t>
        </w:r>
      </w:hyperlink>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932473005">
    <w:abstractNumId w:val="9"/>
  </w:num>
  <w:num w:numId="2" w16cid:durableId="1562792247">
    <w:abstractNumId w:val="9"/>
  </w:num>
  <w:num w:numId="3" w16cid:durableId="366611188">
    <w:abstractNumId w:val="7"/>
  </w:num>
  <w:num w:numId="4" w16cid:durableId="1697005127">
    <w:abstractNumId w:val="7"/>
  </w:num>
  <w:num w:numId="5" w16cid:durableId="1773935955">
    <w:abstractNumId w:val="6"/>
  </w:num>
  <w:num w:numId="6" w16cid:durableId="842012679">
    <w:abstractNumId w:val="6"/>
  </w:num>
  <w:num w:numId="7" w16cid:durableId="462041573">
    <w:abstractNumId w:val="5"/>
  </w:num>
  <w:num w:numId="8" w16cid:durableId="1126434231">
    <w:abstractNumId w:val="5"/>
  </w:num>
  <w:num w:numId="9" w16cid:durableId="768476225">
    <w:abstractNumId w:val="4"/>
  </w:num>
  <w:num w:numId="10" w16cid:durableId="66585474">
    <w:abstractNumId w:val="4"/>
  </w:num>
  <w:num w:numId="11" w16cid:durableId="883637218">
    <w:abstractNumId w:val="8"/>
  </w:num>
  <w:num w:numId="12" w16cid:durableId="2113040156">
    <w:abstractNumId w:val="8"/>
  </w:num>
  <w:num w:numId="13" w16cid:durableId="1767114228">
    <w:abstractNumId w:val="3"/>
  </w:num>
  <w:num w:numId="14" w16cid:durableId="567544132">
    <w:abstractNumId w:val="3"/>
  </w:num>
  <w:num w:numId="15" w16cid:durableId="816922745">
    <w:abstractNumId w:val="2"/>
  </w:num>
  <w:num w:numId="16" w16cid:durableId="1334335952">
    <w:abstractNumId w:val="2"/>
  </w:num>
  <w:num w:numId="17" w16cid:durableId="879825969">
    <w:abstractNumId w:val="1"/>
  </w:num>
  <w:num w:numId="18" w16cid:durableId="308704594">
    <w:abstractNumId w:val="1"/>
  </w:num>
  <w:num w:numId="19" w16cid:durableId="57830338">
    <w:abstractNumId w:val="0"/>
  </w:num>
  <w:num w:numId="20" w16cid:durableId="820970249">
    <w:abstractNumId w:val="0"/>
  </w:num>
  <w:num w:numId="21" w16cid:durableId="1954750061">
    <w:abstractNumId w:val="9"/>
  </w:num>
  <w:num w:numId="22" w16cid:durableId="2106415582">
    <w:abstractNumId w:val="7"/>
  </w:num>
  <w:num w:numId="23" w16cid:durableId="218055551">
    <w:abstractNumId w:val="6"/>
  </w:num>
  <w:num w:numId="24" w16cid:durableId="1203514778">
    <w:abstractNumId w:val="5"/>
  </w:num>
  <w:num w:numId="25" w16cid:durableId="1422994242">
    <w:abstractNumId w:val="4"/>
  </w:num>
  <w:num w:numId="26" w16cid:durableId="1079013122">
    <w:abstractNumId w:val="8"/>
  </w:num>
  <w:num w:numId="27" w16cid:durableId="1837070020">
    <w:abstractNumId w:val="3"/>
  </w:num>
  <w:num w:numId="28" w16cid:durableId="189688212">
    <w:abstractNumId w:val="2"/>
  </w:num>
  <w:num w:numId="29" w16cid:durableId="1109277551">
    <w:abstractNumId w:val="1"/>
  </w:num>
  <w:num w:numId="30" w16cid:durableId="970210278">
    <w:abstractNumId w:val="0"/>
  </w:num>
  <w:num w:numId="31" w16cid:durableId="729614134">
    <w:abstractNumId w:val="9"/>
  </w:num>
  <w:num w:numId="32" w16cid:durableId="333647992">
    <w:abstractNumId w:val="7"/>
  </w:num>
  <w:num w:numId="33" w16cid:durableId="1181699609">
    <w:abstractNumId w:val="6"/>
  </w:num>
  <w:num w:numId="34" w16cid:durableId="1682244440">
    <w:abstractNumId w:val="5"/>
  </w:num>
  <w:num w:numId="35" w16cid:durableId="1144270546">
    <w:abstractNumId w:val="4"/>
  </w:num>
  <w:num w:numId="36" w16cid:durableId="1873494590">
    <w:abstractNumId w:val="8"/>
  </w:num>
  <w:num w:numId="37" w16cid:durableId="691536954">
    <w:abstractNumId w:val="3"/>
  </w:num>
  <w:num w:numId="38" w16cid:durableId="724140029">
    <w:abstractNumId w:val="2"/>
  </w:num>
  <w:num w:numId="39" w16cid:durableId="855772045">
    <w:abstractNumId w:val="1"/>
  </w:num>
  <w:num w:numId="40" w16cid:durableId="789056647">
    <w:abstractNumId w:val="0"/>
  </w:num>
  <w:num w:numId="41" w16cid:durableId="1970352297">
    <w:abstractNumId w:val="10"/>
  </w:num>
  <w:num w:numId="42" w16cid:durableId="946157989">
    <w:abstractNumId w:val="10"/>
  </w:num>
  <w:num w:numId="43" w16cid:durableId="2111313597">
    <w:abstractNumId w:val="10"/>
  </w:num>
  <w:num w:numId="44" w16cid:durableId="11044108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355, 0356, 0357, 0359 in 0361 /2025"/>
    <w:docVar w:name="dvlangue" w:val="SL"/>
    <w:docVar w:name="dvnumam" w:val="0"/>
    <w:docVar w:name="dvpe" w:val="776.179"/>
    <w:docVar w:name="dvtitre" w:val="Resolucija Evropskega parlamenta z dne … 2025 o krepitvi odpornosti Moldavije proti ruskim hibridnim grožnjam in zlonamernemu vmešavanju(2025/2811(RSP))"/>
  </w:docVars>
  <w:rsids>
    <w:rsidRoot w:val="00CD2D3B"/>
    <w:rsid w:val="00002272"/>
    <w:rsid w:val="00064002"/>
    <w:rsid w:val="000677B9"/>
    <w:rsid w:val="000831BA"/>
    <w:rsid w:val="000A42CC"/>
    <w:rsid w:val="000B41AE"/>
    <w:rsid w:val="000E7DD9"/>
    <w:rsid w:val="0010095E"/>
    <w:rsid w:val="00125B37"/>
    <w:rsid w:val="00187494"/>
    <w:rsid w:val="001F32AE"/>
    <w:rsid w:val="002767FF"/>
    <w:rsid w:val="002B18FE"/>
    <w:rsid w:val="002B34A2"/>
    <w:rsid w:val="002B5493"/>
    <w:rsid w:val="002E4CDA"/>
    <w:rsid w:val="002E6987"/>
    <w:rsid w:val="003251ED"/>
    <w:rsid w:val="00343214"/>
    <w:rsid w:val="00361C00"/>
    <w:rsid w:val="00395FA1"/>
    <w:rsid w:val="003E15D4"/>
    <w:rsid w:val="00411CCE"/>
    <w:rsid w:val="0041666E"/>
    <w:rsid w:val="00421060"/>
    <w:rsid w:val="00434FEF"/>
    <w:rsid w:val="00471C19"/>
    <w:rsid w:val="004867E3"/>
    <w:rsid w:val="00494A28"/>
    <w:rsid w:val="004A5EEC"/>
    <w:rsid w:val="004C0004"/>
    <w:rsid w:val="004C5D52"/>
    <w:rsid w:val="0050519A"/>
    <w:rsid w:val="005072A1"/>
    <w:rsid w:val="00514517"/>
    <w:rsid w:val="00545827"/>
    <w:rsid w:val="00560270"/>
    <w:rsid w:val="005C2568"/>
    <w:rsid w:val="005F1B17"/>
    <w:rsid w:val="006037C0"/>
    <w:rsid w:val="006631B6"/>
    <w:rsid w:val="00680577"/>
    <w:rsid w:val="006B34A0"/>
    <w:rsid w:val="006F74FA"/>
    <w:rsid w:val="00731ADD"/>
    <w:rsid w:val="00734777"/>
    <w:rsid w:val="00747932"/>
    <w:rsid w:val="00751A4A"/>
    <w:rsid w:val="00756632"/>
    <w:rsid w:val="00762C74"/>
    <w:rsid w:val="0076497F"/>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3551"/>
    <w:rsid w:val="00BE6ADC"/>
    <w:rsid w:val="00C05BFE"/>
    <w:rsid w:val="00C23CD4"/>
    <w:rsid w:val="00C61C0C"/>
    <w:rsid w:val="00C941CB"/>
    <w:rsid w:val="00CC2357"/>
    <w:rsid w:val="00CD2D3B"/>
    <w:rsid w:val="00CF071A"/>
    <w:rsid w:val="00D058B8"/>
    <w:rsid w:val="00D56C11"/>
    <w:rsid w:val="00D834A0"/>
    <w:rsid w:val="00D872DF"/>
    <w:rsid w:val="00D87AE2"/>
    <w:rsid w:val="00D91E21"/>
    <w:rsid w:val="00DA7FCD"/>
    <w:rsid w:val="00E365E1"/>
    <w:rsid w:val="00E820A4"/>
    <w:rsid w:val="00E869DA"/>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27A1019"/>
  <w15:chartTrackingRefBased/>
  <w15:docId w15:val="{CED4F7B6-AEFE-4DD7-9B11-25E8AF4367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qFormat="1"/>
    <w:lsdException w:name="Title" w:qFormat="1"/>
    <w:lsdException w:name="Subtitle" w:qFormat="1"/>
    <w:lsdException w:name="Hyperlink" w:uiPriority="99"/>
    <w:lsdException w:name="Strong" w:uiPriority="22"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16 Point,4_G,Appel note de bas de page,FZ,Fago Fu?notenzeichen,Fago Fußnotenzeichen,Fago Fuﬂnotenzeichen,Footnote,Footnote Ref,Footnote number,Footnotes refss,Ref,Ref FNs Char,Superscript 6 Point,[,[0],a Footnote Reference,ftref,text"/>
    <w:link w:val="ENFootnoteReference"/>
    <w:qFormat/>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D87AE2"/>
    <w:pPr>
      <w:spacing w:after="240"/>
      <w:ind w:left="567" w:hanging="567"/>
    </w:pPr>
  </w:style>
  <w:style w:type="paragraph" w:customStyle="1" w:styleId="EPComma">
    <w:name w:val="EPComma"/>
    <w:basedOn w:val="Normal"/>
    <w:rsid w:val="00D87AE2"/>
    <w:pPr>
      <w:spacing w:before="480" w:after="240"/>
    </w:pPr>
  </w:style>
  <w:style w:type="character" w:customStyle="1" w:styleId="NormalHanging12aChar">
    <w:name w:val="NormalHanging12a Char"/>
    <w:basedOn w:val="DefaultParagraphFont"/>
    <w:link w:val="NormalHanging12a"/>
    <w:locked/>
    <w:rsid w:val="00D87AE2"/>
    <w:rPr>
      <w:sz w:val="24"/>
      <w:lang w:val="sl-SI"/>
    </w:rPr>
  </w:style>
  <w:style w:type="paragraph" w:customStyle="1" w:styleId="ENFootnoteReference">
    <w:name w:val="EN Footnote Reference"/>
    <w:aliases w:val="-E Fußnotenzeichen,BVI fn,BVI fnr Car Car תו Char Char Char,BVI fnr Car תו Char Char Char,BVI fnr תו Char Char Char,SUPERS,number"/>
    <w:basedOn w:val="Normal"/>
    <w:link w:val="FootnoteReference"/>
    <w:rsid w:val="00D87AE2"/>
    <w:pPr>
      <w:widowControl/>
      <w:spacing w:after="160" w:line="240" w:lineRule="exact"/>
    </w:pPr>
    <w:rPr>
      <w:sz w:val="20"/>
      <w:vertAlign w:val="superscript"/>
      <w:lang w:val="en-GB"/>
    </w:rPr>
  </w:style>
  <w:style w:type="character" w:styleId="Hyperlink">
    <w:name w:val="Hyperlink"/>
    <w:basedOn w:val="DefaultParagraphFont"/>
    <w:uiPriority w:val="99"/>
    <w:unhideWhenUsed/>
    <w:rsid w:val="00D87AE2"/>
    <w:rPr>
      <w:color w:val="0000FF"/>
      <w:u w:val="single"/>
    </w:rPr>
  </w:style>
  <w:style w:type="character" w:customStyle="1" w:styleId="highlight-diff">
    <w:name w:val="highlight-diff"/>
    <w:basedOn w:val="DefaultParagraphFont"/>
    <w:rsid w:val="00D87AE2"/>
  </w:style>
  <w:style w:type="character" w:styleId="Strong">
    <w:name w:val="Strong"/>
    <w:basedOn w:val="DefaultParagraphFont"/>
    <w:uiPriority w:val="22"/>
    <w:qFormat/>
    <w:rsid w:val="00D87AE2"/>
    <w:rPr>
      <w:b/>
      <w:bCs/>
    </w:rPr>
  </w:style>
  <w:style w:type="character" w:styleId="UnresolvedMention">
    <w:name w:val="Unresolved Mention"/>
    <w:basedOn w:val="DefaultParagraphFont"/>
    <w:uiPriority w:val="99"/>
    <w:semiHidden/>
    <w:unhideWhenUsed/>
    <w:rsid w:val="00E869DA"/>
    <w:rPr>
      <w:color w:val="605E5C"/>
      <w:shd w:val="clear" w:color="auto" w:fill="E1DFDD"/>
    </w:rPr>
  </w:style>
  <w:style w:type="paragraph" w:styleId="Revision">
    <w:name w:val="Revision"/>
    <w:hidden/>
    <w:uiPriority w:val="99"/>
    <w:semiHidden/>
    <w:rsid w:val="006B34A0"/>
    <w:rPr>
      <w:sz w:val="24"/>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www.zdg.md/en/kremlins-digital-army-an-undercover-investigation-its-paid-let-me-tell-you-its-paid-directly-from-moscow/" TargetMode="External"/><Relationship Id="rId2" Type="http://schemas.openxmlformats.org/officeDocument/2006/relationships/hyperlink" Target="http://data.europa.eu/eli/agree_internation/2014/492/oj" TargetMode="External"/><Relationship Id="rId1" Type="http://schemas.openxmlformats.org/officeDocument/2006/relationships/hyperlink" Target="http://data.europa.eu/eli/C/2025/204/oj" TargetMode="External"/><Relationship Id="rId6" Type="http://schemas.openxmlformats.org/officeDocument/2006/relationships/hyperlink" Target="https://pace.coe.int/en/files/33808/html,%20https:/www.thetablet.co.uk/news/bartholomew-accuses-russian-church-of-ethno-nationalist-heresy/" TargetMode="External"/><Relationship Id="rId5" Type="http://schemas.openxmlformats.org/officeDocument/2006/relationships/hyperlink" Target="http://data.europa.eu/eli/reg/2022/2065/oj" TargetMode="External"/><Relationship Id="rId4" Type="http://schemas.openxmlformats.org/officeDocument/2006/relationships/hyperlink" Target="http://data.europa.eu/eli/reg/2022/192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2754</Words>
  <Characters>16995</Characters>
  <Application>Microsoft Office Word</Application>
  <DocSecurity>0</DocSecurity>
  <Lines>314</Lines>
  <Paragraphs>118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19631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BAH Anita</dc:creator>
  <cp:keywords/>
  <cp:lastModifiedBy>GROSELJ Tadej</cp:lastModifiedBy>
  <cp:revision>2</cp:revision>
  <cp:lastPrinted>2004-11-19T15:42:00Z</cp:lastPrinted>
  <dcterms:created xsi:type="dcterms:W3CDTF">2025-10-15T12:17:00Z</dcterms:created>
  <dcterms:modified xsi:type="dcterms:W3CDTF">2025-10-15T12:17:00Z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B10-0355, 0356, 0357, 0359 in 0361 /2025</vt:lpwstr>
  </property>
  <property fmtid="{D5CDD505-2E9C-101B-9397-08002B2CF9AE}" pid="4" name="&lt;Type&gt;">
    <vt:lpwstr>RR</vt:lpwstr>
  </property>
</Properties>
</file>