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A1B" w14:paraId="0AE1E95A" w14:textId="77777777" w:rsidTr="0010095E">
        <w:trPr>
          <w:trHeight w:hRule="exact" w:val="1418"/>
        </w:trPr>
        <w:tc>
          <w:tcPr>
            <w:tcW w:w="6804" w:type="dxa"/>
            <w:shd w:val="clear" w:color="auto" w:fill="auto"/>
            <w:vAlign w:val="center"/>
          </w:tcPr>
          <w:p w14:paraId="0249AB04" w14:textId="25E2D4BC" w:rsidR="00751A4A" w:rsidRPr="00726A1B" w:rsidRDefault="0006000C" w:rsidP="0010095E">
            <w:pPr>
              <w:pStyle w:val="EPName"/>
            </w:pPr>
            <w:r w:rsidRPr="00726A1B">
              <w:t>Europaparlamentet</w:t>
            </w:r>
          </w:p>
          <w:p w14:paraId="5F325CB8" w14:textId="77777777" w:rsidR="00751A4A" w:rsidRPr="00726A1B" w:rsidRDefault="005F1B17" w:rsidP="005F1B17">
            <w:pPr>
              <w:pStyle w:val="EPTerm"/>
              <w:rPr>
                <w:rStyle w:val="HideTWBExt"/>
                <w:noProof w:val="0"/>
                <w:vanish w:val="0"/>
                <w:color w:val="auto"/>
              </w:rPr>
            </w:pPr>
            <w:proofErr w:type="gramStart"/>
            <w:r w:rsidRPr="00726A1B">
              <w:t>2024</w:t>
            </w:r>
            <w:r w:rsidR="00817416" w:rsidRPr="00726A1B">
              <w:t>-202</w:t>
            </w:r>
            <w:r w:rsidRPr="00726A1B">
              <w:t>9</w:t>
            </w:r>
            <w:proofErr w:type="gramEnd"/>
          </w:p>
        </w:tc>
        <w:tc>
          <w:tcPr>
            <w:tcW w:w="2268" w:type="dxa"/>
            <w:shd w:val="clear" w:color="auto" w:fill="auto"/>
          </w:tcPr>
          <w:p w14:paraId="2A1BE30B" w14:textId="77777777" w:rsidR="00751A4A" w:rsidRPr="00726A1B" w:rsidRDefault="00187494" w:rsidP="0010095E">
            <w:pPr>
              <w:pStyle w:val="EPLogo"/>
            </w:pPr>
            <w:r w:rsidRPr="00726A1B">
              <w:rPr>
                <w:noProof/>
                <w:lang w:eastAsia="ja-JP"/>
              </w:rPr>
              <w:drawing>
                <wp:inline distT="0" distB="0" distL="0" distR="0" wp14:anchorId="48287CE4" wp14:editId="544C12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C1D8B2" w14:textId="77777777" w:rsidR="00D058B8" w:rsidRPr="00726A1B" w:rsidRDefault="00D058B8" w:rsidP="004C5D52">
      <w:pPr>
        <w:pStyle w:val="LineTop"/>
      </w:pPr>
    </w:p>
    <w:p w14:paraId="02A2E495" w14:textId="6FE7447D" w:rsidR="00680577" w:rsidRPr="00726A1B" w:rsidRDefault="0006000C" w:rsidP="00680577">
      <w:pPr>
        <w:pStyle w:val="EPBodyTA1"/>
      </w:pPr>
      <w:r w:rsidRPr="00726A1B">
        <w:t>ANTAGNA TEXTER</w:t>
      </w:r>
    </w:p>
    <w:p w14:paraId="3E27D948" w14:textId="77777777" w:rsidR="00D058B8" w:rsidRPr="00726A1B" w:rsidRDefault="00D058B8" w:rsidP="00D058B8">
      <w:pPr>
        <w:pStyle w:val="LineBottom"/>
      </w:pPr>
    </w:p>
    <w:p w14:paraId="0AE5C27D" w14:textId="07842EC9" w:rsidR="0006000C" w:rsidRPr="00726A1B" w:rsidRDefault="0006000C" w:rsidP="0006000C">
      <w:pPr>
        <w:pStyle w:val="ATHeading1"/>
      </w:pPr>
      <w:bookmarkStart w:id="0" w:name="TANumber"/>
      <w:r w:rsidRPr="00726A1B">
        <w:t>P10_TA(2025)0</w:t>
      </w:r>
      <w:bookmarkEnd w:id="0"/>
      <w:r w:rsidR="00301679" w:rsidRPr="00726A1B">
        <w:t>191</w:t>
      </w:r>
    </w:p>
    <w:p w14:paraId="5001518F" w14:textId="77777777" w:rsidR="0006000C" w:rsidRPr="00726A1B" w:rsidRDefault="0006000C" w:rsidP="0006000C">
      <w:pPr>
        <w:pStyle w:val="ATHeading2"/>
      </w:pPr>
      <w:bookmarkStart w:id="1" w:name="title"/>
      <w:r w:rsidRPr="00726A1B">
        <w:t>Stärkandet av Moldaviens motståndskraft mot ryska hybridhot och skadlig inblandning</w:t>
      </w:r>
      <w:bookmarkEnd w:id="1"/>
    </w:p>
    <w:p w14:paraId="0B71DB81" w14:textId="3FF827C9" w:rsidR="0006000C" w:rsidRPr="00726A1B" w:rsidRDefault="0006000C" w:rsidP="0006000C">
      <w:pPr>
        <w:rPr>
          <w:i/>
          <w:vanish/>
        </w:rPr>
      </w:pPr>
      <w:r w:rsidRPr="00726A1B">
        <w:rPr>
          <w:i/>
        </w:rPr>
        <w:fldChar w:fldCharType="begin"/>
      </w:r>
      <w:r w:rsidRPr="00726A1B">
        <w:rPr>
          <w:i/>
        </w:rPr>
        <w:instrText xml:space="preserve"> TC"(</w:instrText>
      </w:r>
      <w:bookmarkStart w:id="2" w:name="DocNumber"/>
      <w:r w:rsidR="00301679" w:rsidRPr="00726A1B">
        <w:rPr>
          <w:i/>
        </w:rPr>
        <w:instrText>B10-0355, 0357, 0356, 0359 och 0361/2025</w:instrText>
      </w:r>
      <w:bookmarkEnd w:id="2"/>
      <w:r w:rsidRPr="00726A1B">
        <w:rPr>
          <w:i/>
        </w:rPr>
        <w:instrText xml:space="preserve">)"\l3 \n&gt; \* MERGEFORMAT </w:instrText>
      </w:r>
      <w:r w:rsidRPr="00726A1B">
        <w:rPr>
          <w:i/>
        </w:rPr>
        <w:fldChar w:fldCharType="end"/>
      </w:r>
    </w:p>
    <w:p w14:paraId="1FEDB4BA" w14:textId="77777777" w:rsidR="0006000C" w:rsidRPr="00726A1B" w:rsidRDefault="0006000C" w:rsidP="0006000C">
      <w:pPr>
        <w:rPr>
          <w:vanish/>
        </w:rPr>
      </w:pPr>
      <w:bookmarkStart w:id="3" w:name="PE"/>
      <w:r w:rsidRPr="00726A1B">
        <w:rPr>
          <w:vanish/>
        </w:rPr>
        <w:t>PE776.179</w:t>
      </w:r>
      <w:bookmarkEnd w:id="3"/>
    </w:p>
    <w:p w14:paraId="5A1E51D3" w14:textId="3EF7F3CF" w:rsidR="0006000C" w:rsidRPr="00726A1B" w:rsidRDefault="0006000C" w:rsidP="0006000C">
      <w:pPr>
        <w:pStyle w:val="ATHeading3"/>
      </w:pPr>
      <w:bookmarkStart w:id="4" w:name="Sujet"/>
      <w:r w:rsidRPr="00726A1B">
        <w:t xml:space="preserve">Europaparlamentets resolution av den </w:t>
      </w:r>
      <w:r w:rsidR="00301679" w:rsidRPr="00726A1B">
        <w:t>10</w:t>
      </w:r>
      <w:r w:rsidRPr="00726A1B">
        <w:t xml:space="preserve"> </w:t>
      </w:r>
      <w:r w:rsidR="00301679" w:rsidRPr="00726A1B">
        <w:t>september</w:t>
      </w:r>
      <w:r w:rsidRPr="00726A1B">
        <w:t xml:space="preserve"> 2025 om stärkandet av Moldaviens motståndskraft mot ryska hybridhot och skadlig inblandning</w:t>
      </w:r>
      <w:bookmarkEnd w:id="4"/>
      <w:r w:rsidRPr="00726A1B">
        <w:t xml:space="preserve"> </w:t>
      </w:r>
      <w:bookmarkStart w:id="5" w:name="References"/>
      <w:r w:rsidRPr="00726A1B">
        <w:t>(2025/2811(RSP))</w:t>
      </w:r>
      <w:bookmarkEnd w:id="5"/>
    </w:p>
    <w:p w14:paraId="73268651" w14:textId="77777777" w:rsidR="002D6C5F" w:rsidRPr="00726A1B" w:rsidRDefault="002D6C5F" w:rsidP="002D6C5F">
      <w:pPr>
        <w:pStyle w:val="EPComma"/>
      </w:pPr>
      <w:bookmarkStart w:id="6" w:name="TextBodyBegin"/>
      <w:bookmarkEnd w:id="6"/>
      <w:r w:rsidRPr="00726A1B">
        <w:rPr>
          <w:i/>
        </w:rPr>
        <w:t>Europaparlamentet utfärdar denna resolution</w:t>
      </w:r>
    </w:p>
    <w:p w14:paraId="27FBD36E" w14:textId="77777777" w:rsidR="002D6C5F" w:rsidRPr="00726A1B" w:rsidRDefault="002D6C5F" w:rsidP="002D6C5F">
      <w:pPr>
        <w:pStyle w:val="NormalHanging12a"/>
      </w:pPr>
      <w:r w:rsidRPr="00726A1B">
        <w:t>–</w:t>
      </w:r>
      <w:r w:rsidRPr="00726A1B">
        <w:tab/>
        <w:t>med beaktande av sina tidigare resolutioner om Moldavien, särskilt resolutionen av den 18 juni 2025 om kommissionens rapporter för 2023 och 2024 om Moldavien</w:t>
      </w:r>
      <w:r w:rsidRPr="00726A1B">
        <w:rPr>
          <w:vertAlign w:val="superscript"/>
        </w:rPr>
        <w:footnoteReference w:id="1"/>
      </w:r>
      <w:r w:rsidRPr="00726A1B">
        <w:t xml:space="preserve"> och resolutionen av den 9 oktober 2024 om förstärkning av Moldaviens motståndskraft mot rysk inblandning inför det kommande presidentvalet och en konstitutionell folkomröstning om EU-medlemskap</w:t>
      </w:r>
      <w:r w:rsidRPr="00726A1B">
        <w:rPr>
          <w:vertAlign w:val="superscript"/>
        </w:rPr>
        <w:footnoteReference w:id="2"/>
      </w:r>
      <w:r w:rsidRPr="00726A1B">
        <w:t>,</w:t>
      </w:r>
    </w:p>
    <w:p w14:paraId="02EADC23" w14:textId="77777777" w:rsidR="002D6C5F" w:rsidRPr="00726A1B" w:rsidRDefault="002D6C5F" w:rsidP="002D6C5F">
      <w:pPr>
        <w:pStyle w:val="NormalHanging12a"/>
      </w:pPr>
      <w:r w:rsidRPr="00726A1B">
        <w:t>–</w:t>
      </w:r>
      <w:r w:rsidRPr="00726A1B">
        <w:tab/>
        <w:t>med beaktande av associeringsavtalet mellan Europeiska unionen och Europeiska atomenergigemenskapen och deras medlemsstater, å ena sidan, och Republiken Moldavien, å andra sidan</w:t>
      </w:r>
      <w:r w:rsidRPr="00726A1B">
        <w:rPr>
          <w:vertAlign w:val="superscript"/>
        </w:rPr>
        <w:footnoteReference w:id="3"/>
      </w:r>
      <w:r w:rsidRPr="00726A1B">
        <w:t>, vilket inkluderar ett djupgående och omfattande frihandelsområde,</w:t>
      </w:r>
    </w:p>
    <w:p w14:paraId="070BCE89" w14:textId="77777777" w:rsidR="002D6C5F" w:rsidRPr="00726A1B" w:rsidRDefault="002D6C5F" w:rsidP="002D6C5F">
      <w:pPr>
        <w:pStyle w:val="NormalHanging12a"/>
      </w:pPr>
      <w:r w:rsidRPr="00726A1B">
        <w:t>–</w:t>
      </w:r>
      <w:r w:rsidRPr="00726A1B">
        <w:tab/>
        <w:t>med beaktande av Europeiska rådets slutsatser om Moldavien av den 27 juni 2025,</w:t>
      </w:r>
    </w:p>
    <w:p w14:paraId="6AFF0A80" w14:textId="77777777" w:rsidR="002D6C5F" w:rsidRPr="00726A1B" w:rsidRDefault="002D6C5F" w:rsidP="002D6C5F">
      <w:pPr>
        <w:pStyle w:val="NormalHanging12a"/>
      </w:pPr>
      <w:r w:rsidRPr="00726A1B">
        <w:t>–</w:t>
      </w:r>
      <w:r w:rsidRPr="00726A1B">
        <w:tab/>
        <w:t>med beaktande av besöket av tre av EU:s stats- och regeringschefer (Frankrike, Tyskland och Polen) i Moldavien den 27 augusti 2025 och besöket av Rumäniens president i Moldavien den 31 augusti 2025,</w:t>
      </w:r>
    </w:p>
    <w:p w14:paraId="5542D231" w14:textId="77777777" w:rsidR="002D6C5F" w:rsidRPr="00726A1B" w:rsidRDefault="002D6C5F" w:rsidP="002D6C5F">
      <w:pPr>
        <w:pStyle w:val="NormalHanging12a"/>
      </w:pPr>
      <w:r w:rsidRPr="00726A1B">
        <w:t>–</w:t>
      </w:r>
      <w:r w:rsidRPr="00726A1B">
        <w:tab/>
        <w:t>med beaktande av besöket av Moldaviens president i Europaparlamentet den 9 september 2025,</w:t>
      </w:r>
    </w:p>
    <w:p w14:paraId="7F867C89" w14:textId="77777777" w:rsidR="002D6C5F" w:rsidRPr="00726A1B" w:rsidRDefault="002D6C5F" w:rsidP="002D6C5F">
      <w:pPr>
        <w:pStyle w:val="NormalHanging12a"/>
      </w:pPr>
      <w:r w:rsidRPr="00726A1B">
        <w:t>–</w:t>
      </w:r>
      <w:r w:rsidRPr="00726A1B">
        <w:tab/>
        <w:t>med beaktande av den gemensamma förklaringen efter det första toppmötet mellan Moldavien och EU den 4 juli 2025,</w:t>
      </w:r>
    </w:p>
    <w:p w14:paraId="656492B2" w14:textId="77777777" w:rsidR="002D6C5F" w:rsidRPr="00726A1B" w:rsidRDefault="002D6C5F" w:rsidP="002D6C5F">
      <w:pPr>
        <w:pStyle w:val="NormalHanging12a"/>
      </w:pPr>
      <w:r w:rsidRPr="00726A1B">
        <w:t>–</w:t>
      </w:r>
      <w:r w:rsidRPr="00726A1B">
        <w:tab/>
        <w:t xml:space="preserve">med beaktande av besöket av kommissionsledamoten med ansvar för utvidgning i </w:t>
      </w:r>
      <w:r w:rsidRPr="00726A1B">
        <w:lastRenderedPageBreak/>
        <w:t>Moldavien den 9 maj 2025 (Europadagen),</w:t>
      </w:r>
    </w:p>
    <w:p w14:paraId="5E5CAB7A" w14:textId="77777777" w:rsidR="002D6C5F" w:rsidRPr="00726A1B" w:rsidRDefault="002D6C5F" w:rsidP="002D6C5F">
      <w:pPr>
        <w:pStyle w:val="NormalHanging12a"/>
      </w:pPr>
      <w:r w:rsidRPr="00726A1B">
        <w:t>–</w:t>
      </w:r>
      <w:r w:rsidRPr="00726A1B">
        <w:tab/>
        <w:t>med beaktande av artikel 136.2 och 136.4 i arbetsordningen, och av följande skäl:</w:t>
      </w:r>
    </w:p>
    <w:p w14:paraId="242B47FB" w14:textId="77777777" w:rsidR="002D6C5F" w:rsidRPr="00726A1B" w:rsidRDefault="002D6C5F" w:rsidP="002D6C5F">
      <w:pPr>
        <w:pStyle w:val="NormalHanging12a"/>
      </w:pPr>
      <w:r w:rsidRPr="00726A1B">
        <w:t>A.</w:t>
      </w:r>
      <w:r w:rsidRPr="00726A1B">
        <w:tab/>
        <w:t>Den 28 september 2025 kommer Moldavien att hålla ett parlamentsval som kommer att avgöra landets fortsatta demokratiska konsolidering och ytterligare framsteg på vägen mot EU-anslutning samt dess framtid som en fri och suverän demokrati inom EU. Detta parlamentsval äger rum i en kontext som präglas av fortsatt inblandning och försök från ryskt håll att destabilisera landets politiska landskap och demokratiska valprocesser.</w:t>
      </w:r>
    </w:p>
    <w:p w14:paraId="2B7527CD" w14:textId="77777777" w:rsidR="002D6C5F" w:rsidRPr="00726A1B" w:rsidRDefault="002D6C5F" w:rsidP="002D6C5F">
      <w:pPr>
        <w:pStyle w:val="NormalHanging12a"/>
        <w:widowControl/>
      </w:pPr>
      <w:r w:rsidRPr="00726A1B">
        <w:t>B.</w:t>
      </w:r>
      <w:r w:rsidRPr="00726A1B">
        <w:tab/>
        <w:t>Moldavien höll en folkomröstning den 20 oktober 2024, vars resultat bekräftade att en anslutning till EU skulle förankras i Moldaviens konstitution, trots en manipulativ inblandning av aldrig tidigare skådad omfattning från Rysslands sida för att destabilisera landet, som inbegrep olaglig finansiering av politiska aktörer, desinformationskampanjer och cyberattacker.</w:t>
      </w:r>
    </w:p>
    <w:p w14:paraId="48849F1E" w14:textId="77777777" w:rsidR="002D6C5F" w:rsidRPr="00726A1B" w:rsidRDefault="002D6C5F" w:rsidP="002D6C5F">
      <w:pPr>
        <w:pStyle w:val="NormalHanging12a"/>
        <w:rPr>
          <w:i/>
          <w:iCs/>
        </w:rPr>
      </w:pPr>
      <w:r w:rsidRPr="00726A1B">
        <w:t>C.</w:t>
      </w:r>
      <w:r w:rsidRPr="00726A1B">
        <w:tab/>
        <w:t xml:space="preserve">Det finns talrika rapporter om förnyade och intensifierade försök till desinformation, destabilisering och inblandning från Ryssland och ryska </w:t>
      </w:r>
      <w:proofErr w:type="spellStart"/>
      <w:r w:rsidRPr="00726A1B">
        <w:t>proxyaktörer</w:t>
      </w:r>
      <w:proofErr w:type="spellEnd"/>
      <w:r w:rsidRPr="00726A1B">
        <w:t xml:space="preserve"> i syfte att stjälpa Moldaviens process med demokratiska reformer och europeisk integration, ta politisk kontroll över processen och ytterligare förfina hybridtaktiken mot Moldavien, Ukraina och andra europeiska länder, såsom nyligen skett i Rumänien.</w:t>
      </w:r>
    </w:p>
    <w:p w14:paraId="22D90BDB" w14:textId="77777777" w:rsidR="002D6C5F" w:rsidRPr="00726A1B" w:rsidRDefault="002D6C5F" w:rsidP="002D6C5F">
      <w:pPr>
        <w:pStyle w:val="NormalHanging12a"/>
      </w:pPr>
      <w:r w:rsidRPr="00726A1B">
        <w:t>D.</w:t>
      </w:r>
      <w:r w:rsidRPr="00726A1B">
        <w:tab/>
        <w:t xml:space="preserve">Efter mötet i högsta säkerhetsrådet den 30 juli 2025 lade president Maia </w:t>
      </w:r>
      <w:proofErr w:type="spellStart"/>
      <w:r w:rsidRPr="00726A1B">
        <w:t>Sandu</w:t>
      </w:r>
      <w:proofErr w:type="spellEnd"/>
      <w:r w:rsidRPr="00726A1B">
        <w:t xml:space="preserve"> fram slutsatser från Moldaviens specialiserade institutioner om metoder för hybridkrigföring och identifierade tio huvudsakliga instrument för utländsk inblandning i Moldaviens politiska processer och valprocesser.</w:t>
      </w:r>
    </w:p>
    <w:p w14:paraId="7BA88EBF" w14:textId="77777777" w:rsidR="002D6C5F" w:rsidRPr="00726A1B" w:rsidRDefault="002D6C5F" w:rsidP="002D6C5F">
      <w:pPr>
        <w:pStyle w:val="NormalHanging12a"/>
      </w:pPr>
      <w:r w:rsidRPr="00726A1B">
        <w:t>E.</w:t>
      </w:r>
      <w:r w:rsidRPr="00726A1B">
        <w:tab/>
        <w:t xml:space="preserve">Den 15 juli 2025 införde EU sanktioner mot sju personer och tre enheter som är ansvariga för handlingar som syftar till att destabilisera, undergräva eller hota Moldaviens suveränitet och oberoende samt demokratin, rättsstaten och stabiliteten i landet. Dessa sanktioner riktar sig mot nära medarbetare till </w:t>
      </w:r>
      <w:proofErr w:type="spellStart"/>
      <w:r w:rsidRPr="00726A1B">
        <w:t>Ilan</w:t>
      </w:r>
      <w:proofErr w:type="spellEnd"/>
      <w:r w:rsidRPr="00726A1B">
        <w:t xml:space="preserve"> </w:t>
      </w:r>
      <w:proofErr w:type="spellStart"/>
      <w:r w:rsidRPr="00726A1B">
        <w:t>Shor</w:t>
      </w:r>
      <w:proofErr w:type="spellEnd"/>
      <w:r w:rsidRPr="00726A1B">
        <w:t xml:space="preserve"> och det förbjudna </w:t>
      </w:r>
      <w:proofErr w:type="spellStart"/>
      <w:r w:rsidRPr="00726A1B">
        <w:t>Șor</w:t>
      </w:r>
      <w:proofErr w:type="spellEnd"/>
      <w:r w:rsidRPr="00726A1B">
        <w:t>-partiet, personer som är aktivt inblandade i röstköp och bestickning av korrupta politiker.</w:t>
      </w:r>
    </w:p>
    <w:p w14:paraId="0C792C74" w14:textId="77777777" w:rsidR="002D6C5F" w:rsidRPr="00726A1B" w:rsidRDefault="002D6C5F" w:rsidP="002D6C5F">
      <w:pPr>
        <w:pStyle w:val="NormalHanging12a"/>
      </w:pPr>
      <w:r w:rsidRPr="00726A1B">
        <w:t>F.</w:t>
      </w:r>
      <w:r w:rsidRPr="00726A1B">
        <w:tab/>
        <w:t xml:space="preserve">Det moldaviska civila samhället och oberoende medier spelar en avgörande roll för att avslöja desinformation, stärka motståndskraften och försvara demokratiska värden. Moldavien har lyckats befästa sin demokrati avsevärt, fortsätta på sin reformbana och utveckla sina förbindelser med EU. Förbättringarna av landets demokratiska system återspeglas i flera internationella index, där landet rankas allt högre. Moldavien har gjort märkbara framsteg med reformer av rättsväsendet, </w:t>
      </w:r>
      <w:proofErr w:type="gramStart"/>
      <w:r w:rsidRPr="00726A1B">
        <w:t>inbegripet säkerhetsprövning</w:t>
      </w:r>
      <w:proofErr w:type="gramEnd"/>
      <w:r w:rsidRPr="00726A1B">
        <w:t xml:space="preserve"> och omstrukturering av domstolsväsendet, vilket stärkt dess oberoende och förbättrat bestämmelser om korruptionsbekämpning. Allmänhetens förtroende för demokratiska institutioner är väsentligt för Moldaviens stabilitet och motståndskraft mot skadlig inblandning.</w:t>
      </w:r>
    </w:p>
    <w:p w14:paraId="5A15AE72" w14:textId="5447F164" w:rsidR="00E547B0" w:rsidRPr="00726A1B" w:rsidRDefault="00E547B0" w:rsidP="002D6C5F">
      <w:pPr>
        <w:pStyle w:val="NormalHanging12a"/>
      </w:pPr>
      <w:r w:rsidRPr="00726A1B">
        <w:t>G.</w:t>
      </w:r>
      <w:r w:rsidRPr="00726A1B">
        <w:tab/>
        <w:t xml:space="preserve">En nyligen genomförd granskning av journalister, baserad på en infiltration av partinätverket </w:t>
      </w:r>
      <w:proofErr w:type="spellStart"/>
      <w:r w:rsidRPr="00726A1B">
        <w:t>Șor</w:t>
      </w:r>
      <w:proofErr w:type="spellEnd"/>
      <w:r w:rsidRPr="00726A1B">
        <w:t xml:space="preserve"> av en reporter under täckmantel som inleddes 2024, visade att hundratals falska konton, i händerna på aktivister från det politiska blocket ”Seger” under ledning av </w:t>
      </w:r>
      <w:proofErr w:type="spellStart"/>
      <w:r w:rsidRPr="00726A1B">
        <w:t>Ilan</w:t>
      </w:r>
      <w:proofErr w:type="spellEnd"/>
      <w:r w:rsidRPr="00726A1B">
        <w:t xml:space="preserve"> </w:t>
      </w:r>
      <w:proofErr w:type="spellStart"/>
      <w:r w:rsidRPr="00726A1B">
        <w:t>Șor</w:t>
      </w:r>
      <w:proofErr w:type="spellEnd"/>
      <w:r w:rsidRPr="00726A1B">
        <w:t xml:space="preserve"> från Moskva, hade skapats för att sprida rysk propaganda på </w:t>
      </w:r>
      <w:proofErr w:type="spellStart"/>
      <w:r w:rsidRPr="00726A1B">
        <w:t>TikTok</w:t>
      </w:r>
      <w:proofErr w:type="spellEnd"/>
      <w:r w:rsidRPr="00726A1B">
        <w:t xml:space="preserve"> och Facebook. Detta antieuropeiska innehåll, fullständigt i linje med narrativ från Kreml, övervakades och samordnades systematiskt genom hemliga grupper och </w:t>
      </w:r>
      <w:r w:rsidRPr="00726A1B">
        <w:lastRenderedPageBreak/>
        <w:t>kanaler på Telegram</w:t>
      </w:r>
      <w:r w:rsidRPr="00726A1B">
        <w:rPr>
          <w:rStyle w:val="FootnoteReference"/>
        </w:rPr>
        <w:footnoteReference w:id="4"/>
      </w:r>
      <w:r w:rsidRPr="00726A1B">
        <w:t>.</w:t>
      </w:r>
      <w:r w:rsidRPr="00726A1B">
        <w:tab/>
      </w:r>
    </w:p>
    <w:p w14:paraId="1FAB0362" w14:textId="63739260" w:rsidR="002D6C5F" w:rsidRPr="00726A1B" w:rsidRDefault="00E547B0" w:rsidP="002D6C5F">
      <w:pPr>
        <w:pStyle w:val="NormalHanging12a"/>
      </w:pPr>
      <w:r w:rsidRPr="00726A1B">
        <w:t>H</w:t>
      </w:r>
      <w:r w:rsidR="002D6C5F" w:rsidRPr="00726A1B">
        <w:t>.</w:t>
      </w:r>
      <w:r w:rsidR="002D6C5F" w:rsidRPr="00726A1B">
        <w:tab/>
        <w:t>Det är viktigt att offentligt visa orubblig solidaritet med det moldaviska folket, som har drabbats hårt av Rysslands anfallskrig mot Ukraina och av fortsatta, riktade ryska hybridhot som syftar till att destabilisera landet politiskt, undergräva det ekonomiska välståndet och försvaga den sociala sammanhållningen.</w:t>
      </w:r>
    </w:p>
    <w:p w14:paraId="7EAD84A4" w14:textId="63C355FF" w:rsidR="002D6C5F" w:rsidRPr="00726A1B" w:rsidRDefault="00E547B0" w:rsidP="002D6C5F">
      <w:pPr>
        <w:pStyle w:val="NormalHanging12a"/>
      </w:pPr>
      <w:r w:rsidRPr="00726A1B">
        <w:t>I</w:t>
      </w:r>
      <w:r w:rsidR="002D6C5F" w:rsidRPr="00726A1B">
        <w:t>.</w:t>
      </w:r>
      <w:r w:rsidR="002D6C5F" w:rsidRPr="00726A1B">
        <w:tab/>
        <w:t>Enligt moldaviska uppskattningar har Ryssland redan investerat över 200 miljoner euro, vilket motsvarar mer än 1 % av Moldaviens BNP, i propaganda- och informationsaktiviteter i Moldavien.</w:t>
      </w:r>
    </w:p>
    <w:p w14:paraId="61C670B3" w14:textId="57C711C5" w:rsidR="002D6C5F" w:rsidRPr="00726A1B" w:rsidRDefault="00E547B0" w:rsidP="002D6C5F">
      <w:pPr>
        <w:pStyle w:val="NormalHanging12a"/>
      </w:pPr>
      <w:r w:rsidRPr="00726A1B">
        <w:t>J</w:t>
      </w:r>
      <w:r w:rsidR="002D6C5F" w:rsidRPr="00726A1B">
        <w:t>.</w:t>
      </w:r>
      <w:r w:rsidR="002D6C5F" w:rsidRPr="00726A1B">
        <w:tab/>
        <w:t>Deltagandet av en delegation från Europaparlamentet i det internationella valobservatörsuppdraget från kontoret för demokratiska institutioner och mänskliga rättigheter (ODIHR) vid Organisationen för säkerhet och samarbete i Europa (OSSE) inför det moldaviska parlamentsvalet den 28 september 2025 visar på parlamentets engagemang för att stödja valprocessernas integritet och stärka de demokratiska institutionerna i Moldavien.</w:t>
      </w:r>
    </w:p>
    <w:p w14:paraId="14DE7D3D" w14:textId="0B018F42" w:rsidR="002D6C5F" w:rsidRPr="00726A1B" w:rsidRDefault="00E547B0" w:rsidP="002D6C5F">
      <w:pPr>
        <w:pStyle w:val="NormalHanging12a"/>
      </w:pPr>
      <w:r w:rsidRPr="00726A1B">
        <w:t>K</w:t>
      </w:r>
      <w:r w:rsidR="002D6C5F" w:rsidRPr="00726A1B">
        <w:t>.</w:t>
      </w:r>
      <w:r w:rsidR="002D6C5F" w:rsidRPr="00726A1B">
        <w:tab/>
        <w:t>I sina slutsatser från juni 2025 bekräftade Europeiska rådet sitt fulla stöd för Moldaviens väg mot EU och uppmanade rådet att ta nästa steg i anslutningsprocessen. EU:s utvidgning bygger på strikta villkor och principen att varje kandidatland bedöms utifrån sina egna meriter och framsteg med reformer.</w:t>
      </w:r>
    </w:p>
    <w:p w14:paraId="36774A74" w14:textId="77777777" w:rsidR="002D6C5F" w:rsidRPr="00726A1B" w:rsidRDefault="002D6C5F" w:rsidP="002D6C5F">
      <w:pPr>
        <w:pStyle w:val="NormalHanging12a"/>
      </w:pPr>
      <w:r w:rsidRPr="00726A1B">
        <w:t>1.</w:t>
      </w:r>
      <w:r w:rsidRPr="00726A1B">
        <w:tab/>
        <w:t>Europaparlamentet uttrycker sin solidaritet med Moldaviens folk och uttrycker sitt fulla stöd för landets oberoende, suveränitet och territoriella integritet och för dess insatser för att värna integriteten i sina demokratiska processer, suveräniteten i sina utrikespolitiska beslut och de socioekonomiska utsikterna för sin befolkning. Parlamentet uppmanar därför Ryssland att respektera Moldaviens oberoende, suveränitet och territoriella integritet och att upphöra med sina försök att undergräva Moldaviens konstitutionella ordning och demokratiska institutioner.</w:t>
      </w:r>
    </w:p>
    <w:p w14:paraId="19700DF3" w14:textId="77777777" w:rsidR="002D6C5F" w:rsidRPr="00726A1B" w:rsidRDefault="002D6C5F" w:rsidP="002D6C5F">
      <w:pPr>
        <w:pStyle w:val="NormalHanging12a"/>
        <w:rPr>
          <w:szCs w:val="24"/>
        </w:rPr>
      </w:pPr>
      <w:r w:rsidRPr="00726A1B">
        <w:t>2.</w:t>
      </w:r>
      <w:r w:rsidRPr="00726A1B">
        <w:tab/>
        <w:t xml:space="preserve">Europaparlamentet fördömer de upprepade försöken från Ryssland, </w:t>
      </w:r>
      <w:proofErr w:type="spellStart"/>
      <w:r w:rsidRPr="00726A1B">
        <w:t>proryska</w:t>
      </w:r>
      <w:proofErr w:type="spellEnd"/>
      <w:r w:rsidRPr="00726A1B">
        <w:t xml:space="preserve"> oligarker och ryskstödda lokala </w:t>
      </w:r>
      <w:proofErr w:type="spellStart"/>
      <w:r w:rsidRPr="00726A1B">
        <w:t>proxyaktörer</w:t>
      </w:r>
      <w:proofErr w:type="spellEnd"/>
      <w:r w:rsidRPr="00726A1B">
        <w:t xml:space="preserve"> att destabilisera Moldavien, så split i det moldaviska samhället och urholka landets demokrati och framsteg mot EU-anslutning genom hybridattacker, manipulering av energiförsörjningen för att uppnå politiska mål, olaglig finansiering av politiska aktörer samt desinformations-, manipulations- och skrämselkampanjer riktade mot organisationer i det civila samhället och oberoende medier.</w:t>
      </w:r>
    </w:p>
    <w:p w14:paraId="7AD3D387" w14:textId="77777777" w:rsidR="002D6C5F" w:rsidRPr="00726A1B" w:rsidRDefault="002D6C5F" w:rsidP="002D6C5F">
      <w:pPr>
        <w:pStyle w:val="NormalHanging12a"/>
        <w:rPr>
          <w:szCs w:val="24"/>
        </w:rPr>
      </w:pPr>
      <w:r w:rsidRPr="00726A1B">
        <w:t>3.</w:t>
      </w:r>
      <w:r w:rsidRPr="00726A1B">
        <w:tab/>
        <w:t>Europaparlamentet fördömer de intensifierade ryska hybridoperationerna och försöken till inblandning inför parlamentsvalet den 28 september 2025, som tydligt syftar till att destabilisera landet och sabotera dess demokratiska kurs och suveräna beslut, i synnerhet när det gäller ett framtida EU-medlemskap.</w:t>
      </w:r>
    </w:p>
    <w:p w14:paraId="2B66E159" w14:textId="77777777" w:rsidR="002D6C5F" w:rsidRPr="00726A1B" w:rsidRDefault="002D6C5F" w:rsidP="002D6C5F">
      <w:pPr>
        <w:pStyle w:val="NormalHanging12a"/>
        <w:rPr>
          <w:szCs w:val="24"/>
          <w:shd w:val="clear" w:color="auto" w:fill="FFFFFF"/>
        </w:rPr>
      </w:pPr>
      <w:r w:rsidRPr="00726A1B">
        <w:t>4.</w:t>
      </w:r>
      <w:r w:rsidRPr="00726A1B">
        <w:tab/>
      </w:r>
      <w:r w:rsidRPr="00726A1B">
        <w:rPr>
          <w:shd w:val="clear" w:color="auto" w:fill="FFFFFF"/>
        </w:rPr>
        <w:t xml:space="preserve">Europaparlamentet lovordar Moldaviens föredömliga engagemang och stadiga framsteg med reformer relaterade till EU-anslutningen – trots betydande interna och externa utmaningar såsom Rysslands fullskaliga anfallskrig mot Ukraina och riktade ryska hybridhot mot Moldavien – som gjorde det möjligt att inleda anslutningsförhandlingar </w:t>
      </w:r>
      <w:r w:rsidRPr="00726A1B">
        <w:rPr>
          <w:shd w:val="clear" w:color="auto" w:fill="FFFFFF"/>
        </w:rPr>
        <w:lastRenderedPageBreak/>
        <w:t xml:space="preserve">i juni 2024, bara ett halvår efter Europeiska rådets beslut om detta den 14 december 2023 och mindre än två år efter Moldaviens ansökan om EU-medlemskap den 3 mars 2022. </w:t>
      </w:r>
      <w:r w:rsidRPr="00726A1B">
        <w:rPr>
          <w:rStyle w:val="highlight-diff"/>
          <w:color w:val="000000"/>
          <w:shd w:val="clear" w:color="auto" w:fill="FFFFFF"/>
        </w:rPr>
        <w:t>Parlamentet uppmanar rådet och kommissionen att upprätthålla den meritbaserade principen genom att bedöma varje kandidatland för sig och se till att framstegen i anslutningsprocessen, inbegripet öppnandet av förhandlingskapitel, avgörs av landets egna resultat och omständigheter.</w:t>
      </w:r>
      <w:r w:rsidRPr="00726A1B">
        <w:t xml:space="preserve"> </w:t>
      </w:r>
      <w:r w:rsidRPr="00726A1B">
        <w:rPr>
          <w:shd w:val="clear" w:color="auto" w:fill="FFFFFF"/>
        </w:rPr>
        <w:t>Parlamentet bekräftar sitt orubbliga stöd för Moldaviens utsikter till EU-medlemskap. Parlamentet uppmanar vidare rådet att snabbt inleda anslutningsförhandlingar om kluster 1 (grundläggande principer) som ett erkännande av Moldaviens betydande framsteg med viktiga reformer.</w:t>
      </w:r>
    </w:p>
    <w:p w14:paraId="24DFDE30" w14:textId="77777777" w:rsidR="002D6C5F" w:rsidRPr="00726A1B" w:rsidRDefault="002D6C5F" w:rsidP="002D6C5F">
      <w:pPr>
        <w:pStyle w:val="NormalHanging12a"/>
        <w:rPr>
          <w:szCs w:val="24"/>
        </w:rPr>
      </w:pPr>
      <w:r w:rsidRPr="00726A1B">
        <w:rPr>
          <w:shd w:val="clear" w:color="auto" w:fill="FFFFFF"/>
        </w:rPr>
        <w:t>5.</w:t>
      </w:r>
      <w:r w:rsidRPr="00726A1B">
        <w:rPr>
          <w:shd w:val="clear" w:color="auto" w:fill="FFFFFF"/>
        </w:rPr>
        <w:tab/>
        <w:t xml:space="preserve">Europaparlamentet uppmanar EU att fortsätta att stödja Moldavien för att säkerställa fria, rättvisa och transparenta val. Parlamentet understryker den viktiga roll som internationella observatörer spelar, inte bara för att övervaka valprocessen, utan även för att övervaka och dokumentera skadlig utländsk inblandning, </w:t>
      </w:r>
      <w:proofErr w:type="gramStart"/>
      <w:r w:rsidRPr="00726A1B">
        <w:rPr>
          <w:shd w:val="clear" w:color="auto" w:fill="FFFFFF"/>
        </w:rPr>
        <w:t>inbegripet desinformation</w:t>
      </w:r>
      <w:proofErr w:type="gramEnd"/>
      <w:r w:rsidRPr="00726A1B">
        <w:rPr>
          <w:shd w:val="clear" w:color="auto" w:fill="FFFFFF"/>
        </w:rPr>
        <w:t>, olaglig finansiering och samordnade cyber- eller påverkansoperationer.</w:t>
      </w:r>
    </w:p>
    <w:p w14:paraId="3B5B9C86" w14:textId="77777777" w:rsidR="002D6C5F" w:rsidRPr="00726A1B" w:rsidRDefault="002D6C5F" w:rsidP="002D6C5F">
      <w:pPr>
        <w:pStyle w:val="NormalHanging12a"/>
      </w:pPr>
      <w:r w:rsidRPr="00726A1B">
        <w:t>6.</w:t>
      </w:r>
      <w:r w:rsidRPr="00726A1B">
        <w:tab/>
        <w:t>Europaparlamentet uttrycker sin fasta övertygelse att Moldaviens förmåga att befästa sina nuvarande framsteg med reformer relaterade till EU-anslutningen och upprätthålla sitt ambitiösa tempo i riktning mot EU-medlemskap kommer att kräva ett starkt och genuint stöd från landets parlament.</w:t>
      </w:r>
    </w:p>
    <w:p w14:paraId="4490864A" w14:textId="77777777" w:rsidR="002D6C5F" w:rsidRPr="00726A1B" w:rsidRDefault="002D6C5F" w:rsidP="002D6C5F">
      <w:pPr>
        <w:pStyle w:val="NormalHanging12a"/>
      </w:pPr>
      <w:r w:rsidRPr="00726A1B">
        <w:t>7.</w:t>
      </w:r>
      <w:r w:rsidRPr="00726A1B">
        <w:tab/>
        <w:t xml:space="preserve">Europaparlamentet noterar med tillfredsställelse EU:s insatser för att ge politiskt stöd till Moldavien på högsta nivå, särskilt det första toppmötet någonsin mellan EU och Moldavien i </w:t>
      </w:r>
      <w:proofErr w:type="spellStart"/>
      <w:r w:rsidRPr="00726A1B">
        <w:t>Chișinău</w:t>
      </w:r>
      <w:proofErr w:type="spellEnd"/>
      <w:r w:rsidRPr="00726A1B">
        <w:t xml:space="preserve"> den 4 juli 2025, besöket av stats- och regeringschefer från EU (Frankrike, Tyskland och Polen) i Moldavien den 27 augusti 2025 och besöket av Rumäniens president i Moldavien den 31 augusti 2025, som alla syftade till att återigen betona Moldaviens tydliga utsikter till en EU-anslutning på grundval av meriter och respekt för demokratiska principer.</w:t>
      </w:r>
    </w:p>
    <w:p w14:paraId="777C94E7" w14:textId="77777777" w:rsidR="002D6C5F" w:rsidRPr="00726A1B" w:rsidRDefault="002D6C5F" w:rsidP="002D6C5F">
      <w:pPr>
        <w:pStyle w:val="NormalHanging12a"/>
        <w:rPr>
          <w:rStyle w:val="NormalHanging12aChar"/>
          <w:color w:val="000000"/>
          <w:szCs w:val="24"/>
        </w:rPr>
      </w:pPr>
      <w:r w:rsidRPr="00726A1B">
        <w:t>8.</w:t>
      </w:r>
      <w:r w:rsidRPr="00726A1B">
        <w:tab/>
        <w:t xml:space="preserve">Europaparlamentet upprepar sin uppmaning till EU att fortsätta att komplettera sitt politiska stöd med ökat ekonomiskt och tekniskt stöd till den moldaviska regeringens insatser för att motverka utländsk inblandning i landets demokratiska processer, bland annat genom ytterligare sanktionslistor såsom listorna av den 15 juli 2025, beviljande av ytterligare stöd till EU:s partnerskapsuppdrag (EUPM) i Moldavien, utbyte av information om misstänkta finansiella flöden, inbegripet kryptovalutor, och om ogenomskinliga eller olagliga finansieringsnätverk, utbyte av sakkunskap om utländsk informationsmanipulering och inblandning, bekämpning av hybridhot samt stärkt </w:t>
      </w:r>
      <w:bookmarkStart w:id="7" w:name="_Hlk194942091"/>
      <w:proofErr w:type="spellStart"/>
      <w:r w:rsidRPr="00726A1B">
        <w:rPr>
          <w:rStyle w:val="NormalHanging12aChar"/>
          <w:color w:val="000000"/>
        </w:rPr>
        <w:t>resiliens</w:t>
      </w:r>
      <w:proofErr w:type="spellEnd"/>
      <w:r w:rsidRPr="00726A1B">
        <w:rPr>
          <w:rStyle w:val="NormalHanging12aChar"/>
          <w:color w:val="000000"/>
        </w:rPr>
        <w:t>. Parlamentet uppmanar på nytt de moldaviska myndigheterna och EU att öka sitt stöd till oberoende medier och ett prodemokratiskt civilsamhälle, för att göra det möjligt för journalister på nationell och regional nivå att motverka utländsk informationsmanipulering och inblandning samt stärka den digitala kompetensen.</w:t>
      </w:r>
      <w:bookmarkEnd w:id="7"/>
      <w:r w:rsidRPr="00726A1B">
        <w:rPr>
          <w:rStyle w:val="NormalHanging12aChar"/>
          <w:color w:val="000000"/>
        </w:rPr>
        <w:t xml:space="preserve"> Parlamentet välkomnar kommissionens tillkännagivande av ett nytt regionalt nav för det europeiska observatoriet för digitala medier (</w:t>
      </w:r>
      <w:proofErr w:type="spellStart"/>
      <w:r w:rsidRPr="00726A1B">
        <w:rPr>
          <w:rStyle w:val="NormalHanging12aChar"/>
          <w:color w:val="000000"/>
        </w:rPr>
        <w:t>Edmo</w:t>
      </w:r>
      <w:proofErr w:type="spellEnd"/>
      <w:r w:rsidRPr="00726A1B">
        <w:rPr>
          <w:rStyle w:val="NormalHanging12aChar"/>
          <w:color w:val="000000"/>
        </w:rPr>
        <w:t xml:space="preserve">) för att stödja Moldavien och Ukraina i kampen mot desinformation. Parlamentet uppmanar eftertryckligen alla stora </w:t>
      </w:r>
      <w:proofErr w:type="spellStart"/>
      <w:r w:rsidRPr="00726A1B">
        <w:rPr>
          <w:rStyle w:val="NormalHanging12aChar"/>
          <w:color w:val="000000"/>
        </w:rPr>
        <w:t>onlineplattformar</w:t>
      </w:r>
      <w:proofErr w:type="spellEnd"/>
      <w:r w:rsidRPr="00726A1B">
        <w:rPr>
          <w:rStyle w:val="NormalHanging12aChar"/>
          <w:color w:val="000000"/>
        </w:rPr>
        <w:t xml:space="preserve">, särskilt Meta, Google, Telegram, </w:t>
      </w:r>
      <w:proofErr w:type="spellStart"/>
      <w:r w:rsidRPr="00726A1B">
        <w:rPr>
          <w:rStyle w:val="NormalHanging12aChar"/>
          <w:color w:val="000000"/>
        </w:rPr>
        <w:t>TikTok</w:t>
      </w:r>
      <w:proofErr w:type="spellEnd"/>
      <w:r w:rsidRPr="00726A1B">
        <w:rPr>
          <w:rStyle w:val="NormalHanging12aChar"/>
          <w:color w:val="000000"/>
        </w:rPr>
        <w:t xml:space="preserve">, Microsoft och </w:t>
      </w:r>
      <w:proofErr w:type="spellStart"/>
      <w:r w:rsidRPr="00726A1B">
        <w:rPr>
          <w:rStyle w:val="NormalHanging12aChar"/>
          <w:color w:val="000000"/>
        </w:rPr>
        <w:t>Rakuten</w:t>
      </w:r>
      <w:proofErr w:type="spellEnd"/>
      <w:r w:rsidRPr="00726A1B">
        <w:rPr>
          <w:rStyle w:val="NormalHanging12aChar"/>
          <w:color w:val="000000"/>
        </w:rPr>
        <w:t xml:space="preserve">, att ha ett nära samarbete med de moldaviska myndigheterna, det civila samhället och det nya </w:t>
      </w:r>
      <w:proofErr w:type="spellStart"/>
      <w:r w:rsidRPr="00726A1B">
        <w:rPr>
          <w:rStyle w:val="NormalHanging12aChar"/>
          <w:color w:val="000000"/>
        </w:rPr>
        <w:t>Edmo</w:t>
      </w:r>
      <w:proofErr w:type="spellEnd"/>
      <w:r w:rsidRPr="00726A1B">
        <w:rPr>
          <w:rStyle w:val="NormalHanging12aChar"/>
          <w:color w:val="000000"/>
        </w:rPr>
        <w:t xml:space="preserve">-navet. Parlamentet uppmanar Moldavien att utan dröjsmål anpassa sin </w:t>
      </w:r>
      <w:r w:rsidRPr="00726A1B">
        <w:rPr>
          <w:rStyle w:val="NormalHanging12aChar"/>
          <w:color w:val="000000"/>
        </w:rPr>
        <w:lastRenderedPageBreak/>
        <w:t>lagstiftning till EU:s förordning om digitala marknader</w:t>
      </w:r>
      <w:r w:rsidRPr="00726A1B">
        <w:rPr>
          <w:rStyle w:val="FootnoteReference"/>
          <w:color w:val="000000"/>
        </w:rPr>
        <w:footnoteReference w:id="5"/>
      </w:r>
      <w:r w:rsidRPr="00726A1B">
        <w:rPr>
          <w:rStyle w:val="NormalHanging12aChar"/>
          <w:color w:val="000000"/>
        </w:rPr>
        <w:t xml:space="preserve"> och förordning om digitala tjänster</w:t>
      </w:r>
      <w:r w:rsidRPr="00726A1B">
        <w:rPr>
          <w:rStyle w:val="FootnoteReference"/>
          <w:color w:val="000000"/>
        </w:rPr>
        <w:footnoteReference w:id="6"/>
      </w:r>
      <w:r w:rsidRPr="00726A1B">
        <w:rPr>
          <w:rStyle w:val="NormalHanging12aChar"/>
          <w:color w:val="000000"/>
        </w:rPr>
        <w:t>. Parlamentet uppmanar kommissionen att ge Moldavien särskilt stöd i detta avseende.</w:t>
      </w:r>
    </w:p>
    <w:p w14:paraId="016961D3" w14:textId="77777777" w:rsidR="002D6C5F" w:rsidRPr="00726A1B" w:rsidRDefault="002D6C5F" w:rsidP="002D6C5F">
      <w:pPr>
        <w:pStyle w:val="NormalHanging12a"/>
        <w:rPr>
          <w:szCs w:val="24"/>
        </w:rPr>
      </w:pPr>
      <w:r w:rsidRPr="00726A1B">
        <w:t>9.</w:t>
      </w:r>
      <w:r w:rsidRPr="00726A1B">
        <w:tab/>
        <w:t xml:space="preserve">Europaparlamentet uppmuntrar de moldaviska myndigheterna att fullt ut utnyttja </w:t>
      </w:r>
      <w:proofErr w:type="spellStart"/>
      <w:r w:rsidRPr="00726A1B">
        <w:t>EUPM:s</w:t>
      </w:r>
      <w:proofErr w:type="spellEnd"/>
      <w:r w:rsidRPr="00726A1B">
        <w:t xml:space="preserve"> sakkunskap för att motverka eventuell upprepad valinblandning inför parlamentsvalet den 28 september 2025. Parlamentet uppmanar Europeiska utrikestjänsten och kommissionen att använda sig av alla tillgängliga EU-instrument för att stödja Moldavien i motverkandet av hybridhot, bland annat genom snabbinsatsteamet för hybridhot, snabbinsatsteamet för cybersäkerhet och cybersäkerhetsreserven. Parlamentet välkomnar, och uppmanar EU att öka sitt stöd till, de insatser som Moldaviens centrum för strategisk kommunikation och bekämpning av desinformation gör för att samordna de olika moldaviska myndigheternas kamp mot utländsk inblandning, liksom insatserna från den nationella byrån för cybersäkerhet och det nationella institutet för innovation på cybersäkerhetsområdet. Parlamentet upprepar vikten av att förbättra informationsutbytet och underrättelsesamarbetet om säkerhetshot mellan Moldavien och EU och dess medlemsstater. Parlamentet uppmanar EU att dra lärdom av de erfarenheter som gjorts i Moldavien och som kan tillämpas för att skydda EU:s egna valprocesser och demokratiska institutioner.</w:t>
      </w:r>
    </w:p>
    <w:p w14:paraId="42DA9187" w14:textId="77777777" w:rsidR="002D6C5F" w:rsidRPr="00726A1B" w:rsidRDefault="002D6C5F" w:rsidP="002D6C5F">
      <w:pPr>
        <w:pStyle w:val="NormalHanging12a"/>
        <w:rPr>
          <w:szCs w:val="24"/>
        </w:rPr>
      </w:pPr>
      <w:r w:rsidRPr="00726A1B">
        <w:t>10.</w:t>
      </w:r>
      <w:r w:rsidRPr="00726A1B">
        <w:tab/>
        <w:t>Europaparlamentet noterar Moldaviens konsekventa anpassning till EU:s gemensamma utrikes- och säkerhetspolitik och genomförandet av landets säkerhets- och försvarspartnerskap med EU sedan 2024 samt dess nya nationella försvarsstrategi för 2024–2034. Parlamentet uppmanar därför medlemsstaterna att öka finansieringen till Moldavien genom den europeiska fredsfaciliteten, även mot bakgrund av ryska drönares och robotars upprepade kränkningar av moldaviskt luftrum, och att inkludera Moldavien i den gemensamma försvarsupphandlingen inom ramen för programmet för europeisk försvarsindustri. Parlamentet betonar Moldaviens roll för säkerheten och stabiliteten vid EU:s östra gräns och Svartahavsregionen, i en tid av humanitära kriser och energikriser som orsakats av Rysslands anfallskrig mot Ukraina.</w:t>
      </w:r>
    </w:p>
    <w:p w14:paraId="560DB286" w14:textId="77777777" w:rsidR="002D6C5F" w:rsidRPr="00726A1B" w:rsidRDefault="002D6C5F" w:rsidP="002D6C5F">
      <w:pPr>
        <w:pStyle w:val="NormalHanging12a"/>
      </w:pPr>
      <w:r w:rsidRPr="00726A1B">
        <w:t>11.</w:t>
      </w:r>
      <w:r w:rsidRPr="00726A1B">
        <w:tab/>
        <w:t>Europaparlamentet uppmanar Ryssland att dra tillbaka sin militära personal, utrustning och ammunition från regionen Transnistrien och att stödja en fredlig lösning av konflikten i enlighet med internationell rätt och Moldaviens suveränitet och territoriella integritet.</w:t>
      </w:r>
    </w:p>
    <w:p w14:paraId="668692BF" w14:textId="1C1D6C90" w:rsidR="002D6C5F" w:rsidRPr="00726A1B" w:rsidRDefault="002D6C5F" w:rsidP="002D6C5F">
      <w:pPr>
        <w:pStyle w:val="NormalHanging12a"/>
        <w:rPr>
          <w:szCs w:val="24"/>
        </w:rPr>
      </w:pPr>
      <w:r w:rsidRPr="00726A1B">
        <w:t>12.</w:t>
      </w:r>
      <w:r w:rsidRPr="00726A1B">
        <w:tab/>
        <w:t>Europaparlamentet uppmanar eftertryckligen Moldaviens myndigheter och civilsamhälle och EU att förbättra den strategiska kommunikationen, slå hål på och bekämpa falska narrativ som förs fram av Ryssland om EU och dess politik samt lyfta fram de konkreta kort- och långsiktiga fördelarna med en EU-anslutning för människor i hela Moldavien</w:t>
      </w:r>
      <w:bookmarkStart w:id="8" w:name="_Hlk196923727"/>
      <w:r w:rsidRPr="00726A1B">
        <w:t xml:space="preserve">, med särskilt fokus på kommunikation i regioner som </w:t>
      </w:r>
      <w:proofErr w:type="spellStart"/>
      <w:r w:rsidRPr="00726A1B">
        <w:t>Gagauzien</w:t>
      </w:r>
      <w:proofErr w:type="spellEnd"/>
      <w:r w:rsidRPr="00726A1B">
        <w:t xml:space="preserve"> och i socioekonomiskt missgynnade samhällen på landsbygden.</w:t>
      </w:r>
      <w:bookmarkEnd w:id="8"/>
      <w:r w:rsidRPr="00726A1B">
        <w:t xml:space="preserve"> Parlamentet uttrycker sin beredvillighet att fortsätta att stödja Moldaviens parlament genom ömsesidigt </w:t>
      </w:r>
      <w:r w:rsidRPr="00726A1B">
        <w:lastRenderedPageBreak/>
        <w:t xml:space="preserve">överenskommen demokratistödjande verksamhet. Parlamentet rekommenderar därför att Europaparlamentets förbindelsekontor i </w:t>
      </w:r>
      <w:proofErr w:type="spellStart"/>
      <w:r w:rsidRPr="00726A1B">
        <w:t>Chișinău</w:t>
      </w:r>
      <w:proofErr w:type="spellEnd"/>
      <w:r w:rsidRPr="00726A1B">
        <w:t xml:space="preserve"> utnyttjas fullt ut för att sprida information, motverka desinformation och stödja medborgarengagemang, och därigenom bidra till att stärka Moldaviens demokratiska motståndskraft. Parlamentet är djupt oroat över Rysslands omfattande kampanj för att utnyttja homofobi, som omfattar hot och fysiska angrepp, och uppmanar kommissionen, medlemsstaterna och Moldavien att investera i det moldaviska samhällets motståndskraft genom att förespråka jämlikhet för alla, oavsett sexuell läggning eller könsidentitet.</w:t>
      </w:r>
    </w:p>
    <w:p w14:paraId="53B8A1F2" w14:textId="68043654" w:rsidR="002D6C5F" w:rsidRPr="00726A1B" w:rsidRDefault="002D6C5F" w:rsidP="002D6C5F">
      <w:pPr>
        <w:pStyle w:val="NormalHanging12a"/>
      </w:pPr>
      <w:r w:rsidRPr="00726A1B">
        <w:t>13.</w:t>
      </w:r>
      <w:r w:rsidRPr="00726A1B">
        <w:tab/>
      </w:r>
      <w:r w:rsidR="009F2734" w:rsidRPr="00726A1B">
        <w:t xml:space="preserve">Europaparlamentet noterar att Rysslands nationella säkerhetsstrategi, som godkändes av president Putin den 31 december 2015 och som bygger på den militära doktrinen av den 25 december 2014, uttryckligen försvarar så kallade traditionella ryska andliga och moraliska värden mot upplevt västligt inflytande, vilket visar att Ryssland använder dessa värden och deras institutioner som redskap för strategiska ändamål. Parlamentet uttrycker oro över Rysslands </w:t>
      </w:r>
      <w:proofErr w:type="spellStart"/>
      <w:r w:rsidR="009F2734" w:rsidRPr="00726A1B">
        <w:t>instrumentalisering</w:t>
      </w:r>
      <w:proofErr w:type="spellEnd"/>
      <w:r w:rsidR="009F2734" w:rsidRPr="00726A1B">
        <w:t xml:space="preserve"> av så kallade traditionella ryska värden och betonar att en av de främsta kanalerna för rysk propaganda i Moldavien är metropolitdömet </w:t>
      </w:r>
      <w:proofErr w:type="spellStart"/>
      <w:r w:rsidR="009F2734" w:rsidRPr="00726A1B">
        <w:t>Chișinău</w:t>
      </w:r>
      <w:proofErr w:type="spellEnd"/>
      <w:r w:rsidR="009F2734" w:rsidRPr="00726A1B">
        <w:t xml:space="preserve"> och hela Moldavien, som är knutet till Moskva och ligger under den rysk-ortodoxa kyrkans jurisdiktion.</w:t>
      </w:r>
      <w:r w:rsidR="009F2734" w:rsidRPr="00726A1B">
        <w:rPr>
          <w:b/>
          <w:i/>
        </w:rPr>
        <w:t xml:space="preserve"> </w:t>
      </w:r>
      <w:r w:rsidR="009F2734" w:rsidRPr="00726A1B">
        <w:rPr>
          <w:bCs/>
          <w:iCs/>
          <w:szCs w:val="24"/>
        </w:rPr>
        <w:t>Parlamentet understryker att Europarådets parlamentariska församling i april 2024 betecknade den rysk-ortodoxa kyrkan som ett instrument för Kremls propaganda, och i augusti 2024 fördömde den ekumeniske patriarken av Konstantinopel den som militaristisk, etnonationalistisk och heretisk</w:t>
      </w:r>
      <w:r w:rsidR="009F2734" w:rsidRPr="00726A1B">
        <w:rPr>
          <w:bCs/>
          <w:iCs/>
        </w:rPr>
        <w:t>.</w:t>
      </w:r>
      <w:r w:rsidR="009F2734" w:rsidRPr="00726A1B">
        <w:t xml:space="preserve"> Parlamentet fördömer de ryska </w:t>
      </w:r>
      <w:proofErr w:type="spellStart"/>
      <w:r w:rsidR="009F2734" w:rsidRPr="00726A1B">
        <w:t>proxyaktörernas</w:t>
      </w:r>
      <w:proofErr w:type="spellEnd"/>
      <w:r w:rsidR="009F2734" w:rsidRPr="00726A1B">
        <w:t xml:space="preserve"> hot mot prästerskapet i det ortodoxa metropolitdömet Bessarabien</w:t>
      </w:r>
      <w:r w:rsidR="009F2734" w:rsidRPr="00726A1B">
        <w:rPr>
          <w:rStyle w:val="FootnoteReference"/>
        </w:rPr>
        <w:footnoteReference w:id="7"/>
      </w:r>
      <w:r w:rsidR="009F2734" w:rsidRPr="00726A1B">
        <w:t>.</w:t>
      </w:r>
    </w:p>
    <w:p w14:paraId="349E9E30" w14:textId="3A2C9D03" w:rsidR="009F2734" w:rsidRPr="00726A1B" w:rsidRDefault="00E547B0" w:rsidP="002D6C5F">
      <w:pPr>
        <w:pStyle w:val="NormalHanging12a"/>
        <w:rPr>
          <w:bCs/>
          <w:iCs/>
        </w:rPr>
      </w:pPr>
      <w:r w:rsidRPr="00726A1B">
        <w:rPr>
          <w:bCs/>
          <w:iCs/>
        </w:rPr>
        <w:t>14</w:t>
      </w:r>
      <w:r w:rsidR="009F2734" w:rsidRPr="00726A1B">
        <w:rPr>
          <w:bCs/>
          <w:iCs/>
        </w:rPr>
        <w:t>.</w:t>
      </w:r>
      <w:r w:rsidR="009F2734" w:rsidRPr="00726A1B">
        <w:rPr>
          <w:bCs/>
          <w:iCs/>
        </w:rPr>
        <w:tab/>
        <w:t>Europaparlamentet erkänner det ortodoxa metropolitdömet Bessarabien som offer för sovjetiskt förtryck. Parlamentet konstaterar att det ortodoxa metropolitdömet Bessarabien, efter att ha avskaffats på ett otillbörligt sätt av de sovjetiska myndigheterna, inte erkändes officiellt förrän 2002, till följd av ett beslut av Europeiska domstolen för de mänskliga rättigheterna.</w:t>
      </w:r>
    </w:p>
    <w:p w14:paraId="6D29A4B7" w14:textId="55E17E8A" w:rsidR="002D6C5F" w:rsidRPr="00726A1B" w:rsidRDefault="00E547B0" w:rsidP="002D6C5F">
      <w:pPr>
        <w:pStyle w:val="NormalHanging12a"/>
        <w:rPr>
          <w:szCs w:val="24"/>
        </w:rPr>
      </w:pPr>
      <w:r w:rsidRPr="00726A1B">
        <w:t>15</w:t>
      </w:r>
      <w:r w:rsidR="002D6C5F" w:rsidRPr="00726A1B">
        <w:t>.</w:t>
      </w:r>
      <w:r w:rsidR="002D6C5F" w:rsidRPr="00726A1B">
        <w:tab/>
        <w:t xml:space="preserve">Europaparlamentet noterar de viktiga bidragen från det civila samhällets organisationer när det gäller att motverka desinformation och det skadliga inflytandet från politiska aktörer som är motståndare till reformer och ryska </w:t>
      </w:r>
      <w:proofErr w:type="spellStart"/>
      <w:r w:rsidR="002D6C5F" w:rsidRPr="00726A1B">
        <w:t>proxyaktörer</w:t>
      </w:r>
      <w:proofErr w:type="spellEnd"/>
      <w:r w:rsidR="002D6C5F" w:rsidRPr="00726A1B">
        <w:t xml:space="preserve"> och när det gäller att försvara mänskliga rättigheter, främja transparens och övervaka styrningen och framstegen i fråga om demokratiska och EU-anslutningsrelaterade reformer.</w:t>
      </w:r>
    </w:p>
    <w:p w14:paraId="71A0FE95" w14:textId="46C04A60" w:rsidR="002D6C5F" w:rsidRPr="00726A1B" w:rsidRDefault="00E547B0" w:rsidP="002D6C5F">
      <w:pPr>
        <w:pStyle w:val="NormalHanging12a"/>
        <w:rPr>
          <w:szCs w:val="24"/>
        </w:rPr>
      </w:pPr>
      <w:r w:rsidRPr="00726A1B">
        <w:t>16</w:t>
      </w:r>
      <w:r w:rsidR="002D6C5F" w:rsidRPr="00726A1B">
        <w:t>.</w:t>
      </w:r>
      <w:r w:rsidR="002D6C5F" w:rsidRPr="00726A1B">
        <w:tab/>
        <w:t xml:space="preserve">Europaparlamentet understryker att en omfattande reform av rättsväsendet och kampen mot korruption är avgörande, både för Moldaviens motståndskraft mot utländsk inblandning och hybridhot och för framgången för demokratiska reformer och reformer relaterade till EU-anslutningen. Parlamentet erkänner Moldaviens oförminskade insatser för att bygga upp ett oberoende, opartiskt, ansvarsskyldigt och professionellt domstolsväsen och slutföra prövningsprocessen senast i slutet av 2026. Parlamentet betonar behovet att säkerställa ökad samordning mellan alla centrala korruptionsbekämpande och rättsliga institutioner för att fullt ut genomföra de omfattande rättsstatliga reformerna, uppnå övertygande resultat när det gäller effektiv lagföring i korruptionsmål, samtidigt som man respekterar ett korrekt rättsförfarande och rätten till en rättvis rättegång, och upprätthålla allmänhetens förtroende för demokratiska institutioner och reformprocessen. Parlamentet uppmanar därför den </w:t>
      </w:r>
      <w:r w:rsidR="002D6C5F" w:rsidRPr="00726A1B">
        <w:lastRenderedPageBreak/>
        <w:t>framtida regeringen att upprätthålla den nuvarande ambitionsnivån och slutföra rättsstatsreformerna.</w:t>
      </w:r>
    </w:p>
    <w:p w14:paraId="48538EF1" w14:textId="59F22156" w:rsidR="002D6C5F" w:rsidRPr="00726A1B" w:rsidRDefault="00E547B0" w:rsidP="002D6C5F">
      <w:pPr>
        <w:pStyle w:val="NormalHanging12a"/>
      </w:pPr>
      <w:r w:rsidRPr="00726A1B">
        <w:t>17</w:t>
      </w:r>
      <w:r w:rsidR="002D6C5F" w:rsidRPr="00726A1B">
        <w:t>.</w:t>
      </w:r>
      <w:r w:rsidR="002D6C5F" w:rsidRPr="00726A1B">
        <w:tab/>
        <w:t xml:space="preserve">Europaparlamentet understryker den avgörande betydelsen av </w:t>
      </w:r>
      <w:proofErr w:type="spellStart"/>
      <w:r w:rsidR="002D6C5F" w:rsidRPr="00726A1B">
        <w:t>energioberoende</w:t>
      </w:r>
      <w:proofErr w:type="spellEnd"/>
      <w:r w:rsidR="002D6C5F" w:rsidRPr="00726A1B">
        <w:t xml:space="preserve"> och </w:t>
      </w:r>
      <w:proofErr w:type="spellStart"/>
      <w:r w:rsidR="002D6C5F" w:rsidRPr="00726A1B">
        <w:t>konnektivitet</w:t>
      </w:r>
      <w:proofErr w:type="spellEnd"/>
      <w:r w:rsidR="002D6C5F" w:rsidRPr="00726A1B">
        <w:t xml:space="preserve"> för ökad motståndskraft mot ryska hybridhot inom energisektorn, och efterlyser därför ett snabbare genomförande av tillväxtplanen. Parlamentet fördömer Rysslands fortsatta </w:t>
      </w:r>
      <w:proofErr w:type="spellStart"/>
      <w:r w:rsidR="002D6C5F" w:rsidRPr="00726A1B">
        <w:t>instrumentalisering</w:t>
      </w:r>
      <w:proofErr w:type="spellEnd"/>
      <w:r w:rsidR="002D6C5F" w:rsidRPr="00726A1B">
        <w:t xml:space="preserve"> av energiförsörjningen och välkomnar Moldaviens framsteg med att diversifiera sina energikällor, använda mer förnybar energi och energilagringssystem, minska beroendet av rysk gas och integrera landet med EU:s energimarknad.</w:t>
      </w:r>
    </w:p>
    <w:p w14:paraId="3013F0F7" w14:textId="6877543C" w:rsidR="00E547B0" w:rsidRPr="00726A1B" w:rsidRDefault="00E547B0" w:rsidP="002D6C5F">
      <w:pPr>
        <w:pStyle w:val="NormalHanging12a"/>
        <w:rPr>
          <w:bCs/>
          <w:iCs/>
          <w:szCs w:val="24"/>
        </w:rPr>
      </w:pPr>
      <w:r w:rsidRPr="00726A1B">
        <w:rPr>
          <w:bCs/>
          <w:iCs/>
        </w:rPr>
        <w:t xml:space="preserve">18. </w:t>
      </w:r>
      <w:r w:rsidRPr="00726A1B">
        <w:rPr>
          <w:bCs/>
          <w:iCs/>
        </w:rPr>
        <w:tab/>
        <w:t xml:space="preserve">Europaparlamentet lovordar Moldavien för de betydande framsteg som landet har gjort med att fasa ut ryska energikällor, påskynda utfasningen av fossila bränslen och digitalisera landets energimix samt integrera landet i EU:s energimarknad. Parlamentet upprepar sin uppmaning till EU och medlemsstaterna att fortsätta att stödja Moldaviens energitrygghet, stödja anläggandet och finansieringen av nya </w:t>
      </w:r>
      <w:proofErr w:type="spellStart"/>
      <w:r w:rsidRPr="00726A1B">
        <w:rPr>
          <w:bCs/>
          <w:iCs/>
        </w:rPr>
        <w:t>elsammanlänkningar</w:t>
      </w:r>
      <w:proofErr w:type="spellEnd"/>
      <w:r w:rsidRPr="00726A1B">
        <w:rPr>
          <w:bCs/>
          <w:iCs/>
        </w:rPr>
        <w:t xml:space="preserve"> med grannländerna, främja energieffektivitet och bygga ut förnybara energikällor och energilagringssystem i enlighet med de mål som fastställs i landets nationella energi- och klimatplan.</w:t>
      </w:r>
    </w:p>
    <w:p w14:paraId="489F9448" w14:textId="38F5BFA0" w:rsidR="002D6C5F" w:rsidRPr="00726A1B" w:rsidRDefault="00E547B0" w:rsidP="002D6C5F">
      <w:pPr>
        <w:pStyle w:val="NormalHanging12a"/>
        <w:rPr>
          <w:szCs w:val="24"/>
        </w:rPr>
      </w:pPr>
      <w:r w:rsidRPr="00726A1B">
        <w:t>19</w:t>
      </w:r>
      <w:r w:rsidR="002D6C5F" w:rsidRPr="00726A1B">
        <w:t>.</w:t>
      </w:r>
      <w:r w:rsidR="002D6C5F" w:rsidRPr="00726A1B">
        <w:tab/>
        <w:t>Europaparlamentet välkomnar det smidiga antagandet av tillväxtplanen för Moldavien på 1,9 miljarder euro, som utgör en nivå av stöd utan tidigare motstycke som syftar till att stimulera Moldaviens ekonomi och främja landets väg mot EU-medlemskap genom att påskynda centrala reformer inom sektorer som energi, miljö, den digitala sektorn, transporter med flera. Parlamentet välkomnar utbetalningen av förfinansieringsdelen på 270 miljoner euro från EU:s tillväxtplan för Moldavien på 1,9 miljarder euro, och vill att den första ordinarie delutbetalningen ska verkställas omgående för att stödja centrala reformer inom infrastruktur, humankapital, företagsutveckling och den digitala och gröna omställningen. EU och Moldavien uppmanas kraftfullt att påskynda landets gradvisa integrering i EU:s inre marknad för att uppnå påtagliga socioekonomiska fördelar redan före den formella EU-anslutningen. Parlamentet välkomnar det nyligen ingångna avtalet om att se över och uppdatera handelsbestämmelserna i det djupgående och omfattande frihandelsområdet mellan EU och Moldavien, vilket kommer att ge ökat marknadstillträde för jordbruksexport från Moldavien som ännu inte har liberaliserats. Parlamentet stöder att Moldavien inkluderas i föranslutningsinstrumentet i nästa fleråriga budgetram. Parlamentet lovordar rådets beslut av den 25 juli 2025 om att integrera Moldavien i EU:s område för ”</w:t>
      </w:r>
      <w:proofErr w:type="spellStart"/>
      <w:r w:rsidR="002D6C5F" w:rsidRPr="00726A1B">
        <w:t>roaming</w:t>
      </w:r>
      <w:proofErr w:type="spellEnd"/>
      <w:r w:rsidR="002D6C5F" w:rsidRPr="00726A1B">
        <w:t xml:space="preserve"> som hemma” från och med den 1 januari 2026, efter ett liknande beslut för Ukraina som antogs den 14 juli 2025.</w:t>
      </w:r>
    </w:p>
    <w:p w14:paraId="2D087B1A" w14:textId="46C53FBB" w:rsidR="00A8787D" w:rsidRPr="00726A1B" w:rsidRDefault="00E547B0" w:rsidP="00A8787D">
      <w:pPr>
        <w:pStyle w:val="NormalHanging12a"/>
      </w:pPr>
      <w:r w:rsidRPr="00726A1B">
        <w:t>20</w:t>
      </w:r>
      <w:r w:rsidR="002D6C5F" w:rsidRPr="00726A1B">
        <w:t>.</w:t>
      </w:r>
      <w:r w:rsidR="002D6C5F" w:rsidRPr="00726A1B">
        <w:tab/>
        <w:t>Europaparlamentet uppdrar åt talmannen att översända denna resolution till vice ordföranden för kommissionen/unionens höga representant för utrikes frågor och säkerhetspolitik, rådet, kommissionen, medlemsstaternas regeringar och parlament, Europarådet, Organisationen för säkerhet och samarbete i Europa samt Moldaviens president, regering och parlament.</w:t>
      </w:r>
    </w:p>
    <w:sectPr w:rsidR="00A8787D" w:rsidRPr="00726A1B" w:rsidSect="00A878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2F41F" w14:textId="77777777" w:rsidR="0006000C" w:rsidRPr="00A8787D" w:rsidRDefault="0006000C">
      <w:r w:rsidRPr="00A8787D">
        <w:separator/>
      </w:r>
    </w:p>
  </w:endnote>
  <w:endnote w:type="continuationSeparator" w:id="0">
    <w:p w14:paraId="70A1C0F1" w14:textId="77777777" w:rsidR="0006000C" w:rsidRPr="00A8787D" w:rsidRDefault="0006000C">
      <w:r w:rsidRPr="00A878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39DC2" w14:textId="77777777" w:rsidR="00064002" w:rsidRPr="00A878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40189" w14:textId="77777777" w:rsidR="00064002" w:rsidRPr="00A878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F6B53" w14:textId="77777777" w:rsidR="00064002" w:rsidRPr="00A878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E0D30" w14:textId="77777777" w:rsidR="0006000C" w:rsidRPr="00A8787D" w:rsidRDefault="0006000C">
      <w:r w:rsidRPr="00A8787D">
        <w:separator/>
      </w:r>
    </w:p>
  </w:footnote>
  <w:footnote w:type="continuationSeparator" w:id="0">
    <w:p w14:paraId="32F96E44" w14:textId="77777777" w:rsidR="0006000C" w:rsidRPr="00A8787D" w:rsidRDefault="0006000C">
      <w:r w:rsidRPr="00A8787D">
        <w:continuationSeparator/>
      </w:r>
    </w:p>
  </w:footnote>
  <w:footnote w:id="1">
    <w:p w14:paraId="5099F135" w14:textId="612E18A9" w:rsidR="002D6C5F" w:rsidRPr="00A8787D" w:rsidRDefault="002D6C5F" w:rsidP="00A8787D">
      <w:pPr>
        <w:pStyle w:val="FootnoteText"/>
        <w:ind w:left="567" w:hanging="567"/>
        <w:rPr>
          <w:sz w:val="24"/>
          <w:lang w:val="sv-SE"/>
        </w:rPr>
      </w:pPr>
      <w:r w:rsidRPr="00A8787D">
        <w:rPr>
          <w:rStyle w:val="FootnoteReference"/>
          <w:sz w:val="24"/>
          <w:lang w:val="sv-SE"/>
        </w:rPr>
        <w:footnoteRef/>
      </w:r>
      <w:r w:rsidR="00A8787D" w:rsidRPr="00A8787D">
        <w:rPr>
          <w:sz w:val="24"/>
          <w:lang w:val="sv-SE"/>
        </w:rPr>
        <w:t xml:space="preserve"> </w:t>
      </w:r>
      <w:r w:rsidR="00A8787D" w:rsidRPr="00A8787D">
        <w:rPr>
          <w:sz w:val="24"/>
          <w:lang w:val="sv-SE"/>
        </w:rPr>
        <w:tab/>
      </w:r>
      <w:r w:rsidRPr="00A8787D">
        <w:rPr>
          <w:sz w:val="24"/>
          <w:lang w:val="sv-SE"/>
        </w:rPr>
        <w:t>Antagna texter, P10_TA(2025)0131.</w:t>
      </w:r>
    </w:p>
  </w:footnote>
  <w:footnote w:id="2">
    <w:p w14:paraId="3CC75F49" w14:textId="603498D6" w:rsidR="002D6C5F" w:rsidRPr="00A8787D" w:rsidRDefault="002D6C5F" w:rsidP="00A8787D">
      <w:pPr>
        <w:pStyle w:val="FootnoteText"/>
        <w:ind w:left="567" w:hanging="567"/>
        <w:rPr>
          <w:sz w:val="24"/>
          <w:lang w:val="sv-SE"/>
        </w:rPr>
      </w:pPr>
      <w:r w:rsidRPr="00A8787D">
        <w:rPr>
          <w:rStyle w:val="FootnoteReference"/>
          <w:sz w:val="24"/>
          <w:lang w:val="sv-SE"/>
        </w:rPr>
        <w:footnoteRef/>
      </w:r>
      <w:r w:rsidR="00A8787D" w:rsidRPr="00A8787D">
        <w:rPr>
          <w:sz w:val="24"/>
          <w:lang w:val="sv-SE"/>
        </w:rPr>
        <w:t xml:space="preserve"> </w:t>
      </w:r>
      <w:r w:rsidR="00A8787D" w:rsidRPr="00A8787D">
        <w:rPr>
          <w:sz w:val="24"/>
          <w:lang w:val="sv-SE"/>
        </w:rPr>
        <w:tab/>
      </w:r>
      <w:r w:rsidRPr="00A8787D">
        <w:rPr>
          <w:sz w:val="24"/>
          <w:lang w:val="sv-SE"/>
        </w:rPr>
        <w:t>EUT C, C/2025/204, 14.1.2025, ELI: http://data.europa.eu/eli/C/2025/204/oj.</w:t>
      </w:r>
    </w:p>
  </w:footnote>
  <w:footnote w:id="3">
    <w:p w14:paraId="479F55FA" w14:textId="013398FB" w:rsidR="002D6C5F" w:rsidRPr="00726A1B" w:rsidRDefault="002D6C5F" w:rsidP="00A8787D">
      <w:pPr>
        <w:pStyle w:val="FootnoteText"/>
        <w:ind w:left="567" w:hanging="567"/>
        <w:rPr>
          <w:sz w:val="24"/>
          <w:lang w:val="fr-BE"/>
        </w:rPr>
      </w:pPr>
      <w:r w:rsidRPr="00A8787D">
        <w:rPr>
          <w:rStyle w:val="FootnoteReference"/>
          <w:sz w:val="24"/>
          <w:lang w:val="sv-SE"/>
        </w:rPr>
        <w:footnoteRef/>
      </w:r>
      <w:r w:rsidR="00A8787D" w:rsidRPr="00726A1B">
        <w:rPr>
          <w:sz w:val="24"/>
          <w:lang w:val="fr-BE"/>
        </w:rPr>
        <w:t xml:space="preserve"> </w:t>
      </w:r>
      <w:r w:rsidR="00A8787D" w:rsidRPr="00726A1B">
        <w:rPr>
          <w:sz w:val="24"/>
          <w:lang w:val="fr-BE"/>
        </w:rPr>
        <w:tab/>
      </w:r>
      <w:r w:rsidRPr="00726A1B">
        <w:rPr>
          <w:sz w:val="24"/>
          <w:lang w:val="fr-BE"/>
        </w:rPr>
        <w:t xml:space="preserve">EUT L 260, 30.8.2014, s. 4, </w:t>
      </w:r>
      <w:proofErr w:type="gramStart"/>
      <w:r w:rsidRPr="00726A1B">
        <w:rPr>
          <w:sz w:val="24"/>
          <w:lang w:val="fr-BE"/>
        </w:rPr>
        <w:t>ELI:</w:t>
      </w:r>
      <w:proofErr w:type="gramEnd"/>
      <w:r w:rsidRPr="00726A1B">
        <w:rPr>
          <w:sz w:val="24"/>
          <w:lang w:val="fr-BE"/>
        </w:rPr>
        <w:t> </w:t>
      </w:r>
      <w:hyperlink r:id="rId1" w:history="1">
        <w:r w:rsidR="00301679" w:rsidRPr="00726A1B">
          <w:rPr>
            <w:rStyle w:val="Hyperlink"/>
            <w:sz w:val="24"/>
            <w:lang w:val="fr-BE"/>
          </w:rPr>
          <w:t>http://data.europa.eu/eli/agree_internation</w:t>
        </w:r>
        <w:r w:rsidR="00301679" w:rsidRPr="00726A1B">
          <w:rPr>
            <w:rStyle w:val="Hyperlink"/>
            <w:sz w:val="24"/>
            <w:lang w:val="fr-BE"/>
          </w:rPr>
          <w:br/>
          <w:t>/2014/492/</w:t>
        </w:r>
        <w:proofErr w:type="spellStart"/>
        <w:r w:rsidR="00301679" w:rsidRPr="00726A1B">
          <w:rPr>
            <w:rStyle w:val="Hyperlink"/>
            <w:sz w:val="24"/>
            <w:lang w:val="fr-BE"/>
          </w:rPr>
          <w:t>oj</w:t>
        </w:r>
        <w:proofErr w:type="spellEnd"/>
      </w:hyperlink>
      <w:r w:rsidRPr="00726A1B">
        <w:rPr>
          <w:sz w:val="24"/>
          <w:lang w:val="fr-BE"/>
        </w:rPr>
        <w:t>.</w:t>
      </w:r>
    </w:p>
  </w:footnote>
  <w:footnote w:id="4">
    <w:p w14:paraId="45AEAE29" w14:textId="2302D023" w:rsidR="00E547B0" w:rsidRPr="00726A1B" w:rsidRDefault="00E547B0" w:rsidP="00726A1B">
      <w:pPr>
        <w:pStyle w:val="FootnoteText"/>
        <w:ind w:left="567" w:hanging="567"/>
        <w:rPr>
          <w:lang w:val="fr-BE"/>
        </w:rPr>
      </w:pPr>
      <w:r>
        <w:rPr>
          <w:rStyle w:val="FootnoteReference"/>
        </w:rPr>
        <w:footnoteRef/>
      </w:r>
      <w:r w:rsidRPr="00726A1B">
        <w:rPr>
          <w:lang w:val="fr-BE"/>
        </w:rPr>
        <w:t xml:space="preserve"> </w:t>
      </w:r>
      <w:r w:rsidRPr="00726A1B">
        <w:rPr>
          <w:lang w:val="fr-BE"/>
        </w:rPr>
        <w:tab/>
      </w:r>
      <w:hyperlink r:id="rId2" w:history="1">
        <w:r w:rsidRPr="00726A1B">
          <w:rPr>
            <w:rStyle w:val="Hyperlink"/>
            <w:lang w:val="fr-BE"/>
          </w:rPr>
          <w:t>https:/www.zdg.md/en/kremlins-digital-army-an-undercover-investigation-its-paid-let-me-tell-you-its-paid-directly-from-moscow/</w:t>
        </w:r>
      </w:hyperlink>
      <w:r w:rsidRPr="00726A1B">
        <w:rPr>
          <w:lang w:val="fr-BE"/>
        </w:rPr>
        <w:t>.</w:t>
      </w:r>
    </w:p>
  </w:footnote>
  <w:footnote w:id="5">
    <w:p w14:paraId="46B22539" w14:textId="786AD3CC" w:rsidR="002D6C5F" w:rsidRPr="00A8787D" w:rsidRDefault="002D6C5F" w:rsidP="00A8787D">
      <w:pPr>
        <w:pStyle w:val="FootnoteText"/>
        <w:ind w:left="567" w:hanging="567"/>
        <w:rPr>
          <w:sz w:val="24"/>
          <w:lang w:val="sv-SE"/>
        </w:rPr>
      </w:pPr>
      <w:r w:rsidRPr="00A8787D">
        <w:rPr>
          <w:rStyle w:val="FootnoteReference"/>
          <w:sz w:val="24"/>
          <w:lang w:val="sv-SE"/>
        </w:rPr>
        <w:footnoteRef/>
      </w:r>
      <w:r w:rsidR="00A8787D" w:rsidRPr="00A8787D">
        <w:rPr>
          <w:sz w:val="24"/>
          <w:lang w:val="sv-SE"/>
        </w:rPr>
        <w:t xml:space="preserve"> </w:t>
      </w:r>
      <w:r w:rsidR="00A8787D" w:rsidRPr="00A8787D">
        <w:rPr>
          <w:sz w:val="24"/>
          <w:lang w:val="sv-SE"/>
        </w:rPr>
        <w:tab/>
      </w:r>
      <w:r w:rsidRPr="00A8787D">
        <w:rPr>
          <w:sz w:val="24"/>
          <w:lang w:val="sv-SE"/>
        </w:rPr>
        <w:t xml:space="preserve">Europaparlamentets och rådets förordning (EU) 2022/1925 av den 14 september 2022 om öppna och rättvisa marknader inom den digitala sektorn och om ändring av direktiv (EU) 2019/1937 och (EU) 2020/1828 (EUT L 265, 12.10.2022, s. 1,ELI: </w:t>
      </w:r>
      <w:hyperlink r:id="rId3" w:history="1">
        <w:r w:rsidRPr="00E547B0">
          <w:rPr>
            <w:rStyle w:val="Hyperlink"/>
            <w:sz w:val="24"/>
            <w:lang w:val="sv-SE"/>
          </w:rPr>
          <w:t>http://data.europa.eu/eli/reg/2022/1925/oj</w:t>
        </w:r>
      </w:hyperlink>
      <w:r w:rsidRPr="00A8787D">
        <w:rPr>
          <w:sz w:val="24"/>
          <w:lang w:val="sv-SE"/>
        </w:rPr>
        <w:t>).</w:t>
      </w:r>
    </w:p>
  </w:footnote>
  <w:footnote w:id="6">
    <w:p w14:paraId="3B4AC789" w14:textId="2378296B" w:rsidR="002D6C5F" w:rsidRPr="00A8787D" w:rsidRDefault="002D6C5F" w:rsidP="00A8787D">
      <w:pPr>
        <w:pStyle w:val="FootnoteText"/>
        <w:ind w:left="567" w:hanging="567"/>
        <w:rPr>
          <w:sz w:val="24"/>
          <w:lang w:val="sv-SE"/>
        </w:rPr>
      </w:pPr>
      <w:r w:rsidRPr="00A8787D">
        <w:rPr>
          <w:rStyle w:val="FootnoteReference"/>
          <w:sz w:val="24"/>
          <w:lang w:val="sv-SE"/>
        </w:rPr>
        <w:footnoteRef/>
      </w:r>
      <w:r w:rsidR="00A8787D" w:rsidRPr="00A8787D">
        <w:rPr>
          <w:sz w:val="24"/>
          <w:lang w:val="sv-SE"/>
        </w:rPr>
        <w:t xml:space="preserve"> </w:t>
      </w:r>
      <w:r w:rsidR="00A8787D" w:rsidRPr="00A8787D">
        <w:rPr>
          <w:sz w:val="24"/>
          <w:lang w:val="sv-SE"/>
        </w:rPr>
        <w:tab/>
      </w:r>
      <w:r w:rsidRPr="00A8787D">
        <w:rPr>
          <w:sz w:val="24"/>
          <w:lang w:val="sv-SE"/>
        </w:rPr>
        <w:t xml:space="preserve">Europaparlamentets och rådets förordning (EU) 2022/2065 av den 19 oktober 2022 om en inre marknad för digitala tjänster och om ändring av direktiv 2000/31/EG, EUT L 277, 27.10.2022, s. 1, ELI: </w:t>
      </w:r>
      <w:hyperlink r:id="rId4" w:history="1">
        <w:r w:rsidRPr="00E547B0">
          <w:rPr>
            <w:rStyle w:val="Hyperlink"/>
            <w:sz w:val="24"/>
            <w:lang w:val="sv-SE"/>
          </w:rPr>
          <w:t>http://data.europa.eu/eli/reg/2022/2065/oj</w:t>
        </w:r>
      </w:hyperlink>
      <w:r w:rsidRPr="00A8787D">
        <w:rPr>
          <w:sz w:val="24"/>
          <w:lang w:val="sv-SE"/>
        </w:rPr>
        <w:t>).</w:t>
      </w:r>
    </w:p>
  </w:footnote>
  <w:footnote w:id="7">
    <w:p w14:paraId="4830C793" w14:textId="327A479B" w:rsidR="009F2734" w:rsidRPr="00726A1B" w:rsidRDefault="009F2734" w:rsidP="00726A1B">
      <w:pPr>
        <w:pStyle w:val="FootnoteText"/>
        <w:ind w:left="567" w:hanging="567"/>
        <w:rPr>
          <w:lang w:val="sv-SE"/>
        </w:rPr>
      </w:pPr>
      <w:r w:rsidRPr="009F2734">
        <w:rPr>
          <w:rStyle w:val="FootnoteReference"/>
        </w:rPr>
        <w:footnoteRef/>
      </w:r>
      <w:r w:rsidRPr="00726A1B">
        <w:rPr>
          <w:lang w:val="sv-SE"/>
        </w:rPr>
        <w:t xml:space="preserve"> </w:t>
      </w:r>
      <w:r w:rsidRPr="009F2734">
        <w:rPr>
          <w:lang w:val="sv-SE"/>
        </w:rPr>
        <w:tab/>
      </w:r>
      <w:hyperlink r:id="rId5" w:history="1">
        <w:r w:rsidRPr="00726A1B">
          <w:rPr>
            <w:sz w:val="24"/>
            <w:u w:val="single"/>
            <w:lang w:val="sv-SE" w:eastAsia="en-GB"/>
          </w:rPr>
          <w:t>https://pace.coe.int/en/files/33808/html</w:t>
        </w:r>
      </w:hyperlink>
      <w:r w:rsidRPr="00726A1B">
        <w:rPr>
          <w:sz w:val="24"/>
          <w:lang w:val="sv-SE" w:eastAsia="en-GB"/>
        </w:rPr>
        <w:t xml:space="preserve">, </w:t>
      </w:r>
      <w:r w:rsidRPr="00726A1B">
        <w:rPr>
          <w:lang w:val="sv-SE"/>
        </w:rPr>
        <w:t>https://www.thetablet.co.uk/news/</w:t>
      </w:r>
      <w:r w:rsidRPr="00726A1B">
        <w:rPr>
          <w:sz w:val="24"/>
          <w:lang w:val="sv-SE" w:eastAsia="en-GB"/>
        </w:rPr>
        <w:br/>
      </w:r>
      <w:proofErr w:type="spellStart"/>
      <w:r w:rsidRPr="00726A1B">
        <w:rPr>
          <w:lang w:val="sv-SE"/>
        </w:rPr>
        <w:t>bartholomew</w:t>
      </w:r>
      <w:proofErr w:type="spellEnd"/>
      <w:r w:rsidRPr="00726A1B">
        <w:rPr>
          <w:sz w:val="24"/>
          <w:lang w:val="sv-SE" w:eastAsia="en-GB"/>
        </w:rPr>
        <w:t>-</w:t>
      </w:r>
      <w:proofErr w:type="spellStart"/>
      <w:r w:rsidRPr="00726A1B">
        <w:rPr>
          <w:sz w:val="24"/>
          <w:lang w:val="sv-SE" w:eastAsia="en-GB"/>
        </w:rPr>
        <w:t>accuses</w:t>
      </w:r>
      <w:proofErr w:type="spellEnd"/>
      <w:r w:rsidRPr="00726A1B">
        <w:rPr>
          <w:sz w:val="24"/>
          <w:lang w:val="sv-SE" w:eastAsia="en-GB"/>
        </w:rPr>
        <w:t>-</w:t>
      </w:r>
      <w:proofErr w:type="spellStart"/>
      <w:r w:rsidRPr="00726A1B">
        <w:rPr>
          <w:sz w:val="24"/>
          <w:lang w:val="sv-SE" w:eastAsia="en-GB"/>
        </w:rPr>
        <w:t>russian</w:t>
      </w:r>
      <w:proofErr w:type="spellEnd"/>
      <w:r w:rsidRPr="00726A1B">
        <w:rPr>
          <w:sz w:val="24"/>
          <w:lang w:val="sv-SE" w:eastAsia="en-GB"/>
        </w:rPr>
        <w:t>-</w:t>
      </w:r>
      <w:proofErr w:type="spellStart"/>
      <w:r w:rsidRPr="00726A1B">
        <w:rPr>
          <w:sz w:val="24"/>
          <w:lang w:val="sv-SE" w:eastAsia="en-GB"/>
        </w:rPr>
        <w:t>church</w:t>
      </w:r>
      <w:proofErr w:type="spellEnd"/>
      <w:r w:rsidRPr="00726A1B">
        <w:rPr>
          <w:sz w:val="24"/>
          <w:lang w:val="sv-SE" w:eastAsia="en-GB"/>
        </w:rPr>
        <w:t>-</w:t>
      </w:r>
      <w:proofErr w:type="spellStart"/>
      <w:r w:rsidRPr="00726A1B">
        <w:rPr>
          <w:sz w:val="24"/>
          <w:lang w:val="sv-SE" w:eastAsia="en-GB"/>
        </w:rPr>
        <w:t>of</w:t>
      </w:r>
      <w:proofErr w:type="spellEnd"/>
      <w:r w:rsidRPr="00726A1B">
        <w:rPr>
          <w:sz w:val="24"/>
          <w:lang w:val="sv-SE" w:eastAsia="en-GB"/>
        </w:rPr>
        <w:t>-</w:t>
      </w:r>
      <w:proofErr w:type="spellStart"/>
      <w:r w:rsidRPr="00726A1B">
        <w:rPr>
          <w:sz w:val="24"/>
          <w:lang w:val="sv-SE" w:eastAsia="en-GB"/>
        </w:rPr>
        <w:t>ethno</w:t>
      </w:r>
      <w:proofErr w:type="spellEnd"/>
      <w:r w:rsidRPr="00726A1B">
        <w:rPr>
          <w:sz w:val="24"/>
          <w:lang w:val="sv-SE" w:eastAsia="en-GB"/>
        </w:rPr>
        <w:t>-nationalist-</w:t>
      </w:r>
      <w:proofErr w:type="spellStart"/>
      <w:r w:rsidRPr="00726A1B">
        <w:rPr>
          <w:sz w:val="24"/>
          <w:lang w:val="sv-SE" w:eastAsia="en-GB"/>
        </w:rPr>
        <w:t>heresy</w:t>
      </w:r>
      <w:proofErr w:type="spellEnd"/>
      <w:r w:rsidRPr="00726A1B">
        <w:rPr>
          <w:sz w:val="24"/>
          <w:lang w:val="sv-SE"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D1B6B" w14:textId="77777777" w:rsidR="00064002" w:rsidRPr="00A878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5D9" w14:textId="77777777" w:rsidR="00064002" w:rsidRPr="00A878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FE4A" w14:textId="77777777" w:rsidR="00064002" w:rsidRPr="00A878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7567676">
    <w:abstractNumId w:val="9"/>
  </w:num>
  <w:num w:numId="2" w16cid:durableId="1588728706">
    <w:abstractNumId w:val="9"/>
  </w:num>
  <w:num w:numId="3" w16cid:durableId="1479419225">
    <w:abstractNumId w:val="7"/>
  </w:num>
  <w:num w:numId="4" w16cid:durableId="1470633466">
    <w:abstractNumId w:val="7"/>
  </w:num>
  <w:num w:numId="5" w16cid:durableId="1826970282">
    <w:abstractNumId w:val="6"/>
  </w:num>
  <w:num w:numId="6" w16cid:durableId="334693377">
    <w:abstractNumId w:val="6"/>
  </w:num>
  <w:num w:numId="7" w16cid:durableId="962229133">
    <w:abstractNumId w:val="5"/>
  </w:num>
  <w:num w:numId="8" w16cid:durableId="282268084">
    <w:abstractNumId w:val="5"/>
  </w:num>
  <w:num w:numId="9" w16cid:durableId="1865551738">
    <w:abstractNumId w:val="4"/>
  </w:num>
  <w:num w:numId="10" w16cid:durableId="190924261">
    <w:abstractNumId w:val="4"/>
  </w:num>
  <w:num w:numId="11" w16cid:durableId="1710449021">
    <w:abstractNumId w:val="8"/>
  </w:num>
  <w:num w:numId="12" w16cid:durableId="357044839">
    <w:abstractNumId w:val="8"/>
  </w:num>
  <w:num w:numId="13" w16cid:durableId="3823496">
    <w:abstractNumId w:val="3"/>
  </w:num>
  <w:num w:numId="14" w16cid:durableId="33696236">
    <w:abstractNumId w:val="3"/>
  </w:num>
  <w:num w:numId="15" w16cid:durableId="993144538">
    <w:abstractNumId w:val="2"/>
  </w:num>
  <w:num w:numId="16" w16cid:durableId="580334442">
    <w:abstractNumId w:val="2"/>
  </w:num>
  <w:num w:numId="17" w16cid:durableId="514029716">
    <w:abstractNumId w:val="1"/>
  </w:num>
  <w:num w:numId="18" w16cid:durableId="1986162448">
    <w:abstractNumId w:val="1"/>
  </w:num>
  <w:num w:numId="19" w16cid:durableId="1490319701">
    <w:abstractNumId w:val="0"/>
  </w:num>
  <w:num w:numId="20" w16cid:durableId="2007977605">
    <w:abstractNumId w:val="0"/>
  </w:num>
  <w:num w:numId="21" w16cid:durableId="1235969969">
    <w:abstractNumId w:val="9"/>
  </w:num>
  <w:num w:numId="22" w16cid:durableId="1046567415">
    <w:abstractNumId w:val="7"/>
  </w:num>
  <w:num w:numId="23" w16cid:durableId="989485461">
    <w:abstractNumId w:val="6"/>
  </w:num>
  <w:num w:numId="24" w16cid:durableId="647249436">
    <w:abstractNumId w:val="5"/>
  </w:num>
  <w:num w:numId="25" w16cid:durableId="684012992">
    <w:abstractNumId w:val="4"/>
  </w:num>
  <w:num w:numId="26" w16cid:durableId="1693411429">
    <w:abstractNumId w:val="8"/>
  </w:num>
  <w:num w:numId="27" w16cid:durableId="1713456342">
    <w:abstractNumId w:val="3"/>
  </w:num>
  <w:num w:numId="28" w16cid:durableId="1886599740">
    <w:abstractNumId w:val="2"/>
  </w:num>
  <w:num w:numId="29" w16cid:durableId="2056350597">
    <w:abstractNumId w:val="1"/>
  </w:num>
  <w:num w:numId="30" w16cid:durableId="848107980">
    <w:abstractNumId w:val="0"/>
  </w:num>
  <w:num w:numId="31" w16cid:durableId="133183690">
    <w:abstractNumId w:val="9"/>
  </w:num>
  <w:num w:numId="32" w16cid:durableId="1776634576">
    <w:abstractNumId w:val="7"/>
  </w:num>
  <w:num w:numId="33" w16cid:durableId="925453976">
    <w:abstractNumId w:val="6"/>
  </w:num>
  <w:num w:numId="34" w16cid:durableId="494538255">
    <w:abstractNumId w:val="5"/>
  </w:num>
  <w:num w:numId="35" w16cid:durableId="1284144373">
    <w:abstractNumId w:val="4"/>
  </w:num>
  <w:num w:numId="36" w16cid:durableId="478349131">
    <w:abstractNumId w:val="8"/>
  </w:num>
  <w:num w:numId="37" w16cid:durableId="1393429796">
    <w:abstractNumId w:val="3"/>
  </w:num>
  <w:num w:numId="38" w16cid:durableId="2070957917">
    <w:abstractNumId w:val="2"/>
  </w:num>
  <w:num w:numId="39" w16cid:durableId="787355279">
    <w:abstractNumId w:val="1"/>
  </w:num>
  <w:num w:numId="40" w16cid:durableId="790365945">
    <w:abstractNumId w:val="0"/>
  </w:num>
  <w:num w:numId="41" w16cid:durableId="587883374">
    <w:abstractNumId w:val="10"/>
  </w:num>
  <w:num w:numId="42" w16cid:durableId="169105454">
    <w:abstractNumId w:val="10"/>
  </w:num>
  <w:num w:numId="43" w16cid:durableId="1860778516">
    <w:abstractNumId w:val="10"/>
  </w:num>
  <w:num w:numId="44" w16cid:durableId="665741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SV"/>
    <w:docVar w:name="dvnumam" w:val="0"/>
    <w:docVar w:name="dvpe" w:val="776.179"/>
    <w:docVar w:name="dvtitre" w:val="Europaparlamentets resolution av den xx xx 2025 om stärkandet av Moldaviens motståndskraft mot ryska hybridhot och skadlig inblandning(2025/2811(RSP))"/>
  </w:docVars>
  <w:rsids>
    <w:rsidRoot w:val="0006000C"/>
    <w:rsid w:val="00002272"/>
    <w:rsid w:val="0006000C"/>
    <w:rsid w:val="00064002"/>
    <w:rsid w:val="000677B9"/>
    <w:rsid w:val="000831BA"/>
    <w:rsid w:val="000A42CC"/>
    <w:rsid w:val="000E7DD9"/>
    <w:rsid w:val="0010095E"/>
    <w:rsid w:val="00125B37"/>
    <w:rsid w:val="00187494"/>
    <w:rsid w:val="001A5037"/>
    <w:rsid w:val="001F32AE"/>
    <w:rsid w:val="002767FF"/>
    <w:rsid w:val="002B18FE"/>
    <w:rsid w:val="002B5493"/>
    <w:rsid w:val="002D6C5F"/>
    <w:rsid w:val="00301679"/>
    <w:rsid w:val="00343214"/>
    <w:rsid w:val="00361C00"/>
    <w:rsid w:val="00395FA1"/>
    <w:rsid w:val="003E15D4"/>
    <w:rsid w:val="00411CCE"/>
    <w:rsid w:val="0041666E"/>
    <w:rsid w:val="00421060"/>
    <w:rsid w:val="00471C19"/>
    <w:rsid w:val="004867E3"/>
    <w:rsid w:val="00494A28"/>
    <w:rsid w:val="004C0004"/>
    <w:rsid w:val="004C5D52"/>
    <w:rsid w:val="004F4CE4"/>
    <w:rsid w:val="0050519A"/>
    <w:rsid w:val="005072A1"/>
    <w:rsid w:val="00514517"/>
    <w:rsid w:val="00545827"/>
    <w:rsid w:val="00560270"/>
    <w:rsid w:val="005C2568"/>
    <w:rsid w:val="005F1B17"/>
    <w:rsid w:val="006037C0"/>
    <w:rsid w:val="006631B6"/>
    <w:rsid w:val="00680577"/>
    <w:rsid w:val="006F74FA"/>
    <w:rsid w:val="00726A1B"/>
    <w:rsid w:val="00731ADD"/>
    <w:rsid w:val="00734777"/>
    <w:rsid w:val="00747932"/>
    <w:rsid w:val="00751A4A"/>
    <w:rsid w:val="00756632"/>
    <w:rsid w:val="00762C74"/>
    <w:rsid w:val="00786EC0"/>
    <w:rsid w:val="007D1690"/>
    <w:rsid w:val="007E22AD"/>
    <w:rsid w:val="00817416"/>
    <w:rsid w:val="00842779"/>
    <w:rsid w:val="00853DA9"/>
    <w:rsid w:val="00865F67"/>
    <w:rsid w:val="00881A7B"/>
    <w:rsid w:val="008840E5"/>
    <w:rsid w:val="00887B3E"/>
    <w:rsid w:val="008C2AC6"/>
    <w:rsid w:val="00930C23"/>
    <w:rsid w:val="0093193B"/>
    <w:rsid w:val="009509D8"/>
    <w:rsid w:val="00950B64"/>
    <w:rsid w:val="00981893"/>
    <w:rsid w:val="009F2734"/>
    <w:rsid w:val="00A1687D"/>
    <w:rsid w:val="00A43E52"/>
    <w:rsid w:val="00A4678D"/>
    <w:rsid w:val="00A778C7"/>
    <w:rsid w:val="00A8787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7B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C10E9"/>
  <w15:chartTrackingRefBased/>
  <w15:docId w15:val="{6691A993-7B1E-432B-905B-2E48C6BC4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D6C5F"/>
    <w:rPr>
      <w:b/>
    </w:rPr>
  </w:style>
  <w:style w:type="paragraph" w:customStyle="1" w:styleId="NormalHanging12a">
    <w:name w:val="NormalHanging12a"/>
    <w:basedOn w:val="Normal"/>
    <w:link w:val="NormalHanging12aChar"/>
    <w:rsid w:val="002D6C5F"/>
    <w:pPr>
      <w:spacing w:after="240"/>
      <w:ind w:left="567" w:hanging="567"/>
    </w:pPr>
  </w:style>
  <w:style w:type="paragraph" w:customStyle="1" w:styleId="EPComma">
    <w:name w:val="EPComma"/>
    <w:basedOn w:val="Normal"/>
    <w:link w:val="EPCommaChar"/>
    <w:rsid w:val="002D6C5F"/>
    <w:pPr>
      <w:spacing w:before="480" w:after="240"/>
    </w:pPr>
  </w:style>
  <w:style w:type="character" w:customStyle="1" w:styleId="EPCommaChar">
    <w:name w:val="EPComma Char"/>
    <w:basedOn w:val="DefaultParagraphFont"/>
    <w:link w:val="EPComma"/>
    <w:rsid w:val="002D6C5F"/>
    <w:rPr>
      <w:sz w:val="24"/>
      <w:lang w:val="sv-SE"/>
    </w:rPr>
  </w:style>
  <w:style w:type="character" w:customStyle="1" w:styleId="NormalHanging12aChar">
    <w:name w:val="NormalHanging12a Char"/>
    <w:basedOn w:val="DefaultParagraphFont"/>
    <w:link w:val="NormalHanging12a"/>
    <w:locked/>
    <w:rsid w:val="002D6C5F"/>
    <w:rPr>
      <w:sz w:val="24"/>
      <w:lang w:val="sv-SE"/>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2D6C5F"/>
    <w:pPr>
      <w:widowControl/>
      <w:spacing w:after="160" w:line="240" w:lineRule="exact"/>
    </w:pPr>
    <w:rPr>
      <w:sz w:val="20"/>
      <w:vertAlign w:val="superscript"/>
      <w:lang w:val="en-GB"/>
    </w:rPr>
  </w:style>
  <w:style w:type="character" w:styleId="Hyperlink">
    <w:name w:val="Hyperlink"/>
    <w:basedOn w:val="DefaultParagraphFont"/>
    <w:uiPriority w:val="99"/>
    <w:unhideWhenUsed/>
    <w:rsid w:val="002D6C5F"/>
    <w:rPr>
      <w:color w:val="0000FF"/>
      <w:u w:val="single"/>
    </w:rPr>
  </w:style>
  <w:style w:type="character" w:customStyle="1" w:styleId="highlight-diff">
    <w:name w:val="highlight-diff"/>
    <w:basedOn w:val="DefaultParagraphFont"/>
    <w:rsid w:val="002D6C5F"/>
  </w:style>
  <w:style w:type="character" w:styleId="UnresolvedMention">
    <w:name w:val="Unresolved Mention"/>
    <w:basedOn w:val="DefaultParagraphFont"/>
    <w:uiPriority w:val="99"/>
    <w:semiHidden/>
    <w:unhideWhenUsed/>
    <w:rsid w:val="00301679"/>
    <w:rPr>
      <w:color w:val="605E5C"/>
      <w:shd w:val="clear" w:color="auto" w:fill="E1DFDD"/>
    </w:rPr>
  </w:style>
  <w:style w:type="character" w:styleId="CommentReference">
    <w:name w:val="annotation reference"/>
    <w:basedOn w:val="DefaultParagraphFont"/>
    <w:rsid w:val="009F2734"/>
    <w:rPr>
      <w:sz w:val="16"/>
      <w:szCs w:val="16"/>
    </w:rPr>
  </w:style>
  <w:style w:type="paragraph" w:styleId="CommentText">
    <w:name w:val="annotation text"/>
    <w:basedOn w:val="Normal"/>
    <w:link w:val="CommentTextChar"/>
    <w:rsid w:val="009F2734"/>
    <w:rPr>
      <w:sz w:val="20"/>
    </w:rPr>
  </w:style>
  <w:style w:type="character" w:customStyle="1" w:styleId="CommentTextChar">
    <w:name w:val="Comment Text Char"/>
    <w:basedOn w:val="DefaultParagraphFont"/>
    <w:link w:val="CommentText"/>
    <w:rsid w:val="009F2734"/>
    <w:rPr>
      <w:lang w:val="sv-SE"/>
    </w:rPr>
  </w:style>
  <w:style w:type="paragraph" w:styleId="CommentSubject">
    <w:name w:val="annotation subject"/>
    <w:basedOn w:val="CommentText"/>
    <w:next w:val="CommentText"/>
    <w:link w:val="CommentSubjectChar"/>
    <w:rsid w:val="009F2734"/>
    <w:rPr>
      <w:b/>
      <w:bCs/>
    </w:rPr>
  </w:style>
  <w:style w:type="character" w:customStyle="1" w:styleId="CommentSubjectChar">
    <w:name w:val="Comment Subject Char"/>
    <w:basedOn w:val="CommentTextChar"/>
    <w:link w:val="CommentSubject"/>
    <w:rsid w:val="009F2734"/>
    <w:rPr>
      <w:b/>
      <w:bCs/>
      <w:lang w:val="sv-SE"/>
    </w:rPr>
  </w:style>
  <w:style w:type="paragraph" w:styleId="Revision">
    <w:name w:val="Revision"/>
    <w:hidden/>
    <w:uiPriority w:val="99"/>
    <w:semiHidden/>
    <w:rsid w:val="009F273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1925/oj" TargetMode="External"/><Relationship Id="rId2" Type="http://schemas.openxmlformats.org/officeDocument/2006/relationships/hyperlink" Target="https://www.zdg.md/en/kremlins-digital-army-an-undercover-investigation-its-paid-let-me-tell-you-its-paid-directly-from-moscow/" TargetMode="External"/><Relationship Id="rId1" Type="http://schemas.openxmlformats.org/officeDocument/2006/relationships/hyperlink" Target="http://data.europa.eu/eli/agree_internation/2014/492/oj" TargetMode="External"/><Relationship Id="rId5" Type="http://schemas.openxmlformats.org/officeDocument/2006/relationships/hyperlink" Target="https://pace.coe.int/en/files/33808/html" TargetMode="External"/><Relationship Id="rId4"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2728</Words>
  <Characters>18362</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2025-09-10T14:08:00Z</dcterms:created>
  <dcterms:modified xsi:type="dcterms:W3CDTF">2025-09-10T14:08:00Z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B10-0355/2025</vt:lpwstr>
  </property>
  <property fmtid="{D5CDD505-2E9C-101B-9397-08002B2CF9AE}" pid="4" name="&lt;Type&gt;">
    <vt:lpwstr>RR</vt:lpwstr>
  </property>
</Properties>
</file>