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C4501" w14:paraId="1F0AC6D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AC8593" w14:textId="40C005F0" w:rsidR="00751A4A" w:rsidRPr="005C4501" w:rsidRDefault="007420CD" w:rsidP="0010095E">
            <w:pPr>
              <w:pStyle w:val="EPName"/>
            </w:pPr>
            <w:r w:rsidRPr="005C4501">
              <w:t>Европейски</w:t>
            </w:r>
            <w:r w:rsidR="00BF3233" w:rsidRPr="005C4501">
              <w:t xml:space="preserve"> парламент</w:t>
            </w:r>
          </w:p>
          <w:p w14:paraId="698D0F19" w14:textId="1DA2A4A6" w:rsidR="00751A4A" w:rsidRPr="005C450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C4501">
              <w:t>2024</w:t>
            </w:r>
            <w:r w:rsidR="007420CD">
              <w:t> – </w:t>
            </w:r>
            <w:r w:rsidR="00817416" w:rsidRPr="005C4501">
              <w:t>202</w:t>
            </w:r>
            <w:r w:rsidRPr="005C4501">
              <w:t>9</w:t>
            </w:r>
          </w:p>
        </w:tc>
        <w:tc>
          <w:tcPr>
            <w:tcW w:w="2268" w:type="dxa"/>
            <w:shd w:val="clear" w:color="auto" w:fill="auto"/>
          </w:tcPr>
          <w:p w14:paraId="638922D9" w14:textId="77777777" w:rsidR="00751A4A" w:rsidRPr="005C4501" w:rsidRDefault="00187494" w:rsidP="0010095E">
            <w:pPr>
              <w:pStyle w:val="EPLogo"/>
            </w:pPr>
            <w:r w:rsidRPr="005C4501">
              <w:rPr>
                <w:noProof/>
                <w:lang w:eastAsia="ja-JP"/>
              </w:rPr>
              <w:drawing>
                <wp:inline distT="0" distB="0" distL="0" distR="0" wp14:anchorId="2B6A5F9A" wp14:editId="2AE24EC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7AB7B6" w14:textId="77777777" w:rsidR="00D058B8" w:rsidRPr="005C4501" w:rsidRDefault="00D058B8" w:rsidP="004C5D52">
      <w:pPr>
        <w:pStyle w:val="LineTop"/>
      </w:pPr>
    </w:p>
    <w:p w14:paraId="2DE6B542" w14:textId="77777777" w:rsidR="00680577" w:rsidRPr="005C4501" w:rsidRDefault="00BF3233" w:rsidP="00680577">
      <w:pPr>
        <w:pStyle w:val="EPBodyTA1"/>
      </w:pPr>
      <w:r w:rsidRPr="005C4501">
        <w:t>ПРИЕТИ ТЕКСТОВЕ</w:t>
      </w:r>
    </w:p>
    <w:p w14:paraId="06C46D70" w14:textId="77777777" w:rsidR="00D058B8" w:rsidRPr="005C4501" w:rsidRDefault="00D058B8" w:rsidP="00D058B8">
      <w:pPr>
        <w:pStyle w:val="LineBottom"/>
      </w:pPr>
    </w:p>
    <w:p w14:paraId="38A7079A" w14:textId="48F65712" w:rsidR="00BF3233" w:rsidRPr="005C4501" w:rsidRDefault="00BF3233" w:rsidP="00BF3233">
      <w:pPr>
        <w:pStyle w:val="ATHeading1"/>
      </w:pPr>
      <w:bookmarkStart w:id="0" w:name="TANumber"/>
      <w:r w:rsidRPr="005C4501">
        <w:t>P10_TA(2025)0</w:t>
      </w:r>
      <w:r w:rsidR="000F6F87">
        <w:rPr>
          <w:lang w:val="en-GB"/>
        </w:rPr>
        <w:t>196</w:t>
      </w:r>
      <w:bookmarkEnd w:id="0"/>
    </w:p>
    <w:p w14:paraId="7ADB7556" w14:textId="77777777" w:rsidR="00BF3233" w:rsidRPr="005C4501" w:rsidRDefault="00BF3233" w:rsidP="00BF3233">
      <w:pPr>
        <w:pStyle w:val="ATHeading2"/>
      </w:pPr>
      <w:bookmarkStart w:id="1" w:name="title"/>
      <w:r w:rsidRPr="005C4501">
        <w:t>Нова визия за алиансите на европейски университети</w:t>
      </w:r>
      <w:bookmarkEnd w:id="1"/>
    </w:p>
    <w:p w14:paraId="50314EA4" w14:textId="77777777" w:rsidR="00BF3233" w:rsidRPr="005C4501" w:rsidRDefault="00BF3233" w:rsidP="00BF3233">
      <w:pPr>
        <w:rPr>
          <w:i/>
          <w:vanish/>
        </w:rPr>
      </w:pPr>
      <w:r w:rsidRPr="005C4501">
        <w:rPr>
          <w:i/>
        </w:rPr>
        <w:fldChar w:fldCharType="begin"/>
      </w:r>
      <w:r w:rsidRPr="005C4501">
        <w:rPr>
          <w:i/>
        </w:rPr>
        <w:instrText xml:space="preserve"> TC"(</w:instrText>
      </w:r>
      <w:bookmarkStart w:id="2" w:name="DocNumber"/>
      <w:r w:rsidRPr="005C4501">
        <w:rPr>
          <w:i/>
        </w:rPr>
        <w:instrText>A10-0135/2025</w:instrText>
      </w:r>
      <w:bookmarkEnd w:id="2"/>
      <w:r w:rsidRPr="005C4501">
        <w:rPr>
          <w:i/>
        </w:rPr>
        <w:instrText xml:space="preserve"> - Докладчик: Лоранс </w:instrText>
      </w:r>
      <w:proofErr w:type="spellStart"/>
      <w:r w:rsidRPr="005C4501">
        <w:rPr>
          <w:i/>
        </w:rPr>
        <w:instrText>Фаренг</w:instrText>
      </w:r>
      <w:proofErr w:type="spellEnd"/>
      <w:r w:rsidRPr="005C4501">
        <w:rPr>
          <w:i/>
        </w:rPr>
        <w:instrText xml:space="preserve">)"\l3 \n&gt; \* MERGEFORMAT </w:instrText>
      </w:r>
      <w:r w:rsidRPr="005C4501">
        <w:rPr>
          <w:i/>
        </w:rPr>
        <w:fldChar w:fldCharType="end"/>
      </w:r>
    </w:p>
    <w:p w14:paraId="0EA2C0B9" w14:textId="77777777" w:rsidR="00BF3233" w:rsidRPr="005C4501" w:rsidRDefault="00BF3233" w:rsidP="00BF3233">
      <w:pPr>
        <w:rPr>
          <w:vanish/>
        </w:rPr>
      </w:pPr>
      <w:bookmarkStart w:id="3" w:name="Commission"/>
      <w:r w:rsidRPr="005C4501">
        <w:rPr>
          <w:vanish/>
        </w:rPr>
        <w:t>Комисия по култура и образование</w:t>
      </w:r>
      <w:bookmarkEnd w:id="3"/>
    </w:p>
    <w:p w14:paraId="14C83634" w14:textId="77777777" w:rsidR="00BF3233" w:rsidRPr="005C4501" w:rsidRDefault="00BF3233" w:rsidP="00BF3233">
      <w:pPr>
        <w:rPr>
          <w:vanish/>
        </w:rPr>
      </w:pPr>
      <w:bookmarkStart w:id="4" w:name="PE"/>
      <w:r w:rsidRPr="005C4501">
        <w:rPr>
          <w:vanish/>
        </w:rPr>
        <w:t>PE770.272</w:t>
      </w:r>
      <w:bookmarkEnd w:id="4"/>
    </w:p>
    <w:p w14:paraId="5FD416D2" w14:textId="79408A2B" w:rsidR="00BF3233" w:rsidRPr="005C4501" w:rsidRDefault="00BF3233" w:rsidP="00BF3233">
      <w:pPr>
        <w:pStyle w:val="ATHeading3"/>
      </w:pPr>
      <w:bookmarkStart w:id="5" w:name="Sujet"/>
      <w:r w:rsidRPr="005C4501">
        <w:t xml:space="preserve">Резолюция на Европейския парламент от </w:t>
      </w:r>
      <w:r w:rsidR="007420CD">
        <w:t>11 септември</w:t>
      </w:r>
      <w:r w:rsidR="007420CD" w:rsidRPr="005C4501">
        <w:t xml:space="preserve"> </w:t>
      </w:r>
      <w:r w:rsidRPr="005C4501">
        <w:t>2025 г. относно нова визия за алиансите на европейски университети</w:t>
      </w:r>
      <w:bookmarkEnd w:id="5"/>
      <w:r w:rsidRPr="005C4501">
        <w:t xml:space="preserve"> </w:t>
      </w:r>
      <w:bookmarkStart w:id="6" w:name="References"/>
      <w:r w:rsidRPr="005C4501">
        <w:t>(2025/2036(INI))</w:t>
      </w:r>
      <w:bookmarkEnd w:id="6"/>
    </w:p>
    <w:p w14:paraId="06C5E9BC" w14:textId="77777777" w:rsidR="00C276CB" w:rsidRPr="005C4501" w:rsidRDefault="00C276CB" w:rsidP="00C276CB">
      <w:pPr>
        <w:pStyle w:val="EPComma"/>
      </w:pPr>
      <w:r w:rsidRPr="005C4501">
        <w:rPr>
          <w:rStyle w:val="Italic"/>
          <w:iCs/>
        </w:rPr>
        <w:t>Европейският парламент</w:t>
      </w:r>
      <w:r w:rsidRPr="005C4501">
        <w:t>,</w:t>
      </w:r>
    </w:p>
    <w:p w14:paraId="71A48C6A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Хартата на основните права на ЕС, и по-специално членове 13 и 14 от нея относно свободата на изкуствата и науките и правото на образование;</w:t>
      </w:r>
    </w:p>
    <w:p w14:paraId="50ABA469" w14:textId="41DB13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 xml:space="preserve">като взе предвид Регламент (ЕС) 2021/817 на Европейския парламент и на Съвета от </w:t>
      </w:r>
      <w:r w:rsidR="00466A8A">
        <w:t xml:space="preserve">20 </w:t>
      </w:r>
      <w:r w:rsidRPr="005C4501">
        <w:t>май 2021 г. за създаване на „Еразъм+“ — програма на Съюза в областта на образованието и обучението, младежта и спорта и за отмяна на Регламент (ЕС) № 1288/2013</w:t>
      </w:r>
      <w:r w:rsidRPr="005C4501">
        <w:rPr>
          <w:rStyle w:val="FootnoteReference"/>
        </w:rPr>
        <w:footnoteReference w:id="1"/>
      </w:r>
      <w:r w:rsidRPr="005C4501">
        <w:t>,</w:t>
      </w:r>
    </w:p>
    <w:p w14:paraId="63CF2B2E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проучването от 11 септември 2023 г., проведено за комисията по култура и образование, озаглавено „Програми на ЕС за финансиране за периода 2021—2027 г. в областта на културата, медиите, образованието, младежта и спорта: първи поуки, предизвикателства и бъдещи перспективи — „Еразъм+“,</w:t>
      </w:r>
    </w:p>
    <w:p w14:paraId="1DB87827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проучването от 20 юли 2023 г., проведено за комисията по култура и образование, озаглавено „Ранно изпълнение на четири програми на ЕС за периода 2021—2027 г.: „Еразъм+“, „Творческа Европа“, Европейски корпус за солидарност и „Граждани, равенство, права и ценности“ (направление 3)“,</w:t>
      </w:r>
    </w:p>
    <w:p w14:paraId="48E62DFC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заключенията на Съвета от 17 май 2021 г. относно инициативата „Европейски университети“ — хвърляне на мост между висшето образование, научните изследвания, иновациите и обществото: проправяне на пътя за ново измерение в европейското висше образование,</w:t>
      </w:r>
    </w:p>
    <w:p w14:paraId="417EF0C4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заключенията на Съвета от 14 и 15 декември 2017 г.,</w:t>
      </w:r>
    </w:p>
    <w:p w14:paraId="3DE76F56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заключенията на Съвета от 7 юни 2018 г. „Към визия за европейското образователно пространство“,</w:t>
      </w:r>
    </w:p>
    <w:p w14:paraId="72A711CD" w14:textId="77777777" w:rsidR="00C276CB" w:rsidRPr="005C4501" w:rsidRDefault="00C276CB" w:rsidP="00C276CB">
      <w:pPr>
        <w:pStyle w:val="NormalHanging12a"/>
      </w:pPr>
      <w:r w:rsidRPr="005C4501">
        <w:lastRenderedPageBreak/>
        <w:t>–</w:t>
      </w:r>
      <w:r w:rsidRPr="005C4501">
        <w:tab/>
        <w:t>като взе предвид резолюцията на Съвета от 18 ноември 2019 г. относно по-нататъшното развитие на европейското пространство за образование в подкрепа на ориентирани към бъдещето системи за образование и обучение</w:t>
      </w:r>
      <w:r w:rsidRPr="005C4501">
        <w:rPr>
          <w:rStyle w:val="FootnoteReference"/>
        </w:rPr>
        <w:footnoteReference w:id="2"/>
      </w:r>
      <w:r w:rsidRPr="005C4501">
        <w:t>,</w:t>
      </w:r>
    </w:p>
    <w:p w14:paraId="0E62E454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резолюцията на Съвета от 29 ноември 2021 г. относно нова европейска програма за учене за възрастни за периода 2021—2030 г.</w:t>
      </w:r>
      <w:r w:rsidRPr="005C4501">
        <w:rPr>
          <w:rStyle w:val="FootnoteReference"/>
        </w:rPr>
        <w:footnoteReference w:id="3"/>
      </w:r>
      <w:r w:rsidRPr="005C4501">
        <w:t>,</w:t>
      </w:r>
    </w:p>
    <w:p w14:paraId="02DE31ED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препоръката на Съвета от 13 май 2024 г., озаглавена „Европа в движение“ – възможности за образователна мобилност за всеки</w:t>
      </w:r>
      <w:r w:rsidRPr="005C4501">
        <w:rPr>
          <w:rStyle w:val="FootnoteReference"/>
        </w:rPr>
        <w:footnoteReference w:id="4"/>
      </w:r>
      <w:r w:rsidRPr="005C4501">
        <w:t>,</w:t>
      </w:r>
    </w:p>
    <w:p w14:paraId="212E088C" w14:textId="6AF4DB36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предложението на Комисията от 28 февруари 2025 г. за препоръка на Съвета относно програмата за политиката за европейското научноизследователско пространство за периода 2025—2027 г. (</w:t>
      </w:r>
      <w:r w:rsidR="007420CD" w:rsidRPr="001C4750">
        <w:t>COM(2025)0062</w:t>
      </w:r>
      <w:r w:rsidRPr="005C4501">
        <w:t>),</w:t>
      </w:r>
    </w:p>
    <w:p w14:paraId="7E0AA638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Препоръка (ЕС) 2021/2122 на Съвета от 26 ноември 2021 г. относно Пакт за научни изследвания и иновации в Европа</w:t>
      </w:r>
      <w:r w:rsidRPr="005C4501">
        <w:rPr>
          <w:rStyle w:val="FootnoteReference"/>
        </w:rPr>
        <w:footnoteReference w:id="5"/>
      </w:r>
      <w:r w:rsidRPr="005C4501">
        <w:t>,</w:t>
      </w:r>
    </w:p>
    <w:p w14:paraId="7997AE7F" w14:textId="4E8A913E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съобщението на Комисията от 18 януари 2022 г. относно европейска стратегия за университетите (</w:t>
      </w:r>
      <w:r w:rsidR="007420CD" w:rsidRPr="001C4750">
        <w:t>COM(2022)0016</w:t>
      </w:r>
      <w:r w:rsidRPr="005C4501">
        <w:t>),</w:t>
      </w:r>
    </w:p>
    <w:p w14:paraId="4B0E3D97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доклада на Комисията от 15 април 2024 г. относно добрите практики от проектите на алиансите на европейски университети (Пилот II),</w:t>
      </w:r>
    </w:p>
    <w:p w14:paraId="7C5DA2A4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доклада на Комисията относно резултатите и потенциала за трансформация на инициативата „Европейски университети“</w:t>
      </w:r>
      <w:r w:rsidRPr="005C4501">
        <w:rPr>
          <w:rStyle w:val="FootnoteReference"/>
        </w:rPr>
        <w:footnoteReference w:id="6"/>
      </w:r>
      <w:r w:rsidRPr="005C4501">
        <w:t>,</w:t>
      </w:r>
    </w:p>
    <w:p w14:paraId="2F357726" w14:textId="34F2C8D2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съобщението на Комисията от 27 март 2024 г., озаглавено „Подробен план за европейска диплома за висше образование“ (</w:t>
      </w:r>
      <w:r w:rsidR="007420CD" w:rsidRPr="001C4750">
        <w:t>COM(2024)0144</w:t>
      </w:r>
      <w:r w:rsidRPr="005C4501">
        <w:t>),</w:t>
      </w:r>
    </w:p>
    <w:p w14:paraId="3128B32A" w14:textId="0627434E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 xml:space="preserve">като взе предвид работния документ на службите на Комисията от 27 март 2024 г. (SWD(2024)0074), придружаващ съобщението на Комисията </w:t>
      </w:r>
      <w:r w:rsidR="007420CD" w:rsidRPr="001C4750">
        <w:t>COM(2024)0144</w:t>
      </w:r>
      <w:r w:rsidRPr="005C4501">
        <w:t>, предложението на Комисията от 27 март 2024 г. за препоръка на Съвета относно Европейска система за осигуряване на качество и признаване на квалификациите във висшето образование (</w:t>
      </w:r>
      <w:r w:rsidR="007420CD" w:rsidRPr="001C4750">
        <w:t>COM(2024)0147</w:t>
      </w:r>
      <w:r w:rsidRPr="005C4501">
        <w:t>) и предложението на Комисията от 27 март 2024 г. за препоръка на Съвета относно привлекателни и устойчиви кариери във висшето образование (</w:t>
      </w:r>
      <w:r w:rsidR="007420CD" w:rsidRPr="001C4750">
        <w:t>COM(2024)0145</w:t>
      </w:r>
      <w:r w:rsidRPr="005C4501">
        <w:t>),</w:t>
      </w:r>
    </w:p>
    <w:p w14:paraId="016E1B3E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 xml:space="preserve">като взе предвид работния документ на службите на Комисията от 19 декември 2024 г., озаглавен „Доклад относно окончателните резултати от проектите за експериментиране в областта на политиката по „Еразъм+“: европейска диплома </w:t>
      </w:r>
      <w:r w:rsidRPr="005C4501">
        <w:lastRenderedPageBreak/>
        <w:t>(знак) и институционализирани инструменти за сътрудничество на ЕС“ (SWD(2024)0291),</w:t>
      </w:r>
    </w:p>
    <w:p w14:paraId="7817C9D9" w14:textId="2B4DBE8F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съобщението на Комисията от 5 март 2025 г., озаглавено „Съюз на уменията“ (</w:t>
      </w:r>
      <w:r w:rsidR="007420CD" w:rsidRPr="001C4750">
        <w:t>COM(2025)0090</w:t>
      </w:r>
      <w:r w:rsidRPr="005C4501">
        <w:t>),</w:t>
      </w:r>
    </w:p>
    <w:p w14:paraId="43A7901B" w14:textId="609448C4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съобщението на Комисията от 5 март 2025 г. относно стратегически план за образование в областта на НТИМ: умения за конкурентоспособност и иновации (</w:t>
      </w:r>
      <w:r w:rsidR="007420CD" w:rsidRPr="001C4750">
        <w:t>COM(2025)0089</w:t>
      </w:r>
      <w:r w:rsidRPr="005C4501">
        <w:t>),</w:t>
      </w:r>
    </w:p>
    <w:p w14:paraId="0E502E02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междинния преглед на европейското пространство за образование от 2023 г.,</w:t>
      </w:r>
    </w:p>
    <w:p w14:paraId="3501C02B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министерското комюнике от Рим от 19 ноември 2020 г., прието на срещата на министрите от държавите, участващи в европейското пространство за висше образование,</w:t>
      </w:r>
    </w:p>
    <w:p w14:paraId="1F36095D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принципите, насоките и показателите за социалното измерение на висшето образование от 9 януари 2024 г., публикувани от Групата за проследяване на процеса от Болоня, работна група по социалното измерение за периода 2021—2024 г.,</w:t>
      </w:r>
    </w:p>
    <w:p w14:paraId="77120328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 xml:space="preserve">като взе предвид независимия доклад на високо равнище от Енрико Лета относно бъдещето на единния пазар, озаглавен </w:t>
      </w:r>
      <w:proofErr w:type="spellStart"/>
      <w:r w:rsidRPr="005C4501">
        <w:t>Much</w:t>
      </w:r>
      <w:proofErr w:type="spellEnd"/>
      <w:r w:rsidRPr="005C4501">
        <w:t xml:space="preserve"> </w:t>
      </w:r>
      <w:proofErr w:type="spellStart"/>
      <w:r w:rsidRPr="005C4501">
        <w:t>more</w:t>
      </w:r>
      <w:proofErr w:type="spellEnd"/>
      <w:r w:rsidRPr="005C4501">
        <w:t xml:space="preserve"> </w:t>
      </w:r>
      <w:proofErr w:type="spellStart"/>
      <w:r w:rsidRPr="005C4501">
        <w:t>than</w:t>
      </w:r>
      <w:proofErr w:type="spellEnd"/>
      <w:r w:rsidRPr="005C4501">
        <w:t xml:space="preserve"> a </w:t>
      </w:r>
      <w:proofErr w:type="spellStart"/>
      <w:r w:rsidRPr="005C4501">
        <w:t>market</w:t>
      </w:r>
      <w:proofErr w:type="spellEnd"/>
      <w:r w:rsidRPr="005C4501">
        <w:t xml:space="preserve"> – </w:t>
      </w:r>
      <w:proofErr w:type="spellStart"/>
      <w:r w:rsidRPr="005C4501">
        <w:t>Speed</w:t>
      </w:r>
      <w:proofErr w:type="spellEnd"/>
      <w:r w:rsidRPr="005C4501">
        <w:t xml:space="preserve">, </w:t>
      </w:r>
      <w:proofErr w:type="spellStart"/>
      <w:r w:rsidRPr="005C4501">
        <w:t>Security</w:t>
      </w:r>
      <w:proofErr w:type="spellEnd"/>
      <w:r w:rsidRPr="005C4501">
        <w:t xml:space="preserve">, </w:t>
      </w:r>
      <w:proofErr w:type="spellStart"/>
      <w:r w:rsidRPr="005C4501">
        <w:t>Solidarity</w:t>
      </w:r>
      <w:proofErr w:type="spellEnd"/>
      <w:r w:rsidRPr="005C4501">
        <w:t xml:space="preserve">: </w:t>
      </w:r>
      <w:proofErr w:type="spellStart"/>
      <w:r w:rsidRPr="005C4501">
        <w:t>Empowering</w:t>
      </w:r>
      <w:proofErr w:type="spellEnd"/>
      <w:r w:rsidRPr="005C4501">
        <w:t xml:space="preserve"> </w:t>
      </w:r>
      <w:proofErr w:type="spellStart"/>
      <w:r w:rsidRPr="005C4501">
        <w:t>the</w:t>
      </w:r>
      <w:proofErr w:type="spellEnd"/>
      <w:r w:rsidRPr="005C4501">
        <w:t xml:space="preserve"> </w:t>
      </w:r>
      <w:proofErr w:type="spellStart"/>
      <w:r w:rsidRPr="005C4501">
        <w:t>Single</w:t>
      </w:r>
      <w:proofErr w:type="spellEnd"/>
      <w:r w:rsidRPr="005C4501">
        <w:t xml:space="preserve"> Market </w:t>
      </w:r>
      <w:proofErr w:type="spellStart"/>
      <w:r w:rsidRPr="005C4501">
        <w:t>to</w:t>
      </w:r>
      <w:proofErr w:type="spellEnd"/>
      <w:r w:rsidRPr="005C4501">
        <w:t xml:space="preserve"> </w:t>
      </w:r>
      <w:proofErr w:type="spellStart"/>
      <w:r w:rsidRPr="005C4501">
        <w:t>deliver</w:t>
      </w:r>
      <w:proofErr w:type="spellEnd"/>
      <w:r w:rsidRPr="005C4501">
        <w:t xml:space="preserve"> a </w:t>
      </w:r>
      <w:proofErr w:type="spellStart"/>
      <w:r w:rsidRPr="005C4501">
        <w:t>sustainable</w:t>
      </w:r>
      <w:proofErr w:type="spellEnd"/>
      <w:r w:rsidRPr="005C4501">
        <w:t xml:space="preserve"> </w:t>
      </w:r>
      <w:proofErr w:type="spellStart"/>
      <w:r w:rsidRPr="005C4501">
        <w:t>future</w:t>
      </w:r>
      <w:proofErr w:type="spellEnd"/>
      <w:r w:rsidRPr="005C4501">
        <w:t xml:space="preserve"> </w:t>
      </w:r>
      <w:proofErr w:type="spellStart"/>
      <w:r w:rsidRPr="005C4501">
        <w:t>and</w:t>
      </w:r>
      <w:proofErr w:type="spellEnd"/>
      <w:r w:rsidRPr="005C4501">
        <w:t xml:space="preserve"> </w:t>
      </w:r>
      <w:proofErr w:type="spellStart"/>
      <w:r w:rsidRPr="005C4501">
        <w:t>prosperity</w:t>
      </w:r>
      <w:proofErr w:type="spellEnd"/>
      <w:r w:rsidRPr="005C4501">
        <w:t xml:space="preserve"> </w:t>
      </w:r>
      <w:proofErr w:type="spellStart"/>
      <w:r w:rsidRPr="005C4501">
        <w:t>for</w:t>
      </w:r>
      <w:proofErr w:type="spellEnd"/>
      <w:r w:rsidRPr="005C4501">
        <w:t xml:space="preserve"> </w:t>
      </w:r>
      <w:proofErr w:type="spellStart"/>
      <w:r w:rsidRPr="005C4501">
        <w:t>all</w:t>
      </w:r>
      <w:proofErr w:type="spellEnd"/>
      <w:r w:rsidRPr="005C4501">
        <w:t xml:space="preserve"> EU </w:t>
      </w:r>
      <w:proofErr w:type="spellStart"/>
      <w:r w:rsidRPr="005C4501">
        <w:t>Citizens</w:t>
      </w:r>
      <w:proofErr w:type="spellEnd"/>
      <w:r w:rsidRPr="005C4501">
        <w:t xml:space="preserve"> (Много повече от пазар — бързина, сигурност, солидарност: предоставяне на възможност на единния пазар да осигури устойчиво бъдеще и просперитет за всички граждани на ЕС), публикуван през април 2024 г.</w:t>
      </w:r>
    </w:p>
    <w:p w14:paraId="09101596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доклада на Марио Драги относно бъдещето на европейската конкурентоспособност, публикуван през септември 2024 г.,</w:t>
      </w:r>
    </w:p>
    <w:p w14:paraId="4918DF4D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 xml:space="preserve">като взе предвид доклада относно научните изследвания и иновациите от група независими експерти под председателството на Мануел </w:t>
      </w:r>
      <w:proofErr w:type="spellStart"/>
      <w:r w:rsidRPr="005C4501">
        <w:t>Ейтор</w:t>
      </w:r>
      <w:proofErr w:type="spellEnd"/>
      <w:r w:rsidRPr="005C4501">
        <w:t xml:space="preserve">, озаглавен </w:t>
      </w:r>
      <w:proofErr w:type="spellStart"/>
      <w:r w:rsidRPr="005C4501">
        <w:t>Align</w:t>
      </w:r>
      <w:proofErr w:type="spellEnd"/>
      <w:r w:rsidRPr="005C4501">
        <w:t xml:space="preserve">, </w:t>
      </w:r>
      <w:proofErr w:type="spellStart"/>
      <w:r w:rsidRPr="005C4501">
        <w:t>act</w:t>
      </w:r>
      <w:proofErr w:type="spellEnd"/>
      <w:r w:rsidRPr="005C4501">
        <w:t xml:space="preserve">, </w:t>
      </w:r>
      <w:proofErr w:type="spellStart"/>
      <w:r w:rsidRPr="005C4501">
        <w:t>accelerate</w:t>
      </w:r>
      <w:proofErr w:type="spellEnd"/>
      <w:r w:rsidRPr="005C4501">
        <w:t xml:space="preserve"> — </w:t>
      </w:r>
      <w:proofErr w:type="spellStart"/>
      <w:r w:rsidRPr="005C4501">
        <w:t>Research</w:t>
      </w:r>
      <w:proofErr w:type="spellEnd"/>
      <w:r w:rsidRPr="005C4501">
        <w:t xml:space="preserve">, </w:t>
      </w:r>
      <w:proofErr w:type="spellStart"/>
      <w:r w:rsidRPr="005C4501">
        <w:t>technology</w:t>
      </w:r>
      <w:proofErr w:type="spellEnd"/>
      <w:r w:rsidRPr="005C4501">
        <w:t xml:space="preserve"> </w:t>
      </w:r>
      <w:proofErr w:type="spellStart"/>
      <w:r w:rsidRPr="005C4501">
        <w:t>and</w:t>
      </w:r>
      <w:proofErr w:type="spellEnd"/>
      <w:r w:rsidRPr="005C4501">
        <w:t xml:space="preserve"> </w:t>
      </w:r>
      <w:proofErr w:type="spellStart"/>
      <w:r w:rsidRPr="005C4501">
        <w:t>innovation</w:t>
      </w:r>
      <w:proofErr w:type="spellEnd"/>
      <w:r w:rsidRPr="005C4501">
        <w:t xml:space="preserve"> </w:t>
      </w:r>
      <w:proofErr w:type="spellStart"/>
      <w:r w:rsidRPr="005C4501">
        <w:t>to</w:t>
      </w:r>
      <w:proofErr w:type="spellEnd"/>
      <w:r w:rsidRPr="005C4501">
        <w:t xml:space="preserve"> </w:t>
      </w:r>
      <w:proofErr w:type="spellStart"/>
      <w:r w:rsidRPr="005C4501">
        <w:t>boost</w:t>
      </w:r>
      <w:proofErr w:type="spellEnd"/>
      <w:r w:rsidRPr="005C4501">
        <w:t xml:space="preserve"> </w:t>
      </w:r>
      <w:proofErr w:type="spellStart"/>
      <w:r w:rsidRPr="005C4501">
        <w:t>European</w:t>
      </w:r>
      <w:proofErr w:type="spellEnd"/>
      <w:r w:rsidRPr="005C4501">
        <w:t xml:space="preserve"> </w:t>
      </w:r>
      <w:proofErr w:type="spellStart"/>
      <w:r w:rsidRPr="005C4501">
        <w:t>competitiveness</w:t>
      </w:r>
      <w:proofErr w:type="spellEnd"/>
      <w:r w:rsidRPr="005C4501">
        <w:t xml:space="preserve"> (Съгласуване, действие, ускоряване — Научни изследвания, технологии и иновации за повишаване на европейската конкурентоспособност), публикуван през октомври 2024 г.,</w:t>
      </w:r>
    </w:p>
    <w:p w14:paraId="5A3B7592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своята резолюция от 23 юни 2022 г. относно прилагането на мерки за приобщаване в рамките на програмата „Еразъм+“ за периода 2014—2020 г.</w:t>
      </w:r>
      <w:r w:rsidRPr="005C4501">
        <w:rPr>
          <w:rStyle w:val="FootnoteReference"/>
        </w:rPr>
        <w:footnoteReference w:id="7"/>
      </w:r>
      <w:r w:rsidRPr="005C4501">
        <w:t>,</w:t>
      </w:r>
    </w:p>
    <w:p w14:paraId="361A51C2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 xml:space="preserve">като взе предвид своята резолюция от 15 септември 2020 г. относно ефективните мерки за повишаване на </w:t>
      </w:r>
      <w:proofErr w:type="spellStart"/>
      <w:r w:rsidRPr="005C4501">
        <w:t>екологосъобразността</w:t>
      </w:r>
      <w:proofErr w:type="spellEnd"/>
      <w:r w:rsidRPr="005C4501">
        <w:t xml:space="preserve"> на програмите „Еразъм+“ и „Творческа Европа“, както и на Европейския корпус за солидарност</w:t>
      </w:r>
      <w:r w:rsidRPr="005C4501">
        <w:rPr>
          <w:rStyle w:val="FootnoteReference"/>
        </w:rPr>
        <w:footnoteReference w:id="8"/>
      </w:r>
      <w:r w:rsidRPr="005C4501">
        <w:t>,</w:t>
      </w:r>
    </w:p>
    <w:p w14:paraId="2ABF52A6" w14:textId="77777777" w:rsidR="00C276CB" w:rsidRPr="005C4501" w:rsidRDefault="00C276CB" w:rsidP="00C276CB">
      <w:pPr>
        <w:pStyle w:val="NormalHanging12a"/>
      </w:pPr>
      <w:r w:rsidRPr="005C4501">
        <w:lastRenderedPageBreak/>
        <w:t>–</w:t>
      </w:r>
      <w:r w:rsidRPr="005C4501">
        <w:tab/>
        <w:t>като взе предвид своята резолюция от 19 май 2022 г. относно създаване на европейско пространство за образование до 2025 г. — микроквалификации, индивидуални сметки за обучение и учене за устойчива околна среда</w:t>
      </w:r>
      <w:r w:rsidRPr="005C4501">
        <w:rPr>
          <w:rStyle w:val="FootnoteReference"/>
        </w:rPr>
        <w:footnoteReference w:id="9"/>
      </w:r>
      <w:r w:rsidRPr="005C4501">
        <w:t>,</w:t>
      </w:r>
    </w:p>
    <w:p w14:paraId="08D2759C" w14:textId="77777777" w:rsidR="00C276CB" w:rsidRPr="005C4501" w:rsidRDefault="00C276CB" w:rsidP="00C276CB">
      <w:pPr>
        <w:pStyle w:val="NormalHanging12a"/>
      </w:pPr>
      <w:r w:rsidRPr="005C4501">
        <w:t>–</w:t>
      </w:r>
      <w:r w:rsidRPr="005C4501">
        <w:tab/>
        <w:t>като взе предвид член 55 от своя Правилник за дейността,</w:t>
      </w:r>
    </w:p>
    <w:p w14:paraId="0CF6AA35" w14:textId="77777777" w:rsidR="00C276CB" w:rsidRPr="005C4501" w:rsidRDefault="00C276CB" w:rsidP="00C276CB">
      <w:pPr>
        <w:pStyle w:val="NormalHanging12a"/>
        <w:ind w:right="-284"/>
      </w:pPr>
      <w:r w:rsidRPr="005C4501">
        <w:t>–</w:t>
      </w:r>
      <w:r w:rsidRPr="005C4501">
        <w:tab/>
        <w:t>като взе предвид доклада на комисията по култура и образование (A10-0135/2025),</w:t>
      </w:r>
    </w:p>
    <w:p w14:paraId="6DEC6022" w14:textId="77777777" w:rsidR="00C276CB" w:rsidRPr="005C4501" w:rsidRDefault="00C276CB" w:rsidP="00C276CB">
      <w:pPr>
        <w:pStyle w:val="NormalHanging12a"/>
      </w:pPr>
      <w:r w:rsidRPr="005C4501">
        <w:t>А.</w:t>
      </w:r>
      <w:r w:rsidRPr="005C4501">
        <w:tab/>
        <w:t>като има предвид, че качественото образование и обучение, както и академичното сътрудничество са предпоставки за постигане на стратегическа автономност за Европейския съюз, за популяризиране на ценностите на ЕС</w:t>
      </w:r>
      <w:r w:rsidRPr="005C4501">
        <w:rPr>
          <w:rStyle w:val="FootnoteReference"/>
        </w:rPr>
        <w:footnoteReference w:id="10"/>
      </w:r>
      <w:r w:rsidRPr="005C4501">
        <w:t>, за борба с недостига на умения и за насърчаване на конкурентоспособността с водещите световни университети въз основа на развиването на човешкия капитал, издръжливостта и благосъстоянието;</w:t>
      </w:r>
    </w:p>
    <w:p w14:paraId="2030F0FD" w14:textId="77777777" w:rsidR="00C276CB" w:rsidRPr="005C4501" w:rsidRDefault="00C276CB" w:rsidP="00C276CB">
      <w:pPr>
        <w:pStyle w:val="NormalHanging12a"/>
      </w:pPr>
      <w:r w:rsidRPr="005C4501">
        <w:t>Б.</w:t>
      </w:r>
      <w:r w:rsidRPr="005C4501">
        <w:tab/>
        <w:t xml:space="preserve">като има предвид, че значението на академичните среди и университетите за конкурентоспособен, издръжлив и автономен Европейски съюз се изтъква в доклада на Марио Драги относно бъдещето на европейската конкурентоспособност, в доклада на Енрико Лета относно бъдещето на единния пазар и в доклада на Мануел </w:t>
      </w:r>
      <w:proofErr w:type="spellStart"/>
      <w:r w:rsidRPr="005C4501">
        <w:t>Ейтор</w:t>
      </w:r>
      <w:proofErr w:type="spellEnd"/>
      <w:r w:rsidRPr="005C4501">
        <w:t xml:space="preserve"> относно междинната оценка на „Хоризонт Европа“;</w:t>
      </w:r>
    </w:p>
    <w:p w14:paraId="1099DE79" w14:textId="77777777" w:rsidR="00C276CB" w:rsidRPr="005C4501" w:rsidRDefault="00C276CB" w:rsidP="00C276CB">
      <w:pPr>
        <w:pStyle w:val="NormalHanging12a"/>
      </w:pPr>
      <w:r w:rsidRPr="005C4501">
        <w:t>В.</w:t>
      </w:r>
      <w:r w:rsidRPr="005C4501">
        <w:tab/>
        <w:t>като има предвид, че разпокъсаността на висшето образование и научните изследвания в ЕС подкопава способността на Съюза да защитава своя суверенитет, да популяризира своите ценности и да има глобално влияние; като има предвид, че по-близката интеграция би могла да укрепи стратегическата позиция на ЕС;</w:t>
      </w:r>
    </w:p>
    <w:p w14:paraId="79F88326" w14:textId="77777777" w:rsidR="00C276CB" w:rsidRPr="005C4501" w:rsidRDefault="00C276CB" w:rsidP="00C276CB">
      <w:pPr>
        <w:pStyle w:val="NormalHanging12a"/>
      </w:pPr>
      <w:r w:rsidRPr="005C4501">
        <w:t>Г.</w:t>
      </w:r>
      <w:r w:rsidRPr="005C4501">
        <w:tab/>
        <w:t>като има предвид, че в Компаса за конкурентоспособността се подчертава значението на висококачественото образование, обучение и учене през целия живот за запълване на недостига на умения и работна сила;</w:t>
      </w:r>
    </w:p>
    <w:p w14:paraId="4DCC35AD" w14:textId="77777777" w:rsidR="00C276CB" w:rsidRPr="005C4501" w:rsidRDefault="00C276CB" w:rsidP="00C276CB">
      <w:pPr>
        <w:pStyle w:val="NormalHanging12a"/>
      </w:pPr>
      <w:r w:rsidRPr="005C4501">
        <w:t>Д.</w:t>
      </w:r>
      <w:r w:rsidRPr="005C4501">
        <w:tab/>
        <w:t>като има предвид, че „Еразъм+“ е водеща програма на ЕС за подкрепа на образованието, обучението, младежта и спорта в Европа и в международен план, като насърчава мобилността и академичното сътрудничество; като има предвид, че по-силното взаимодействие между „Еразъм+“ и други съществуващи програми на ЕС, например „Хоризонт Европа“, би било от полза за тези цели, като същевременно насърчава по-всеобхватен подход към висшето образование;</w:t>
      </w:r>
    </w:p>
    <w:p w14:paraId="2E3404D7" w14:textId="77777777" w:rsidR="00C276CB" w:rsidRPr="005C4501" w:rsidRDefault="00C276CB" w:rsidP="00C276CB">
      <w:pPr>
        <w:pStyle w:val="NormalHanging12a"/>
      </w:pPr>
      <w:r w:rsidRPr="005C4501">
        <w:t>Е.</w:t>
      </w:r>
      <w:r w:rsidRPr="005C4501">
        <w:tab/>
        <w:t xml:space="preserve">като има предвид, че целта на алиансите на европейските университети има много измерения, като се започне от създаването на съвместни учебни програми, продължи се с установяването на междууниверситетски </w:t>
      </w:r>
      <w:proofErr w:type="spellStart"/>
      <w:r w:rsidRPr="005C4501">
        <w:t>кампуси</w:t>
      </w:r>
      <w:proofErr w:type="spellEnd"/>
      <w:r w:rsidRPr="005C4501">
        <w:t xml:space="preserve"> със силно европейско измерение, което насърчава мобилността на студентите, учещите през целия живот, академичния и неакадемичния персонал, и се стигне до стимулирането на други, още по-преобразяващи промени в системите на висшето образование в държавите членки и участващите държави, за да се постигне едно истински конкурентоспособно европейско пространство за образование;</w:t>
      </w:r>
    </w:p>
    <w:p w14:paraId="1CAA8187" w14:textId="77777777" w:rsidR="00C276CB" w:rsidRPr="005C4501" w:rsidRDefault="00C276CB" w:rsidP="00C276CB">
      <w:pPr>
        <w:pStyle w:val="NormalHanging12a"/>
      </w:pPr>
      <w:r w:rsidRPr="005C4501">
        <w:lastRenderedPageBreak/>
        <w:t>Ж.</w:t>
      </w:r>
      <w:r w:rsidRPr="005C4501">
        <w:tab/>
        <w:t>като има предвид, че академичната свобода е основен принцип на мисиите и дейностите на университетите, както е заложено в член 13 от Хартата на основните права на ЕС и Препоръката на ЮНЕСКО от 11 ноември 1997 г. относно статута на преподавателите в областта на висшето образование; като има предвид, че тази свобода е от решаващо значение за благосъстоянието на демократичните общества и че поради това трябва да бъде допълнително защитавана и насърчавана;</w:t>
      </w:r>
    </w:p>
    <w:p w14:paraId="5437CE37" w14:textId="77777777" w:rsidR="00C276CB" w:rsidRPr="005C4501" w:rsidRDefault="00C276CB" w:rsidP="00C276CB">
      <w:pPr>
        <w:pStyle w:val="NormalHanging12a"/>
      </w:pPr>
      <w:r w:rsidRPr="005C4501">
        <w:t>З.</w:t>
      </w:r>
      <w:r w:rsidRPr="005C4501">
        <w:tab/>
        <w:t>като има предвид, че алиансите на европейски университети, като осигуряват безпрепятствена мобилност за студенти, изследователи и академичен и неакадемичен персонал в рамките на ЕС и извън него, играят роля за засилване на научните изследвания, иновациите и образованието в рамките на единния пазар и поради това са от основно значение за осъществяването на „петата свобода“, описана в доклада на Лета;</w:t>
      </w:r>
    </w:p>
    <w:p w14:paraId="7BEEFA54" w14:textId="77777777" w:rsidR="00C276CB" w:rsidRPr="005C4501" w:rsidRDefault="00C276CB" w:rsidP="00C276CB">
      <w:pPr>
        <w:pStyle w:val="NormalHanging12a"/>
      </w:pPr>
      <w:r w:rsidRPr="005C4501">
        <w:t>И.</w:t>
      </w:r>
      <w:r w:rsidRPr="005C4501">
        <w:tab/>
        <w:t>като има предвид, че висшите учебни заведения в Европа са изправени пред предизвикателства във връзка с транснационалното сътрудничество, особено по отношение на финансирането, значителните различия в националните и регионалните законодателства, правния статут и структурите на управление, както и по отношение на договорните пречки през споделянето на знания;</w:t>
      </w:r>
    </w:p>
    <w:p w14:paraId="1A066D5E" w14:textId="77777777" w:rsidR="00C276CB" w:rsidRPr="005C4501" w:rsidRDefault="00C276CB" w:rsidP="00C276CB">
      <w:pPr>
        <w:pStyle w:val="NormalHanging12a"/>
      </w:pPr>
      <w:r w:rsidRPr="005C4501">
        <w:t>Й.</w:t>
      </w:r>
      <w:r w:rsidRPr="005C4501">
        <w:tab/>
        <w:t>като има предвид, че инициативата „Европейски университети“ пожъна успех, като значително надхвърли очакванията по отношение на участието и ангажираността; като има предвид, че целта за създаване на 20 алианса, посочена в заключенията на Съвета от 2017 г., е надхвърлена, тъй като вече са създадени 65 алианса, обхващащи над 570 университета с повече от 2200 външни партньори, без допълнителни бюджетни средства и без гаранция за продължаването на финансираните проекти;</w:t>
      </w:r>
    </w:p>
    <w:p w14:paraId="039E6494" w14:textId="77777777" w:rsidR="00C276CB" w:rsidRPr="005C4501" w:rsidRDefault="00C276CB" w:rsidP="00C276CB">
      <w:pPr>
        <w:pStyle w:val="NormalHanging12a"/>
      </w:pPr>
      <w:r w:rsidRPr="005C4501">
        <w:t>К.</w:t>
      </w:r>
      <w:r w:rsidRPr="005C4501">
        <w:tab/>
        <w:t>като има предвид, че съществуващите в момента алианси бяха избрани чрез пет открити състезателни процедури, насочени към качество, високи постижения, академични заслуги, приобщаване и справедливо географско покритие;</w:t>
      </w:r>
    </w:p>
    <w:p w14:paraId="6E85226F" w14:textId="77777777" w:rsidR="00C276CB" w:rsidRPr="005C4501" w:rsidRDefault="00C276CB" w:rsidP="00C276CB">
      <w:pPr>
        <w:pStyle w:val="NormalHanging12a"/>
      </w:pPr>
      <w:r w:rsidRPr="005C4501">
        <w:t>Л.</w:t>
      </w:r>
      <w:r w:rsidRPr="005C4501">
        <w:tab/>
        <w:t>като има предвид, че инициативата „Европейски университети“ е ключов инструмент за изграждане на интегрирано, конкурентоспособно и приобщаващо европейско пространство за образование, способно да отговори на световните предизвикателства, както и за укрепване на европейската идентичност, култура и ценности;</w:t>
      </w:r>
    </w:p>
    <w:p w14:paraId="0486DDA9" w14:textId="77777777" w:rsidR="00C276CB" w:rsidRPr="005C4501" w:rsidRDefault="00C276CB" w:rsidP="00C276CB">
      <w:pPr>
        <w:pStyle w:val="NormalHanging12a"/>
      </w:pPr>
      <w:r w:rsidRPr="005C4501">
        <w:t>М.</w:t>
      </w:r>
      <w:r w:rsidRPr="005C4501">
        <w:tab/>
        <w:t>като има предвид, че алиансите доказаха своя преобразяващ потенциал за модернизиране на системите за висше образование на държавите членки, изпълнявайки водеща роля в образованието на ново поколение мобилни европейски студенти, и допринесоха за авангардни научни изследвания; като има предвид, че университетите от няколко алианса са ключови поддръжници на законодателните промени в собствените си държави и двигатели на тези промени;</w:t>
      </w:r>
    </w:p>
    <w:p w14:paraId="44F24E12" w14:textId="77777777" w:rsidR="00C276CB" w:rsidRPr="005C4501" w:rsidRDefault="00C276CB" w:rsidP="00C276CB">
      <w:pPr>
        <w:pStyle w:val="NormalHanging12a"/>
      </w:pPr>
      <w:r w:rsidRPr="005C4501">
        <w:t>Н.</w:t>
      </w:r>
      <w:r w:rsidRPr="005C4501">
        <w:tab/>
        <w:t>като има предвид, че 23 държави членки понастоящем съфинансират алианси със своите национални бюджети;</w:t>
      </w:r>
    </w:p>
    <w:p w14:paraId="1EA9F2CA" w14:textId="77777777" w:rsidR="00C276CB" w:rsidRPr="001C4750" w:rsidRDefault="00C276CB" w:rsidP="00C276CB">
      <w:pPr>
        <w:pStyle w:val="Normal12a24b"/>
        <w:rPr>
          <w:i/>
          <w:iCs/>
        </w:rPr>
      </w:pPr>
      <w:r w:rsidRPr="001C4750">
        <w:rPr>
          <w:rStyle w:val="Bold"/>
          <w:i/>
          <w:iCs/>
        </w:rPr>
        <w:t>Актуално състояние, предизвикателства и пречки</w:t>
      </w:r>
    </w:p>
    <w:p w14:paraId="78D3F896" w14:textId="77777777" w:rsidR="00C276CB" w:rsidRPr="005C4501" w:rsidRDefault="00C276CB" w:rsidP="00C276CB">
      <w:pPr>
        <w:pStyle w:val="NormalHanging12a"/>
      </w:pPr>
      <w:r w:rsidRPr="005C4501">
        <w:lastRenderedPageBreak/>
        <w:t>1.</w:t>
      </w:r>
      <w:r w:rsidRPr="005C4501">
        <w:tab/>
        <w:t>отбелязва, че инициативата „Европейски университети“ беше посрещната радушно от висшите учебни заведения, които се ангажираха с нея, и изтъква ролята на инициативата за улесняване на усилията да се премахнат пречките пред регионалното, трансграничното и международното сътрудничество в областта на висшето образование, например разпокъсаното финансиране, различията в системите за акредитация и правните пречки;</w:t>
      </w:r>
    </w:p>
    <w:p w14:paraId="76F47E16" w14:textId="77777777" w:rsidR="00C276CB" w:rsidRPr="005C4501" w:rsidRDefault="00C276CB" w:rsidP="00C276CB">
      <w:pPr>
        <w:pStyle w:val="NormalHanging12a"/>
      </w:pPr>
      <w:r w:rsidRPr="005C4501">
        <w:t>2.</w:t>
      </w:r>
      <w:r w:rsidRPr="005C4501">
        <w:tab/>
        <w:t>подчертава факта, че проектите за мобилност, създаването на общи учебни програми и сътрудничеството между университетите в Европа са важно средство да се посрещат нуждите в стратегическите области, да се укрепва чувството за принадлежност към Европа и да се спазват ценностите на ЕС, като същевременно се запазва многообразието и богатството на Европейския съюз;</w:t>
      </w:r>
    </w:p>
    <w:p w14:paraId="1C960BE7" w14:textId="77777777" w:rsidR="00C276CB" w:rsidRPr="005C4501" w:rsidRDefault="00C276CB" w:rsidP="00C276CB">
      <w:pPr>
        <w:pStyle w:val="NormalHanging12a"/>
      </w:pPr>
      <w:r w:rsidRPr="005C4501">
        <w:t>3.</w:t>
      </w:r>
      <w:r w:rsidRPr="005C4501">
        <w:tab/>
        <w:t>отбелязва, че алиансите са мощен инструмент за прилагането на процеса от Болоня и за постигането на напредък в този процес; подчертава, че алиансите влияят върху процесите на трансформация във висшето образование чрез въвеждане и насърчаване на иновативни подходи, както и на нови методи за сътрудничество и създаване на възможности и достъпност за студентите;</w:t>
      </w:r>
    </w:p>
    <w:p w14:paraId="435364C6" w14:textId="77777777" w:rsidR="00C276CB" w:rsidRPr="005C4501" w:rsidRDefault="00C276CB" w:rsidP="00C276CB">
      <w:pPr>
        <w:pStyle w:val="NormalHanging12a"/>
      </w:pPr>
      <w:r w:rsidRPr="005C4501">
        <w:t>4.</w:t>
      </w:r>
      <w:r w:rsidRPr="005C4501">
        <w:tab/>
        <w:t>подчертава разнообразието на алиансите по отношение на управлението, обхванатите теми и въпроси, както и размера и местоположението на участващите университети; отбелязва успешното участие на много университети от средноголеми градове, селски райони и най-отдалечени региони, което прави алиансите достъпна и приобщаваща инициатива; подчертава факта, че универсалният подход не е подходящ за алиансите; отбелязва, че географското представителство на университетите в рамките на алиансите в цяла Европа е от ключово значение за справяне с изтичането на мозъци и за привличане на международни таланти, като същевременно дава неоценим принос за европейското единство и интеграция;</w:t>
      </w:r>
    </w:p>
    <w:p w14:paraId="714DE12F" w14:textId="77777777" w:rsidR="00C276CB" w:rsidRPr="005C4501" w:rsidRDefault="00C276CB" w:rsidP="00C276CB">
      <w:pPr>
        <w:pStyle w:val="NormalHanging12a"/>
      </w:pPr>
      <w:r w:rsidRPr="005C4501">
        <w:t>5.</w:t>
      </w:r>
      <w:r w:rsidRPr="005C4501">
        <w:tab/>
        <w:t>приветства включването на студенти в управленските структури на алиансите, което дава възможност на младите хора да оказват същностно и реално въздействие върху тяхното развитие, тъй като участието на младите хора в демократичните процеси на вземане на решения спомага алиансите да бъдат ориентирани в по-голяма степен към бъдещето и решава практическите предизвикателства, пред които студентите са изправени; подчертава, че е важно участието на студентите да се съгласува със студентските организации, за да се осигурят прозрачност, справедливост и приобщаване по отношение на участието на заинтересованите страни;</w:t>
      </w:r>
    </w:p>
    <w:p w14:paraId="53C4BF6F" w14:textId="77777777" w:rsidR="00C276CB" w:rsidRPr="005C4501" w:rsidRDefault="00C276CB" w:rsidP="00C276CB">
      <w:pPr>
        <w:pStyle w:val="NormalHanging12a"/>
      </w:pPr>
      <w:r w:rsidRPr="005C4501">
        <w:t>6.</w:t>
      </w:r>
      <w:r w:rsidRPr="005C4501">
        <w:tab/>
        <w:t>подчертава факта, че алиансите имат потенциала и експертния опит да помагат на университетите да се справят със социално-икономическите предизвикателства; подчертава колко е важно да се включи общественото въздействие като хоризонтален елемент в дейностите на алиансите; призовава за ясни стратегии за осигуряване и наблюдение на достъпността и приобщаването на хората с по-малко възможности</w:t>
      </w:r>
      <w:r w:rsidRPr="005C4501">
        <w:rPr>
          <w:rStyle w:val="FootnoteReference"/>
        </w:rPr>
        <w:footnoteReference w:id="11"/>
      </w:r>
      <w:r w:rsidRPr="005C4501">
        <w:t xml:space="preserve"> във всички дейности на алиансите, по-специално чрез </w:t>
      </w:r>
      <w:r w:rsidRPr="005C4501">
        <w:lastRenderedPageBreak/>
        <w:t>премахване на пречките пред мобилността и предотвратяване на всички форми на дискриминация, в съответствие с Хартата за висше образование „Еразъм“;</w:t>
      </w:r>
    </w:p>
    <w:p w14:paraId="3DF0ECCD" w14:textId="77777777" w:rsidR="00C276CB" w:rsidRPr="005C4501" w:rsidRDefault="00C276CB" w:rsidP="00C276CB">
      <w:pPr>
        <w:pStyle w:val="NormalHanging12a"/>
      </w:pPr>
      <w:r w:rsidRPr="005C4501">
        <w:t>7.</w:t>
      </w:r>
      <w:r w:rsidRPr="005C4501">
        <w:tab/>
        <w:t>приветства пилотните проекти, насочени към създаването на европейска диплома за висше образование и/или правен статут; подчертава обаче, че алиансите не следва да бъдат единствен инструмент за иновации във висшето образование; отбелязва, че алиансите следва да имат свободата да се специализират и да бъдат гъвкави в своите начинания;</w:t>
      </w:r>
    </w:p>
    <w:p w14:paraId="5EB94864" w14:textId="77777777" w:rsidR="00C276CB" w:rsidRPr="005C4501" w:rsidRDefault="00C276CB" w:rsidP="00C276CB">
      <w:pPr>
        <w:pStyle w:val="NormalHanging12a"/>
      </w:pPr>
      <w:r w:rsidRPr="005C4501">
        <w:t>8.</w:t>
      </w:r>
      <w:r w:rsidRPr="005C4501">
        <w:tab/>
        <w:t>посреща със задоволство окончателните резултати от шестте експериментални проекта в областта на политиката по „Еразъм+“, проведени от 21 алианса, относно европейската диплома и знака за европейска диплома</w:t>
      </w:r>
      <w:r w:rsidRPr="005C4501">
        <w:rPr>
          <w:rStyle w:val="FootnoteReference"/>
        </w:rPr>
        <w:footnoteReference w:id="12"/>
      </w:r>
      <w:r w:rsidRPr="005C4501">
        <w:t>; признава, че една обща рамка за европейските дипломи, основана на европейски критерии, би имала ясна добавена стойност като стъпка към признаването на степени и дипломи на равнището на ЕС; отчита, че подобно признаване на равнището на ЕС би увеличило мобилността и качеството на образованието, би укрепило рамката за сътрудничество и би насърчило по-широкото участие в транснационални академични програми, както и би засилило глобалната видимост и конкурентоспособност на европейското висше образование;</w:t>
      </w:r>
    </w:p>
    <w:p w14:paraId="051B0EF4" w14:textId="77777777" w:rsidR="00C276CB" w:rsidRPr="005C4501" w:rsidRDefault="00C276CB" w:rsidP="00C276CB">
      <w:pPr>
        <w:pStyle w:val="NormalHanging12a"/>
      </w:pPr>
      <w:r w:rsidRPr="005C4501">
        <w:t>9.</w:t>
      </w:r>
      <w:r w:rsidRPr="005C4501">
        <w:tab/>
        <w:t>отбелязва, че знакът за европейска диплома следва да бъде достъпен за всички други съвместни университетски програми и да допълва националните квалификационни рамки, които следва да бъдат адаптирани, когато е необходимо, без да се създава допълнителна административна тежест;</w:t>
      </w:r>
    </w:p>
    <w:p w14:paraId="7A196C52" w14:textId="77777777" w:rsidR="00C276CB" w:rsidRPr="005C4501" w:rsidRDefault="00C276CB" w:rsidP="00C276CB">
      <w:pPr>
        <w:pStyle w:val="NormalHanging12a"/>
      </w:pPr>
      <w:r w:rsidRPr="005C4501">
        <w:t>10.</w:t>
      </w:r>
      <w:r w:rsidRPr="005C4501">
        <w:tab/>
        <w:t>изразява твърдо убеждение в потенциала на алиансите да укрепват европейското пространство за висше образование, проправяйки пътя за единно пространство на акредитация на равнището на ЕС; счита, че това е необходима стъпка за нашата европейска автономност, тъй като много европейски висши учебни заведения, например тези, които издават степените MBA, все още разчитат на американски агенции за акредитация;</w:t>
      </w:r>
    </w:p>
    <w:p w14:paraId="3C5D8325" w14:textId="77777777" w:rsidR="00C276CB" w:rsidRPr="005C4501" w:rsidRDefault="00C276CB" w:rsidP="00C276CB">
      <w:pPr>
        <w:pStyle w:val="NormalHanging12a"/>
      </w:pPr>
      <w:r w:rsidRPr="005C4501">
        <w:t>11.</w:t>
      </w:r>
      <w:r w:rsidRPr="005C4501">
        <w:tab/>
        <w:t>приветства значителното увеличение на броя на проектите за мобилност, в които участват студенти, лица, учещи през целия живот, и научни работници, а също и академичен и неакадемичен персонал от участващи в алианси университети, в сравнение с други проекти за мобилност по програмата „Еразъм+“;</w:t>
      </w:r>
    </w:p>
    <w:p w14:paraId="6A7CF7EF" w14:textId="77777777" w:rsidR="00C276CB" w:rsidRPr="005C4501" w:rsidRDefault="00C276CB" w:rsidP="00C276CB">
      <w:pPr>
        <w:pStyle w:val="NormalHanging12a"/>
      </w:pPr>
      <w:r w:rsidRPr="005C4501">
        <w:t>12.</w:t>
      </w:r>
      <w:r w:rsidRPr="005C4501">
        <w:tab/>
        <w:t>отбелязва обаче, че първоначалната цел за постигане на безпрепятствена мобилност за 50 % от студентите в участващите алианси все още не е постигната и ще продължи да бъде трудно постижима, ако не се осигурят подходящи механизми за финансиране; във връзка с това изразява загриженост относно потенциалната конкуренция между схемите за мобилност на алиансите и общата мобилност на университетите по програма „Еразъм+“ , които имат същите ограничени условия за финансиране, тъй като целите за мобилност за алиансите са по-високи от тези за общата мобилност по „Еразъм+“; поради това призовава Комисията да направи оценка на тези изисквания;</w:t>
      </w:r>
    </w:p>
    <w:p w14:paraId="57406F54" w14:textId="77777777" w:rsidR="00C276CB" w:rsidRPr="005C4501" w:rsidRDefault="00C276CB" w:rsidP="00C276CB">
      <w:pPr>
        <w:pStyle w:val="NormalHanging12a"/>
      </w:pPr>
      <w:r w:rsidRPr="005C4501">
        <w:lastRenderedPageBreak/>
        <w:t>13.</w:t>
      </w:r>
      <w:r w:rsidRPr="005C4501">
        <w:tab/>
        <w:t>изразява дълбока загриженост относно настоящите заплахи за академичната свобода в някои части на света, включително в някои държави членки и в държави извън ЕС, участващи в програмата „Еразъм+“;</w:t>
      </w:r>
    </w:p>
    <w:p w14:paraId="5DFBCBBF" w14:textId="77777777" w:rsidR="00C276CB" w:rsidRPr="005C4501" w:rsidRDefault="00C276CB" w:rsidP="00C276CB">
      <w:pPr>
        <w:pStyle w:val="NormalHanging12a"/>
      </w:pPr>
      <w:r w:rsidRPr="005C4501">
        <w:t>14.</w:t>
      </w:r>
      <w:r w:rsidRPr="005C4501">
        <w:tab/>
        <w:t>подчертава, че алиансите трябва да отстояват ценностите на ЕС, демократичната устойчивост и институционалната автономност, както и да насърчават активната гражданска позиция; подчертава тяхната роля като многостранни и мултикултурни учебни пространства;</w:t>
      </w:r>
    </w:p>
    <w:p w14:paraId="1FC43D40" w14:textId="77777777" w:rsidR="00C276CB" w:rsidRPr="005C4501" w:rsidRDefault="00C276CB" w:rsidP="00C276CB">
      <w:pPr>
        <w:pStyle w:val="NormalHanging12a"/>
      </w:pPr>
      <w:r w:rsidRPr="005C4501">
        <w:t>15.</w:t>
      </w:r>
      <w:r w:rsidRPr="005C4501">
        <w:tab/>
        <w:t>приветства основаните на ценности инициативи, например сътрудничеството в солидарност с Украйна, глобалния обхват на алиансите и ролята на алиансите в подготовката за присъединяване на страните кандидатки от източното съседство и Западните Балкани;</w:t>
      </w:r>
    </w:p>
    <w:p w14:paraId="466E7214" w14:textId="77777777" w:rsidR="00C276CB" w:rsidRPr="005C4501" w:rsidRDefault="00C276CB" w:rsidP="00C276CB">
      <w:pPr>
        <w:pStyle w:val="NormalHanging12a"/>
      </w:pPr>
      <w:r w:rsidRPr="005C4501">
        <w:t>16.</w:t>
      </w:r>
      <w:r w:rsidRPr="005C4501">
        <w:tab/>
        <w:t>приветства инициативата „Съюз на уменията“, особено предстоящото предложение за бъдещи пътеки за инвестиции и за ясен правен статут на алиансите, тъй като това ще улесни университетите да създават и ръководят европейски проекти, да обединяват ресурси, да укрепват автономията си, да намаляват административната тежест, да привличат финансиране и да разширяват своята управленска структура, особено в случая на университети от държави извън ЕС, а също и ще улесни институционализирането на трансграничното сътрудничество;</w:t>
      </w:r>
    </w:p>
    <w:p w14:paraId="161B3B17" w14:textId="77777777" w:rsidR="00C276CB" w:rsidRPr="005C4501" w:rsidRDefault="00C276CB" w:rsidP="00C276CB">
      <w:pPr>
        <w:pStyle w:val="NormalHanging12a"/>
      </w:pPr>
      <w:r w:rsidRPr="005C4501">
        <w:t>17.</w:t>
      </w:r>
      <w:r w:rsidRPr="005C4501">
        <w:tab/>
        <w:t>подчертава ключовата роля на университетите, включително алиансите, за защитата и насърчаването на основаната на доказателства наука, за изграждането на доверие в демократичния дискурс, за укрепване на сътрудничеството въз основа на ценностите на ЕС и за повишаването на своята привлекателност и тази на европейския сектор на висшето образование за студенти, академични кадри и научни изследователи от държави извън ЕС;</w:t>
      </w:r>
    </w:p>
    <w:p w14:paraId="2DB6A252" w14:textId="77777777" w:rsidR="00C276CB" w:rsidRPr="005C4501" w:rsidRDefault="00C276CB" w:rsidP="00C276CB">
      <w:pPr>
        <w:pStyle w:val="NormalHanging12a"/>
      </w:pPr>
      <w:r w:rsidRPr="005C4501">
        <w:t>18.</w:t>
      </w:r>
      <w:r w:rsidRPr="005C4501">
        <w:tab/>
        <w:t>приветства създаването на FOREU4ALL — ориентирана към практиката общност за алиансите на европейски университети; подчертава ключовата ѝ роля за разпространението на иновации от алиансите към по-широката академична общност, тъй като университетите и висшите учебни заведения, които не са част от алианси, не следва да бъдат изоставяни; припомня, че политиките и инициативите следва да бъдат от полза за цялата система за висше образование;</w:t>
      </w:r>
    </w:p>
    <w:p w14:paraId="527DE9C5" w14:textId="77777777" w:rsidR="00C276CB" w:rsidRPr="005C4501" w:rsidRDefault="00C276CB" w:rsidP="00C276CB">
      <w:pPr>
        <w:pStyle w:val="NormalHanging12a"/>
      </w:pPr>
      <w:r w:rsidRPr="005C4501">
        <w:t>19.</w:t>
      </w:r>
      <w:r w:rsidRPr="005C4501">
        <w:tab/>
        <w:t>признава важната роля на други мрежи в сектора на висшето образование, които обединяват по-широк спектър от европейски университети, независимо от участието им в алианс; подчертава, че по своето естество тези мрежи допълват алиансите и имат потенциала да подготвят почвата за законодателни промени на национално равнище;</w:t>
      </w:r>
    </w:p>
    <w:p w14:paraId="437E1D6E" w14:textId="77777777" w:rsidR="00C276CB" w:rsidRPr="005C4501" w:rsidRDefault="00C276CB" w:rsidP="00C276CB">
      <w:pPr>
        <w:pStyle w:val="NormalHanging12a"/>
      </w:pPr>
      <w:r w:rsidRPr="005C4501">
        <w:t>20.</w:t>
      </w:r>
      <w:r w:rsidRPr="005C4501">
        <w:tab/>
        <w:t>подчертава, че мисията на университетите включва всичките четири аспекта на квадрата на знанието: образованието, научните изследвания, иновациите и дейностите в полза на обществото; подчертава, че алиансите трябва да бъдат приведени в тясно съответствие с пазара на труда, за да се преодолеят недостигът на умения и предизвикателствата пред конкурентоспособността в Европа;</w:t>
      </w:r>
    </w:p>
    <w:p w14:paraId="583BF042" w14:textId="77777777" w:rsidR="00C276CB" w:rsidRPr="005C4501" w:rsidRDefault="00C276CB" w:rsidP="00C276CB">
      <w:pPr>
        <w:pStyle w:val="NormalHanging12a"/>
      </w:pPr>
      <w:r w:rsidRPr="005C4501">
        <w:t>21.</w:t>
      </w:r>
      <w:r w:rsidRPr="005C4501">
        <w:tab/>
        <w:t xml:space="preserve">изразява особена загриженост относно липсата на стълбове за научни изследвания и иновации в рамките на алиансите при настоящата рамка, тъй като това </w:t>
      </w:r>
      <w:r w:rsidRPr="005C4501">
        <w:lastRenderedPageBreak/>
        <w:t>подкопава пълния потенциал за сътрудничество между университетите вътре в алиансите;</w:t>
      </w:r>
    </w:p>
    <w:p w14:paraId="0E7CF204" w14:textId="77777777" w:rsidR="00C276CB" w:rsidRPr="001C4750" w:rsidRDefault="00C276CB" w:rsidP="00C276CB">
      <w:pPr>
        <w:pStyle w:val="Normal12a24b"/>
        <w:rPr>
          <w:i/>
          <w:iCs/>
        </w:rPr>
      </w:pPr>
      <w:r w:rsidRPr="001C4750">
        <w:rPr>
          <w:rStyle w:val="Bold"/>
          <w:i/>
          <w:iCs/>
        </w:rPr>
        <w:t>Препоръки</w:t>
      </w:r>
    </w:p>
    <w:p w14:paraId="6A5D355A" w14:textId="77777777" w:rsidR="00C276CB" w:rsidRPr="005C4501" w:rsidRDefault="00C276CB" w:rsidP="00C276CB">
      <w:pPr>
        <w:pStyle w:val="NormalHanging12a"/>
      </w:pPr>
      <w:r w:rsidRPr="005C4501">
        <w:t>22.</w:t>
      </w:r>
      <w:r w:rsidRPr="005C4501">
        <w:tab/>
        <w:t>насърчава алиансите да задълбочат връзките между образованието и научните изследвания; подчертава значителната способност на алиансите да изграждат трансгранични мрежи за високи постижения за изследователите и да споделят и разпространяват знания на равнището на ЕС и извън него, особено по предметите от областта на НТИМ (науките, технологиите, инженерството и математиката), включително в стратегически за ЕС области;</w:t>
      </w:r>
    </w:p>
    <w:p w14:paraId="14D4BCDA" w14:textId="77777777" w:rsidR="00C276CB" w:rsidRPr="005C4501" w:rsidRDefault="00C276CB" w:rsidP="00C276CB">
      <w:pPr>
        <w:pStyle w:val="NormalHanging12a"/>
      </w:pPr>
      <w:r w:rsidRPr="005C4501">
        <w:t>23.</w:t>
      </w:r>
      <w:r w:rsidRPr="005C4501">
        <w:tab/>
        <w:t>подчертава, че стратегическата визия за университетските алианси трябва да бъде отразена в следващата многогодишна финансова рамка, за да се увеличат във възможно най-голяма степен техните потенциал и въздействие; изисква от Комисията да направи оценка на всеки алианс, за да предостави подкрепа и съобразени с конкретните нужди решения по отношение на бъдещото им развитие;</w:t>
      </w:r>
    </w:p>
    <w:p w14:paraId="405DB40A" w14:textId="77777777" w:rsidR="00C276CB" w:rsidRPr="005C4501" w:rsidRDefault="00C276CB" w:rsidP="00C276CB">
      <w:pPr>
        <w:pStyle w:val="NormalHanging12a"/>
      </w:pPr>
      <w:r w:rsidRPr="005C4501">
        <w:t>24.</w:t>
      </w:r>
      <w:r w:rsidRPr="005C4501">
        <w:tab/>
        <w:t>насърчава Комисията, държавите членки и алиансите да преминат от „логика, основана на проекти“ към дългосрочно, преобразуващо сътрудничество, като въведат подход на финансиране, който позволява този преход; подчертава, че е важно алиансите да могат да се разрастват; подчертава необходимостта от определяне на качествени, а не количествени цели, като се наблегне на трансформиращото въздействие за европейското пространство за образование;</w:t>
      </w:r>
    </w:p>
    <w:p w14:paraId="65D0A9FD" w14:textId="77777777" w:rsidR="00C276CB" w:rsidRPr="005C4501" w:rsidRDefault="00C276CB" w:rsidP="00C276CB">
      <w:pPr>
        <w:pStyle w:val="NormalHanging12a"/>
      </w:pPr>
      <w:r w:rsidRPr="005C4501">
        <w:t>25.</w:t>
      </w:r>
      <w:r w:rsidRPr="005C4501">
        <w:tab/>
        <w:t>подчертава необходимостта от координирано, устойчиво и предвидимо финансиране за настоящите алианси; изисква от Комисията да обмисли възможността бъдещите покани да бъдат само за удължаване на успешните алианси, което ще им даде възможност да задълбочат интеграцията и да надграждат върху своите постижения; изисква от Комисията да поддържа процесите на кандидатстване и отчитане възможно най-опростени; насърчава създаването на ускорен процес на подновяване за успешните алианси, за да се осигури непрекъснато финансиране без прекомерна административна тежест;</w:t>
      </w:r>
    </w:p>
    <w:p w14:paraId="11163E42" w14:textId="77777777" w:rsidR="00C276CB" w:rsidRPr="005C4501" w:rsidRDefault="00C276CB" w:rsidP="00C276CB">
      <w:pPr>
        <w:pStyle w:val="NormalHanging12a"/>
      </w:pPr>
      <w:r w:rsidRPr="005C4501">
        <w:t>26.</w:t>
      </w:r>
      <w:r w:rsidRPr="005C4501">
        <w:tab/>
        <w:t>признава, че е уместно инициативата „Европейски университети“ да продължи да бъде част от програмата „Еразъм+“, като се взема предвид настоящата рамка; същевременно приканва Комисията да проучи възможността за създаване на индивидуално решение за финансиране на алиансите на европейските университети в многогодишната финансова рамка за периода след 2027 г., с възможност за създаване на отделна програма, за да се даде възможност на алиансите да планират стратегически, да участват в дългосрочни инициативи и да установят трайно сътрудничество;</w:t>
      </w:r>
    </w:p>
    <w:p w14:paraId="1D5F1A4F" w14:textId="33B878B8" w:rsidR="00C276CB" w:rsidRPr="005C4501" w:rsidRDefault="00C276CB" w:rsidP="00C276CB">
      <w:pPr>
        <w:pStyle w:val="NormalHanging12a"/>
      </w:pPr>
      <w:r w:rsidRPr="005C4501">
        <w:t>27.</w:t>
      </w:r>
      <w:r w:rsidRPr="005C4501">
        <w:tab/>
        <w:t xml:space="preserve">призовава държавите членки да се ангажират със съфинансиране на алианси чрез националните бюджети и изисква от Комисията да представи всеобхватна инвестиционна стратегия за алиансите, която да им позволи да изпълняват своята четворна мисия; отбелязва, че тази стратегия следва да включва полезни взаимодействия с програми на ЕС като „Хоризонт Европа“, </w:t>
      </w:r>
      <w:r w:rsidR="00504A27" w:rsidRPr="00504A27">
        <w:t>Европейския фонд за конкурентоспособност</w:t>
      </w:r>
      <w:r w:rsidRPr="005C4501">
        <w:t xml:space="preserve">, Европейския социален фонд плюс и Европейския фонд за регионално развитие, за да се оптимизират ресурсите, да се избегне дублирането и </w:t>
      </w:r>
      <w:r w:rsidRPr="005C4501">
        <w:lastRenderedPageBreak/>
        <w:t>да се засили взаимодействието и сътрудничеството, както и за да се запази конкурентното им естество;</w:t>
      </w:r>
    </w:p>
    <w:p w14:paraId="6481023E" w14:textId="77777777" w:rsidR="00C276CB" w:rsidRPr="005C4501" w:rsidRDefault="00C276CB" w:rsidP="00C276CB">
      <w:pPr>
        <w:pStyle w:val="NormalHanging12a"/>
      </w:pPr>
      <w:r w:rsidRPr="005C4501">
        <w:t>28.</w:t>
      </w:r>
      <w:r w:rsidRPr="005C4501">
        <w:tab/>
        <w:t>подчертава, че за да се постигне истински и устойчив успех, включващ качество, високи постижения и приобщаване, подкрепата за алиансите не може да идва единствено от бюджета на ЕС, а следва да идва и от координирани вноски от национални, регионални, местни и частни източници, при условие че те могат да гарантират автономността на висшите учебни заведения и да запазят академичната свобода;</w:t>
      </w:r>
    </w:p>
    <w:p w14:paraId="443FF18B" w14:textId="77777777" w:rsidR="00C276CB" w:rsidRPr="005C4501" w:rsidRDefault="00C276CB" w:rsidP="00C276CB">
      <w:pPr>
        <w:pStyle w:val="NormalHanging12a"/>
      </w:pPr>
      <w:r w:rsidRPr="005C4501">
        <w:t>29.</w:t>
      </w:r>
      <w:r w:rsidRPr="005C4501">
        <w:tab/>
        <w:t>подчертава, че по-тясната интеграция на алиансите с частния сектор може да бъде от взаимна полза; насърчава партньорствата и структурираното сътрудничество между университетите и предприятията с цел да се създадат интегрирани системи, които насърчават иновациите и техническото и професионалното обучение на високо равнище и улесняват прехода на студентите към пазара на труда, както и преквалификацията и повишаването на квалификацията на хората извън висшето образование;</w:t>
      </w:r>
    </w:p>
    <w:p w14:paraId="64224659" w14:textId="77777777" w:rsidR="00C276CB" w:rsidRPr="005C4501" w:rsidRDefault="00C276CB" w:rsidP="00C276CB">
      <w:pPr>
        <w:pStyle w:val="NormalHanging12a"/>
      </w:pPr>
      <w:r w:rsidRPr="005C4501">
        <w:t>30.</w:t>
      </w:r>
      <w:r w:rsidRPr="005C4501">
        <w:tab/>
        <w:t xml:space="preserve">подчертава необходимостта от засилване на интернационализацията на алиансите в съответствие, наред с другото, със стратегията за </w:t>
      </w:r>
      <w:proofErr w:type="spellStart"/>
      <w:r w:rsidRPr="005C4501">
        <w:t>Global</w:t>
      </w:r>
      <w:proofErr w:type="spellEnd"/>
      <w:r w:rsidRPr="005C4501">
        <w:t xml:space="preserve"> </w:t>
      </w:r>
      <w:proofErr w:type="spellStart"/>
      <w:r w:rsidRPr="005C4501">
        <w:t>Gateway</w:t>
      </w:r>
      <w:proofErr w:type="spellEnd"/>
      <w:r w:rsidRPr="005C4501">
        <w:t xml:space="preserve"> и партньорствата в подкрепа на талантите; отбелязва, че алиансите са на подходящото равнище за установяване на партньорства с държави извън ЕС и могат да засилят международното измерение на „Еразъм+“, например чрез „Еразмус </w:t>
      </w:r>
      <w:proofErr w:type="spellStart"/>
      <w:r w:rsidRPr="005C4501">
        <w:t>Мундус</w:t>
      </w:r>
      <w:proofErr w:type="spellEnd"/>
      <w:r w:rsidRPr="005C4501">
        <w:t>“; изисква от Комисията и алиансите да гарантират, че всички участващи партньори спазват ценностите на ЕС и принципа на академична свобода и се придържат към Хартата за висше образование „Еразъм”;</w:t>
      </w:r>
    </w:p>
    <w:p w14:paraId="11F1B0E8" w14:textId="77777777" w:rsidR="00C276CB" w:rsidRPr="005C4501" w:rsidRDefault="00C276CB" w:rsidP="00C276CB">
      <w:pPr>
        <w:pStyle w:val="NormalHanging12a"/>
      </w:pPr>
      <w:r w:rsidRPr="005C4501">
        <w:t>31.</w:t>
      </w:r>
      <w:r w:rsidRPr="005C4501">
        <w:tab/>
        <w:t>отбелязва, че алиансите изпробват иновативни начини за преподаване и придобиване на знания, като европейски учебни пътеки, микроквалификации, смесена мобилност с учебна цел и автоматично признаване на квалификациите; подчертава необходимостта да се инвестира в сигурна цифрова инфраструктура и да се укрепят съществуващите инициативи, например европейската студентска карта;</w:t>
      </w:r>
    </w:p>
    <w:p w14:paraId="001C6F54" w14:textId="77777777" w:rsidR="00C276CB" w:rsidRPr="005C4501" w:rsidRDefault="00C276CB" w:rsidP="00C276CB">
      <w:pPr>
        <w:pStyle w:val="NormalHanging12a"/>
      </w:pPr>
      <w:r w:rsidRPr="005C4501">
        <w:t>32.</w:t>
      </w:r>
      <w:r w:rsidRPr="005C4501">
        <w:tab/>
        <w:t xml:space="preserve">подчертава необходимостта от укрепване на оперативната съвместимост на компютърните системи и хармонизиране на европейските и националните политики, за да се създадат истински виртуални европейски </w:t>
      </w:r>
      <w:proofErr w:type="spellStart"/>
      <w:r w:rsidRPr="005C4501">
        <w:t>интеркампуси</w:t>
      </w:r>
      <w:proofErr w:type="spellEnd"/>
      <w:r w:rsidRPr="005C4501">
        <w:t>; насърчава алиансите да си сътрудничат повече помежду си, за да се даде възможност за сигурна и оперативно съвместима идентификация на студентите, регистрация за курсовете и обмен на академични досиета, както и за инвестиции в интегрирането на нови образователни технологии;</w:t>
      </w:r>
    </w:p>
    <w:p w14:paraId="5DE7A216" w14:textId="77777777" w:rsidR="00C276CB" w:rsidRPr="005C4501" w:rsidRDefault="00C276CB" w:rsidP="00C276CB">
      <w:pPr>
        <w:pStyle w:val="NormalHanging12a"/>
      </w:pPr>
      <w:r w:rsidRPr="005C4501">
        <w:t>33.</w:t>
      </w:r>
      <w:r w:rsidRPr="005C4501">
        <w:tab/>
        <w:t>подчертава необходимостта да се разшири използването на микроквалификации въз основа на най-добрите практики, за да се интегрират алиансите в по-широка учебна среда, като работата им се свърже с други институции за неформално учене; отбелязва, че обучението и повишаването на квалификацията, признати чрез микроквалификации, могат да улеснят гъвкавото преразглеждане, разширяване и модернизиране на университетските дипломи;</w:t>
      </w:r>
    </w:p>
    <w:p w14:paraId="1A420528" w14:textId="77777777" w:rsidR="00C276CB" w:rsidRPr="005C4501" w:rsidRDefault="00C276CB" w:rsidP="00C276CB">
      <w:pPr>
        <w:pStyle w:val="NormalHanging12a"/>
      </w:pPr>
      <w:r w:rsidRPr="005C4501">
        <w:t>34.</w:t>
      </w:r>
      <w:r w:rsidRPr="005C4501">
        <w:tab/>
        <w:t xml:space="preserve">изисква от Комисията да обмисли възможността към евентуалните бъдещи покани да се добавят още критерии, които да отговарят на темите, свързани с </w:t>
      </w:r>
      <w:r w:rsidRPr="005C4501">
        <w:lastRenderedPageBreak/>
        <w:t>европейската стратегическа автономност и конкурентоспособност, например устойчивостта, енергетиката, изменението на климата, цифровия преход и цифровите умения, както и отбраната, като същевременно се запазват основните цели: придържане към ценностите на ЕС, високи постижения в образованието и иновации;</w:t>
      </w:r>
    </w:p>
    <w:p w14:paraId="71CC8541" w14:textId="77777777" w:rsidR="00C276CB" w:rsidRPr="005C4501" w:rsidRDefault="00C276CB" w:rsidP="00C276CB">
      <w:pPr>
        <w:pStyle w:val="NormalHanging12a"/>
      </w:pPr>
      <w:r w:rsidRPr="005C4501">
        <w:t>35.</w:t>
      </w:r>
      <w:r w:rsidRPr="005C4501">
        <w:tab/>
        <w:t>подчертава необходимостта алиансите да разполагат с подходящи структури и капацитет за подкрепа на трансфера от академичните среди към бизнеса, за да допринасят за осъществяването на амбициите на ЕС за стратегическа автономност; насърчава Комисията активно да премахва пречките, които възпрепятстват ефективното споделяне и обединяване на съвместни ресурси и знания, например чрез действия за улесняване на съвместното набиране на академични кадри и научни изследователи, както и за разработване и използване на споделени съоръжения;</w:t>
      </w:r>
    </w:p>
    <w:p w14:paraId="4E20F185" w14:textId="77777777" w:rsidR="00C276CB" w:rsidRPr="005C4501" w:rsidRDefault="00C276CB" w:rsidP="00C276CB">
      <w:pPr>
        <w:pStyle w:val="NormalHanging12a"/>
      </w:pPr>
      <w:r w:rsidRPr="005C4501">
        <w:t>36.</w:t>
      </w:r>
      <w:r w:rsidRPr="005C4501">
        <w:tab/>
        <w:t>подчертава необходимостта от ефективни и достъпни кампании за повишаване на осведомеността и информиране относно алиансите на европейските университети, за да се насърчи по-голяма ангажираност, особено на местно равнище и сред студентите, тъй като понастоящем инициативата е с много ниска степен на разпознаваемост;</w:t>
      </w:r>
    </w:p>
    <w:p w14:paraId="2E89AB92" w14:textId="35A5DFF8" w:rsidR="007726AD" w:rsidRPr="005C4501" w:rsidRDefault="00C276CB" w:rsidP="007726AD">
      <w:pPr>
        <w:pStyle w:val="NormalHanging12a"/>
      </w:pPr>
      <w:r w:rsidRPr="005C4501">
        <w:t>37.</w:t>
      </w:r>
      <w:r w:rsidRPr="005C4501">
        <w:tab/>
        <w:t>призовава унгарското правителство да спазва принципите на правовата държава и ценностите на ЕС и да въведе необходимите реформи, за да могат унгарските студенти, преподаватели и изследователи от университетите, финансирани чрез публични фондове, да се възползват от програмата „Еразъм+“, включително от алиансите в рамките на инициативата „Европейски университети“;</w:t>
      </w:r>
    </w:p>
    <w:p w14:paraId="0D623FD0" w14:textId="77777777" w:rsidR="007726AD" w:rsidRDefault="007726AD" w:rsidP="007726AD">
      <w:pPr>
        <w:pStyle w:val="NormalHanging12a"/>
        <w:ind w:left="0" w:firstLine="0"/>
        <w:jc w:val="center"/>
      </w:pPr>
      <w:r>
        <w:t>°</w:t>
      </w:r>
    </w:p>
    <w:p w14:paraId="63B4DC8C" w14:textId="77777777" w:rsidR="007726AD" w:rsidRDefault="007726AD" w:rsidP="007726AD">
      <w:pPr>
        <w:pStyle w:val="NormalHanging12a"/>
        <w:ind w:left="0" w:firstLine="0"/>
        <w:jc w:val="center"/>
      </w:pPr>
      <w:r>
        <w:t>°     °</w:t>
      </w:r>
    </w:p>
    <w:p w14:paraId="4B1CC0B9" w14:textId="2C7DC4BF" w:rsidR="005C4501" w:rsidRPr="005C4501" w:rsidRDefault="00C276CB" w:rsidP="007726AD">
      <w:pPr>
        <w:pStyle w:val="NormalHanging12a"/>
        <w:jc w:val="both"/>
      </w:pPr>
      <w:r w:rsidRPr="005C4501">
        <w:t>38.</w:t>
      </w:r>
      <w:r w:rsidRPr="005C4501">
        <w:tab/>
        <w:t>възлага на своя председател да предаде настоящата резолюция съответно на Съвета и на Комисията.</w:t>
      </w:r>
    </w:p>
    <w:p w14:paraId="40E60A6E" w14:textId="7F8A89B3" w:rsidR="00E365E1" w:rsidRPr="005C4501" w:rsidRDefault="00E365E1" w:rsidP="00BF3233"/>
    <w:sectPr w:rsidR="00E365E1" w:rsidRPr="005C4501" w:rsidSect="005C45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395C0" w14:textId="77777777" w:rsidR="00BF3233" w:rsidRPr="005C4501" w:rsidRDefault="00BF3233">
      <w:r w:rsidRPr="005C4501">
        <w:separator/>
      </w:r>
    </w:p>
  </w:endnote>
  <w:endnote w:type="continuationSeparator" w:id="0">
    <w:p w14:paraId="4DBEC29F" w14:textId="77777777" w:rsidR="00BF3233" w:rsidRPr="005C4501" w:rsidRDefault="00BF3233">
      <w:r w:rsidRPr="005C45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CAA855" w14:textId="77777777" w:rsidR="00064002" w:rsidRPr="005C450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524C0" w14:textId="77777777" w:rsidR="00064002" w:rsidRPr="005C450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C4032" w14:textId="77777777" w:rsidR="00064002" w:rsidRPr="005C45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FAB555" w14:textId="77777777" w:rsidR="00BF3233" w:rsidRPr="005C4501" w:rsidRDefault="00BF3233">
      <w:r w:rsidRPr="005C4501">
        <w:separator/>
      </w:r>
    </w:p>
  </w:footnote>
  <w:footnote w:type="continuationSeparator" w:id="0">
    <w:p w14:paraId="52F55045" w14:textId="77777777" w:rsidR="00BF3233" w:rsidRPr="005C4501" w:rsidRDefault="00BF3233">
      <w:r w:rsidRPr="005C4501">
        <w:continuationSeparator/>
      </w:r>
    </w:p>
  </w:footnote>
  <w:footnote w:id="1">
    <w:p w14:paraId="713E8D0C" w14:textId="7A861407" w:rsidR="00C276CB" w:rsidRPr="005C4501" w:rsidRDefault="00C276CB" w:rsidP="005C4501">
      <w:pPr>
        <w:pStyle w:val="FootnoteText"/>
        <w:ind w:left="567" w:hanging="567"/>
        <w:rPr>
          <w:sz w:val="24"/>
          <w:lang w:val="bg-BG"/>
        </w:rPr>
      </w:pPr>
      <w:r w:rsidRPr="005C4501">
        <w:rPr>
          <w:rStyle w:val="FootnoteReference"/>
          <w:sz w:val="24"/>
          <w:lang w:val="bg-BG"/>
        </w:rPr>
        <w:footnoteRef/>
      </w:r>
      <w:r w:rsidR="005C4501" w:rsidRPr="005C4501">
        <w:rPr>
          <w:sz w:val="24"/>
          <w:lang w:val="bg-BG"/>
        </w:rPr>
        <w:t xml:space="preserve"> </w:t>
      </w:r>
      <w:r w:rsidR="005C4501" w:rsidRPr="005C4501">
        <w:rPr>
          <w:sz w:val="24"/>
          <w:lang w:val="bg-BG"/>
        </w:rPr>
        <w:tab/>
      </w:r>
      <w:r w:rsidRPr="005C4501">
        <w:rPr>
          <w:sz w:val="24"/>
          <w:lang w:val="bg-BG"/>
        </w:rPr>
        <w:t xml:space="preserve">ОВ L 189, 28.5.2021 г., стр. 1, ELI: </w:t>
      </w:r>
      <w:hyperlink r:id="rId1" w:history="1">
        <w:r w:rsidRPr="007420CD">
          <w:rPr>
            <w:rStyle w:val="Hyperlink"/>
            <w:sz w:val="24"/>
            <w:lang w:val="bg-BG"/>
          </w:rPr>
          <w:t>http://data.europa.eu/eli/reg/2021/817/oj</w:t>
        </w:r>
      </w:hyperlink>
      <w:r w:rsidRPr="005C4501">
        <w:rPr>
          <w:sz w:val="24"/>
          <w:lang w:val="bg-BG"/>
        </w:rPr>
        <w:t>.</w:t>
      </w:r>
    </w:p>
  </w:footnote>
  <w:footnote w:id="2">
    <w:p w14:paraId="07B5F814" w14:textId="1AF28173" w:rsidR="00C276CB" w:rsidRPr="005C4501" w:rsidRDefault="00C276CB" w:rsidP="005C4501">
      <w:pPr>
        <w:pStyle w:val="FootnoteText"/>
        <w:ind w:left="567" w:hanging="567"/>
        <w:rPr>
          <w:sz w:val="24"/>
          <w:lang w:val="bg-BG"/>
        </w:rPr>
      </w:pPr>
      <w:r w:rsidRPr="005C4501">
        <w:rPr>
          <w:rStyle w:val="FootnoteReference"/>
          <w:sz w:val="24"/>
          <w:lang w:val="bg-BG"/>
        </w:rPr>
        <w:footnoteRef/>
      </w:r>
      <w:r w:rsidR="005C4501" w:rsidRPr="005C4501">
        <w:rPr>
          <w:sz w:val="24"/>
          <w:lang w:val="bg-BG"/>
        </w:rPr>
        <w:t xml:space="preserve"> </w:t>
      </w:r>
      <w:r w:rsidR="005C4501" w:rsidRPr="005C4501">
        <w:rPr>
          <w:sz w:val="24"/>
          <w:lang w:val="bg-BG"/>
        </w:rPr>
        <w:tab/>
      </w:r>
      <w:r w:rsidRPr="005C4501">
        <w:rPr>
          <w:sz w:val="24"/>
          <w:lang w:val="bg-BG"/>
        </w:rPr>
        <w:t>ОВ C 389, 18.11.2019 г., стр. 1.</w:t>
      </w:r>
    </w:p>
  </w:footnote>
  <w:footnote w:id="3">
    <w:p w14:paraId="6AFACE56" w14:textId="58147FC6" w:rsidR="00C276CB" w:rsidRPr="005C4501" w:rsidRDefault="00C276CB" w:rsidP="005C4501">
      <w:pPr>
        <w:pStyle w:val="FootnoteText"/>
        <w:ind w:left="567" w:hanging="567"/>
        <w:rPr>
          <w:sz w:val="24"/>
          <w:lang w:val="bg-BG"/>
        </w:rPr>
      </w:pPr>
      <w:r w:rsidRPr="005C4501">
        <w:rPr>
          <w:rStyle w:val="FootnoteReference"/>
          <w:sz w:val="24"/>
          <w:lang w:val="bg-BG"/>
        </w:rPr>
        <w:footnoteRef/>
      </w:r>
      <w:r w:rsidR="005C4501" w:rsidRPr="005C4501">
        <w:rPr>
          <w:sz w:val="24"/>
          <w:lang w:val="bg-BG"/>
        </w:rPr>
        <w:t xml:space="preserve"> </w:t>
      </w:r>
      <w:r w:rsidR="005C4501" w:rsidRPr="005C4501">
        <w:rPr>
          <w:sz w:val="24"/>
          <w:lang w:val="bg-BG"/>
        </w:rPr>
        <w:tab/>
      </w:r>
      <w:r w:rsidRPr="005C4501">
        <w:rPr>
          <w:sz w:val="24"/>
          <w:lang w:val="bg-BG"/>
        </w:rPr>
        <w:t>OВ C 504, 14.12.2021 г., стр. 9.</w:t>
      </w:r>
    </w:p>
  </w:footnote>
  <w:footnote w:id="4">
    <w:p w14:paraId="32CAA67D" w14:textId="0218BBB6" w:rsidR="00C276CB" w:rsidRPr="005C4501" w:rsidRDefault="00C276CB" w:rsidP="005C4501">
      <w:pPr>
        <w:pStyle w:val="FootnoteText"/>
        <w:ind w:left="567" w:hanging="567"/>
        <w:rPr>
          <w:sz w:val="24"/>
          <w:lang w:val="bg-BG"/>
        </w:rPr>
      </w:pPr>
      <w:r w:rsidRPr="005C4501">
        <w:rPr>
          <w:rStyle w:val="FootnoteReference"/>
          <w:sz w:val="24"/>
          <w:lang w:val="bg-BG"/>
        </w:rPr>
        <w:footnoteRef/>
      </w:r>
      <w:r w:rsidR="005C4501" w:rsidRPr="005C4501">
        <w:rPr>
          <w:sz w:val="24"/>
          <w:lang w:val="bg-BG"/>
        </w:rPr>
        <w:t xml:space="preserve"> </w:t>
      </w:r>
      <w:r w:rsidR="005C4501" w:rsidRPr="005C4501">
        <w:rPr>
          <w:sz w:val="24"/>
          <w:lang w:val="bg-BG"/>
        </w:rPr>
        <w:tab/>
      </w:r>
      <w:r w:rsidRPr="005C4501">
        <w:rPr>
          <w:sz w:val="24"/>
          <w:lang w:val="bg-BG"/>
        </w:rPr>
        <w:t xml:space="preserve">OВ C, C/2024/3364, 14.6.2024 г., ELI: </w:t>
      </w:r>
      <w:hyperlink r:id="rId2" w:history="1">
        <w:r w:rsidRPr="007420CD">
          <w:rPr>
            <w:rStyle w:val="Hyperlink"/>
            <w:sz w:val="24"/>
            <w:lang w:val="bg-BG"/>
          </w:rPr>
          <w:t>http://data.europa.eu/eli/C/2024/3364/oj</w:t>
        </w:r>
      </w:hyperlink>
      <w:r w:rsidRPr="005C4501">
        <w:rPr>
          <w:sz w:val="24"/>
          <w:lang w:val="bg-BG"/>
        </w:rPr>
        <w:t>.</w:t>
      </w:r>
    </w:p>
  </w:footnote>
  <w:footnote w:id="5">
    <w:p w14:paraId="2361DCF5" w14:textId="6426C7E1" w:rsidR="00C276CB" w:rsidRPr="005C4501" w:rsidRDefault="00C276CB" w:rsidP="005C4501">
      <w:pPr>
        <w:pStyle w:val="FootnoteText"/>
        <w:ind w:left="567" w:hanging="567"/>
        <w:rPr>
          <w:sz w:val="24"/>
          <w:lang w:val="bg-BG"/>
        </w:rPr>
      </w:pPr>
      <w:r w:rsidRPr="005C4501">
        <w:rPr>
          <w:rStyle w:val="FootnoteReference"/>
          <w:sz w:val="24"/>
          <w:lang w:val="bg-BG"/>
        </w:rPr>
        <w:footnoteRef/>
      </w:r>
      <w:r w:rsidR="005C4501" w:rsidRPr="005C4501">
        <w:rPr>
          <w:sz w:val="24"/>
          <w:lang w:val="bg-BG"/>
        </w:rPr>
        <w:t xml:space="preserve"> </w:t>
      </w:r>
      <w:r w:rsidR="005C4501" w:rsidRPr="005C4501">
        <w:rPr>
          <w:sz w:val="24"/>
          <w:lang w:val="bg-BG"/>
        </w:rPr>
        <w:tab/>
      </w:r>
      <w:r w:rsidRPr="005C4501">
        <w:rPr>
          <w:sz w:val="24"/>
          <w:lang w:val="bg-BG"/>
        </w:rPr>
        <w:t>ОВ L 431, 2.12.2021 г., стр. </w:t>
      </w:r>
      <w:r w:rsidRPr="005C4501">
        <w:rPr>
          <w:sz w:val="24"/>
          <w:lang w:val="bg-BG"/>
        </w:rPr>
        <w:t xml:space="preserve">1, ELI: </w:t>
      </w:r>
      <w:hyperlink r:id="rId3" w:history="1">
        <w:r w:rsidRPr="007420CD">
          <w:rPr>
            <w:rStyle w:val="Hyperlink"/>
            <w:sz w:val="24"/>
            <w:lang w:val="bg-BG"/>
          </w:rPr>
          <w:t>http://data.europa.eu/eli/reco/2021/2122/oj</w:t>
        </w:r>
      </w:hyperlink>
      <w:r w:rsidRPr="005C4501">
        <w:rPr>
          <w:sz w:val="24"/>
          <w:lang w:val="bg-BG"/>
        </w:rPr>
        <w:t>.</w:t>
      </w:r>
    </w:p>
  </w:footnote>
  <w:footnote w:id="6">
    <w:p w14:paraId="7C666AC8" w14:textId="7F724B7E" w:rsidR="00C276CB" w:rsidRPr="007420CD" w:rsidRDefault="00C276CB" w:rsidP="005C4501">
      <w:pPr>
        <w:pStyle w:val="FootnoteText"/>
        <w:ind w:left="567" w:hanging="567"/>
        <w:rPr>
          <w:sz w:val="24"/>
          <w:lang w:val="bg-BG"/>
        </w:rPr>
      </w:pPr>
      <w:r w:rsidRPr="005C4501">
        <w:rPr>
          <w:rStyle w:val="FootnoteReference"/>
          <w:sz w:val="24"/>
          <w:lang w:val="bg-BG"/>
        </w:rPr>
        <w:footnoteRef/>
      </w:r>
      <w:r w:rsidR="005C4501" w:rsidRPr="005C4501">
        <w:rPr>
          <w:sz w:val="24"/>
          <w:lang w:val="bg-BG"/>
        </w:rPr>
        <w:t xml:space="preserve"> </w:t>
      </w:r>
      <w:r w:rsidR="005C4501" w:rsidRPr="005C4501">
        <w:rPr>
          <w:sz w:val="24"/>
          <w:lang w:val="bg-BG"/>
        </w:rPr>
        <w:tab/>
      </w:r>
      <w:r w:rsidR="007420CD" w:rsidRPr="001C4750">
        <w:rPr>
          <w:sz w:val="24"/>
          <w:u w:color="0000FF"/>
          <w:lang w:val="bg-BG"/>
        </w:rPr>
        <w:t xml:space="preserve">Европейска комисия: </w:t>
      </w:r>
      <w:proofErr w:type="spellStart"/>
      <w:r w:rsidR="007420CD" w:rsidRPr="001C4750">
        <w:rPr>
          <w:sz w:val="24"/>
          <w:u w:color="0000FF"/>
          <w:lang w:val="bg-BG"/>
        </w:rPr>
        <w:t>Directorate</w:t>
      </w:r>
      <w:proofErr w:type="spellEnd"/>
      <w:r w:rsidR="007420CD" w:rsidRPr="001C4750">
        <w:rPr>
          <w:sz w:val="24"/>
          <w:u w:color="0000FF"/>
          <w:lang w:val="bg-BG"/>
        </w:rPr>
        <w:t xml:space="preserve">-General </w:t>
      </w:r>
      <w:proofErr w:type="spellStart"/>
      <w:r w:rsidR="007420CD" w:rsidRPr="001C4750">
        <w:rPr>
          <w:sz w:val="24"/>
          <w:u w:color="0000FF"/>
          <w:lang w:val="bg-BG"/>
        </w:rPr>
        <w:t>for</w:t>
      </w:r>
      <w:proofErr w:type="spellEnd"/>
      <w:r w:rsidR="007420CD" w:rsidRPr="001C4750">
        <w:rPr>
          <w:sz w:val="24"/>
          <w:u w:color="0000FF"/>
          <w:lang w:val="bg-BG"/>
        </w:rPr>
        <w:t xml:space="preserve"> </w:t>
      </w:r>
      <w:proofErr w:type="spellStart"/>
      <w:r w:rsidR="007420CD" w:rsidRPr="001C4750">
        <w:rPr>
          <w:sz w:val="24"/>
          <w:u w:color="0000FF"/>
          <w:lang w:val="bg-BG"/>
        </w:rPr>
        <w:t>Education</w:t>
      </w:r>
      <w:proofErr w:type="spellEnd"/>
      <w:r w:rsidR="007420CD" w:rsidRPr="001C4750">
        <w:rPr>
          <w:sz w:val="24"/>
          <w:u w:color="0000FF"/>
          <w:lang w:val="bg-BG"/>
        </w:rPr>
        <w:t xml:space="preserve">, </w:t>
      </w:r>
      <w:proofErr w:type="spellStart"/>
      <w:r w:rsidR="007420CD" w:rsidRPr="001C4750">
        <w:rPr>
          <w:sz w:val="24"/>
          <w:u w:color="0000FF"/>
          <w:lang w:val="bg-BG"/>
        </w:rPr>
        <w:t>Youth</w:t>
      </w:r>
      <w:proofErr w:type="spellEnd"/>
      <w:r w:rsidR="007420CD" w:rsidRPr="001C4750">
        <w:rPr>
          <w:sz w:val="24"/>
          <w:u w:color="0000FF"/>
          <w:lang w:val="bg-BG"/>
        </w:rPr>
        <w:t xml:space="preserve">, </w:t>
      </w:r>
      <w:proofErr w:type="spellStart"/>
      <w:r w:rsidR="007420CD" w:rsidRPr="001C4750">
        <w:rPr>
          <w:sz w:val="24"/>
          <w:u w:color="0000FF"/>
          <w:lang w:val="bg-BG"/>
        </w:rPr>
        <w:t>Sport</w:t>
      </w:r>
      <w:proofErr w:type="spellEnd"/>
      <w:r w:rsidR="007420CD" w:rsidRPr="001C4750">
        <w:rPr>
          <w:sz w:val="24"/>
          <w:u w:color="0000FF"/>
          <w:lang w:val="bg-BG"/>
        </w:rPr>
        <w:t xml:space="preserve"> </w:t>
      </w:r>
      <w:proofErr w:type="spellStart"/>
      <w:r w:rsidR="007420CD" w:rsidRPr="001C4750">
        <w:rPr>
          <w:sz w:val="24"/>
          <w:u w:color="0000FF"/>
          <w:lang w:val="bg-BG"/>
        </w:rPr>
        <w:t>and</w:t>
      </w:r>
      <w:proofErr w:type="spellEnd"/>
      <w:r w:rsidR="007420CD" w:rsidRPr="001C4750">
        <w:rPr>
          <w:sz w:val="24"/>
          <w:u w:color="0000FF"/>
          <w:lang w:val="bg-BG"/>
        </w:rPr>
        <w:t xml:space="preserve"> </w:t>
      </w:r>
      <w:proofErr w:type="spellStart"/>
      <w:r w:rsidR="007420CD" w:rsidRPr="001C4750">
        <w:rPr>
          <w:sz w:val="24"/>
          <w:u w:color="0000FF"/>
          <w:lang w:val="bg-BG"/>
        </w:rPr>
        <w:t>Culture</w:t>
      </w:r>
      <w:proofErr w:type="spellEnd"/>
      <w:r w:rsidR="007420CD" w:rsidRPr="001C4750">
        <w:rPr>
          <w:sz w:val="24"/>
          <w:u w:color="0000FF"/>
          <w:lang w:val="bg-BG"/>
        </w:rPr>
        <w:t xml:space="preserve"> </w:t>
      </w:r>
      <w:proofErr w:type="spellStart"/>
      <w:r w:rsidR="007420CD" w:rsidRPr="001C4750">
        <w:rPr>
          <w:sz w:val="24"/>
          <w:u w:color="0000FF"/>
          <w:lang w:val="bg-BG"/>
        </w:rPr>
        <w:t>et</w:t>
      </w:r>
      <w:proofErr w:type="spellEnd"/>
      <w:r w:rsidR="007420CD" w:rsidRPr="001C4750">
        <w:rPr>
          <w:sz w:val="24"/>
          <w:u w:color="0000FF"/>
          <w:lang w:val="bg-BG"/>
        </w:rPr>
        <w:t xml:space="preserve"> </w:t>
      </w:r>
      <w:proofErr w:type="spellStart"/>
      <w:r w:rsidR="007420CD" w:rsidRPr="001C4750">
        <w:rPr>
          <w:sz w:val="24"/>
          <w:u w:color="0000FF"/>
          <w:lang w:val="bg-BG"/>
        </w:rPr>
        <w:t>al</w:t>
      </w:r>
      <w:proofErr w:type="spellEnd"/>
      <w:r w:rsidR="007420CD" w:rsidRPr="001C4750">
        <w:rPr>
          <w:sz w:val="24"/>
          <w:u w:color="0000FF"/>
          <w:lang w:val="bg-BG"/>
        </w:rPr>
        <w:t xml:space="preserve">., </w:t>
      </w:r>
      <w:proofErr w:type="spellStart"/>
      <w:r w:rsidR="007420CD" w:rsidRPr="001C4750">
        <w:rPr>
          <w:sz w:val="24"/>
          <w:u w:color="0000FF"/>
          <w:lang w:val="bg-BG"/>
        </w:rPr>
        <w:t>Report</w:t>
      </w:r>
      <w:proofErr w:type="spellEnd"/>
      <w:r w:rsidR="007420CD" w:rsidRPr="001C4750">
        <w:rPr>
          <w:sz w:val="24"/>
          <w:u w:color="0000FF"/>
          <w:lang w:val="bg-BG"/>
        </w:rPr>
        <w:t xml:space="preserve"> </w:t>
      </w:r>
      <w:proofErr w:type="spellStart"/>
      <w:r w:rsidR="007420CD" w:rsidRPr="001C4750">
        <w:rPr>
          <w:sz w:val="24"/>
          <w:u w:color="0000FF"/>
          <w:lang w:val="bg-BG"/>
        </w:rPr>
        <w:t>on</w:t>
      </w:r>
      <w:proofErr w:type="spellEnd"/>
      <w:r w:rsidR="007420CD" w:rsidRPr="001C4750">
        <w:rPr>
          <w:sz w:val="24"/>
          <w:u w:color="0000FF"/>
          <w:lang w:val="bg-BG"/>
        </w:rPr>
        <w:t xml:space="preserve"> </w:t>
      </w:r>
      <w:proofErr w:type="spellStart"/>
      <w:r w:rsidR="007420CD" w:rsidRPr="001C4750">
        <w:rPr>
          <w:sz w:val="24"/>
          <w:u w:color="0000FF"/>
          <w:lang w:val="bg-BG"/>
        </w:rPr>
        <w:t>the</w:t>
      </w:r>
      <w:proofErr w:type="spellEnd"/>
      <w:r w:rsidR="007420CD" w:rsidRPr="001C4750">
        <w:rPr>
          <w:sz w:val="24"/>
          <w:u w:color="0000FF"/>
          <w:lang w:val="bg-BG"/>
        </w:rPr>
        <w:t xml:space="preserve"> </w:t>
      </w:r>
      <w:proofErr w:type="spellStart"/>
      <w:r w:rsidR="007420CD" w:rsidRPr="001C4750">
        <w:rPr>
          <w:sz w:val="24"/>
          <w:u w:color="0000FF"/>
          <w:lang w:val="bg-BG"/>
        </w:rPr>
        <w:t>outcomes</w:t>
      </w:r>
      <w:proofErr w:type="spellEnd"/>
      <w:r w:rsidR="007420CD" w:rsidRPr="001C4750">
        <w:rPr>
          <w:sz w:val="24"/>
          <w:u w:color="0000FF"/>
          <w:lang w:val="bg-BG"/>
        </w:rPr>
        <w:t xml:space="preserve"> </w:t>
      </w:r>
      <w:proofErr w:type="spellStart"/>
      <w:r w:rsidR="007420CD" w:rsidRPr="001C4750">
        <w:rPr>
          <w:sz w:val="24"/>
          <w:u w:color="0000FF"/>
          <w:lang w:val="bg-BG"/>
        </w:rPr>
        <w:t>and</w:t>
      </w:r>
      <w:proofErr w:type="spellEnd"/>
      <w:r w:rsidR="007420CD" w:rsidRPr="001C4750">
        <w:rPr>
          <w:sz w:val="24"/>
          <w:u w:color="0000FF"/>
          <w:lang w:val="bg-BG"/>
        </w:rPr>
        <w:t xml:space="preserve"> </w:t>
      </w:r>
      <w:proofErr w:type="spellStart"/>
      <w:r w:rsidR="007420CD" w:rsidRPr="001C4750">
        <w:rPr>
          <w:sz w:val="24"/>
          <w:u w:color="0000FF"/>
          <w:lang w:val="bg-BG"/>
        </w:rPr>
        <w:t>transformational</w:t>
      </w:r>
      <w:proofErr w:type="spellEnd"/>
      <w:r w:rsidR="007420CD" w:rsidRPr="001C4750">
        <w:rPr>
          <w:sz w:val="24"/>
          <w:u w:color="0000FF"/>
          <w:lang w:val="bg-BG"/>
        </w:rPr>
        <w:t xml:space="preserve"> </w:t>
      </w:r>
      <w:proofErr w:type="spellStart"/>
      <w:r w:rsidR="007420CD" w:rsidRPr="001C4750">
        <w:rPr>
          <w:sz w:val="24"/>
          <w:u w:color="0000FF"/>
          <w:lang w:val="bg-BG"/>
        </w:rPr>
        <w:t>potential</w:t>
      </w:r>
      <w:proofErr w:type="spellEnd"/>
      <w:r w:rsidR="007420CD" w:rsidRPr="001C4750">
        <w:rPr>
          <w:sz w:val="24"/>
          <w:u w:color="0000FF"/>
          <w:lang w:val="bg-BG"/>
        </w:rPr>
        <w:t xml:space="preserve"> </w:t>
      </w:r>
      <w:proofErr w:type="spellStart"/>
      <w:r w:rsidR="007420CD" w:rsidRPr="001C4750">
        <w:rPr>
          <w:sz w:val="24"/>
          <w:u w:color="0000FF"/>
          <w:lang w:val="bg-BG"/>
        </w:rPr>
        <w:t>of</w:t>
      </w:r>
      <w:proofErr w:type="spellEnd"/>
      <w:r w:rsidR="007420CD" w:rsidRPr="001C4750">
        <w:rPr>
          <w:sz w:val="24"/>
          <w:u w:color="0000FF"/>
          <w:lang w:val="bg-BG"/>
        </w:rPr>
        <w:t xml:space="preserve"> </w:t>
      </w:r>
      <w:proofErr w:type="spellStart"/>
      <w:r w:rsidR="007420CD" w:rsidRPr="001C4750">
        <w:rPr>
          <w:sz w:val="24"/>
          <w:u w:color="0000FF"/>
          <w:lang w:val="bg-BG"/>
        </w:rPr>
        <w:t>the</w:t>
      </w:r>
      <w:proofErr w:type="spellEnd"/>
      <w:r w:rsidR="007420CD" w:rsidRPr="001C4750">
        <w:rPr>
          <w:sz w:val="24"/>
          <w:u w:color="0000FF"/>
          <w:lang w:val="bg-BG"/>
        </w:rPr>
        <w:t xml:space="preserve"> </w:t>
      </w:r>
      <w:proofErr w:type="spellStart"/>
      <w:r w:rsidR="007420CD" w:rsidRPr="001C4750">
        <w:rPr>
          <w:sz w:val="24"/>
          <w:u w:color="0000FF"/>
          <w:lang w:val="bg-BG"/>
        </w:rPr>
        <w:t>European</w:t>
      </w:r>
      <w:proofErr w:type="spellEnd"/>
      <w:r w:rsidR="007420CD" w:rsidRPr="001C4750">
        <w:rPr>
          <w:sz w:val="24"/>
          <w:u w:color="0000FF"/>
          <w:lang w:val="bg-BG"/>
        </w:rPr>
        <w:t xml:space="preserve"> </w:t>
      </w:r>
      <w:proofErr w:type="spellStart"/>
      <w:r w:rsidR="007420CD" w:rsidRPr="001C4750">
        <w:rPr>
          <w:sz w:val="24"/>
          <w:u w:color="0000FF"/>
          <w:lang w:val="bg-BG"/>
        </w:rPr>
        <w:t>Universities</w:t>
      </w:r>
      <w:proofErr w:type="spellEnd"/>
      <w:r w:rsidR="007420CD" w:rsidRPr="001C4750">
        <w:rPr>
          <w:sz w:val="24"/>
          <w:u w:color="0000FF"/>
          <w:lang w:val="bg-BG"/>
        </w:rPr>
        <w:t xml:space="preserve"> </w:t>
      </w:r>
      <w:proofErr w:type="spellStart"/>
      <w:r w:rsidR="007420CD" w:rsidRPr="001C4750">
        <w:rPr>
          <w:sz w:val="24"/>
          <w:u w:color="0000FF"/>
          <w:lang w:val="bg-BG"/>
        </w:rPr>
        <w:t>initiative</w:t>
      </w:r>
      <w:proofErr w:type="spellEnd"/>
      <w:r w:rsidR="007420CD" w:rsidRPr="001C4750">
        <w:rPr>
          <w:sz w:val="24"/>
          <w:u w:color="0000FF"/>
          <w:lang w:val="bg-BG"/>
        </w:rPr>
        <w:t xml:space="preserve"> (Генерална дирекция „Образование, младеж, спорт и култура“ и др., </w:t>
      </w:r>
      <w:r w:rsidR="007420CD" w:rsidRPr="001C4750">
        <w:rPr>
          <w:sz w:val="24"/>
          <w:u w:color="0000FF"/>
          <w:lang w:val="bg-BG"/>
        </w:rPr>
        <w:t>Доклад относно резултатите и потенциала за трансформация на инициативата „Европейски университети“), Служба за публикации на Европейския съюз, 2025 г.</w:t>
      </w:r>
      <w:r w:rsidR="007420CD">
        <w:rPr>
          <w:color w:val="0000FF"/>
          <w:sz w:val="24"/>
          <w:u w:val="single" w:color="0000FF"/>
          <w:lang w:val="en-GB"/>
        </w:rPr>
        <w:t xml:space="preserve">, </w:t>
      </w:r>
      <w:hyperlink r:id="rId4" w:history="1">
        <w:r w:rsidR="007420CD" w:rsidRPr="00727D52">
          <w:rPr>
            <w:rStyle w:val="Hyperlink"/>
            <w:sz w:val="24"/>
            <w:lang w:val="en-GB"/>
          </w:rPr>
          <w:t>https://data.europa.eu/doi/10.2766/32313</w:t>
        </w:r>
      </w:hyperlink>
      <w:r w:rsidR="007420CD">
        <w:rPr>
          <w:color w:val="0000FF"/>
          <w:sz w:val="24"/>
          <w:lang w:val="en-GB"/>
        </w:rPr>
        <w:t>.</w:t>
      </w:r>
    </w:p>
  </w:footnote>
  <w:footnote w:id="7">
    <w:p w14:paraId="001B7B50" w14:textId="223C78D2" w:rsidR="00C276CB" w:rsidRPr="005C4501" w:rsidRDefault="00C276CB" w:rsidP="005C4501">
      <w:pPr>
        <w:pStyle w:val="FootnoteText"/>
        <w:ind w:left="567" w:hanging="567"/>
        <w:rPr>
          <w:sz w:val="24"/>
          <w:lang w:val="bg-BG"/>
        </w:rPr>
      </w:pPr>
      <w:r w:rsidRPr="005C4501">
        <w:rPr>
          <w:rStyle w:val="FootnoteReference"/>
          <w:sz w:val="24"/>
          <w:lang w:val="bg-BG"/>
        </w:rPr>
        <w:footnoteRef/>
      </w:r>
      <w:r w:rsidR="005C4501" w:rsidRPr="005C4501">
        <w:rPr>
          <w:sz w:val="24"/>
          <w:lang w:val="bg-BG"/>
        </w:rPr>
        <w:t xml:space="preserve"> </w:t>
      </w:r>
      <w:r w:rsidR="005C4501" w:rsidRPr="005C4501">
        <w:rPr>
          <w:sz w:val="24"/>
          <w:lang w:val="bg-BG"/>
        </w:rPr>
        <w:tab/>
      </w:r>
      <w:r w:rsidRPr="005C4501">
        <w:rPr>
          <w:sz w:val="24"/>
          <w:lang w:val="bg-BG"/>
        </w:rPr>
        <w:t>ОВ C 32, 27.1.2023 г., стр. 58.</w:t>
      </w:r>
    </w:p>
  </w:footnote>
  <w:footnote w:id="8">
    <w:p w14:paraId="39565AE5" w14:textId="1A89BB43" w:rsidR="00C276CB" w:rsidRPr="005C4501" w:rsidRDefault="00C276CB" w:rsidP="005C4501">
      <w:pPr>
        <w:pStyle w:val="FootnoteText"/>
        <w:ind w:left="567" w:hanging="567"/>
        <w:rPr>
          <w:sz w:val="24"/>
          <w:lang w:val="bg-BG"/>
        </w:rPr>
      </w:pPr>
      <w:r w:rsidRPr="005C4501">
        <w:rPr>
          <w:rStyle w:val="FootnoteReference"/>
          <w:sz w:val="24"/>
          <w:lang w:val="bg-BG"/>
        </w:rPr>
        <w:footnoteRef/>
      </w:r>
      <w:r w:rsidR="005C4501" w:rsidRPr="005C4501">
        <w:rPr>
          <w:sz w:val="24"/>
          <w:lang w:val="bg-BG"/>
        </w:rPr>
        <w:t xml:space="preserve"> </w:t>
      </w:r>
      <w:r w:rsidR="005C4501" w:rsidRPr="005C4501">
        <w:rPr>
          <w:sz w:val="24"/>
          <w:lang w:val="bg-BG"/>
        </w:rPr>
        <w:tab/>
      </w:r>
      <w:r w:rsidRPr="005C4501">
        <w:rPr>
          <w:sz w:val="24"/>
          <w:lang w:val="bg-BG"/>
        </w:rPr>
        <w:t>OВ C 385, 22.9.2021 г., стр. 2.</w:t>
      </w:r>
    </w:p>
  </w:footnote>
  <w:footnote w:id="9">
    <w:p w14:paraId="40E9CAD3" w14:textId="5C454462" w:rsidR="00C276CB" w:rsidRPr="005C4501" w:rsidRDefault="00C276CB" w:rsidP="005C4501">
      <w:pPr>
        <w:pStyle w:val="FootnoteText"/>
        <w:ind w:left="567" w:hanging="567"/>
        <w:rPr>
          <w:sz w:val="24"/>
          <w:lang w:val="bg-BG"/>
        </w:rPr>
      </w:pPr>
      <w:r w:rsidRPr="005C4501">
        <w:rPr>
          <w:rStyle w:val="FootnoteReference"/>
          <w:sz w:val="24"/>
          <w:lang w:val="bg-BG"/>
        </w:rPr>
        <w:footnoteRef/>
      </w:r>
      <w:r w:rsidR="005C4501" w:rsidRPr="005C4501">
        <w:rPr>
          <w:sz w:val="24"/>
          <w:lang w:val="bg-BG"/>
        </w:rPr>
        <w:t xml:space="preserve"> </w:t>
      </w:r>
      <w:r w:rsidR="005C4501" w:rsidRPr="005C4501">
        <w:rPr>
          <w:sz w:val="24"/>
          <w:lang w:val="bg-BG"/>
        </w:rPr>
        <w:tab/>
      </w:r>
      <w:r w:rsidRPr="005C4501">
        <w:rPr>
          <w:sz w:val="24"/>
          <w:lang w:val="bg-BG"/>
        </w:rPr>
        <w:t>ОВ C 479, 16.12.2022 г., стр. 65.</w:t>
      </w:r>
    </w:p>
  </w:footnote>
  <w:footnote w:id="10">
    <w:p w14:paraId="6416DB63" w14:textId="5BD44C2E" w:rsidR="00C276CB" w:rsidRPr="005C4501" w:rsidRDefault="00C276CB" w:rsidP="005C4501">
      <w:pPr>
        <w:pStyle w:val="FootnoteText"/>
        <w:ind w:left="567" w:hanging="567"/>
        <w:rPr>
          <w:sz w:val="24"/>
          <w:lang w:val="bg-BG"/>
        </w:rPr>
      </w:pPr>
      <w:r w:rsidRPr="005C4501">
        <w:rPr>
          <w:rStyle w:val="FootnoteReference"/>
          <w:sz w:val="24"/>
          <w:lang w:val="bg-BG"/>
        </w:rPr>
        <w:footnoteRef/>
      </w:r>
      <w:r w:rsidR="005C4501" w:rsidRPr="005C4501">
        <w:rPr>
          <w:sz w:val="24"/>
          <w:lang w:val="bg-BG"/>
        </w:rPr>
        <w:t xml:space="preserve"> </w:t>
      </w:r>
      <w:r w:rsidR="005C4501" w:rsidRPr="005C4501">
        <w:rPr>
          <w:sz w:val="24"/>
          <w:lang w:val="bg-BG"/>
        </w:rPr>
        <w:tab/>
      </w:r>
      <w:r w:rsidRPr="005C4501">
        <w:rPr>
          <w:sz w:val="24"/>
          <w:lang w:val="bg-BG"/>
        </w:rPr>
        <w:t>Залегнали в член 2 от Договора за Европейския съюз и в Хартата на основните права на Европейския съюз.</w:t>
      </w:r>
    </w:p>
  </w:footnote>
  <w:footnote w:id="11">
    <w:p w14:paraId="5BEB63E4" w14:textId="6978C2F4" w:rsidR="00C276CB" w:rsidRPr="005C4501" w:rsidRDefault="00C276CB" w:rsidP="005C4501">
      <w:pPr>
        <w:pStyle w:val="FootnoteText"/>
        <w:ind w:left="567" w:hanging="567"/>
        <w:rPr>
          <w:sz w:val="24"/>
          <w:lang w:val="bg-BG"/>
        </w:rPr>
      </w:pPr>
      <w:r w:rsidRPr="005C4501">
        <w:rPr>
          <w:rStyle w:val="FootnoteReference"/>
          <w:sz w:val="24"/>
          <w:lang w:val="bg-BG"/>
        </w:rPr>
        <w:footnoteRef/>
      </w:r>
      <w:r w:rsidR="005C4501" w:rsidRPr="005C4501">
        <w:rPr>
          <w:sz w:val="24"/>
          <w:lang w:val="bg-BG"/>
        </w:rPr>
        <w:t xml:space="preserve"> </w:t>
      </w:r>
      <w:r w:rsidR="005C4501" w:rsidRPr="005C4501">
        <w:rPr>
          <w:sz w:val="24"/>
          <w:lang w:val="bg-BG"/>
        </w:rPr>
        <w:tab/>
      </w:r>
      <w:r w:rsidRPr="005C4501">
        <w:rPr>
          <w:sz w:val="24"/>
          <w:lang w:val="bg-BG"/>
        </w:rPr>
        <w:t>Съгласно определението в Регламент (ЕС) 2021/817 на Европейския парламент и на Съвета от 20 май 2021 г.</w:t>
      </w:r>
    </w:p>
  </w:footnote>
  <w:footnote w:id="12">
    <w:p w14:paraId="7064167D" w14:textId="0906BB45" w:rsidR="00C276CB" w:rsidRPr="005C4501" w:rsidRDefault="00C276CB" w:rsidP="005C4501">
      <w:pPr>
        <w:pStyle w:val="FootnoteText"/>
        <w:ind w:left="567" w:hanging="567"/>
        <w:rPr>
          <w:sz w:val="24"/>
          <w:lang w:val="bg-BG"/>
        </w:rPr>
      </w:pPr>
      <w:r w:rsidRPr="005C4501">
        <w:rPr>
          <w:rStyle w:val="FootnoteReference"/>
          <w:sz w:val="24"/>
          <w:lang w:val="bg-BG"/>
        </w:rPr>
        <w:footnoteRef/>
      </w:r>
      <w:r w:rsidR="005C4501" w:rsidRPr="005C4501">
        <w:rPr>
          <w:sz w:val="24"/>
          <w:lang w:val="bg-BG"/>
        </w:rPr>
        <w:t xml:space="preserve"> </w:t>
      </w:r>
      <w:r w:rsidR="005C4501" w:rsidRPr="005C4501">
        <w:rPr>
          <w:sz w:val="24"/>
          <w:lang w:val="bg-BG"/>
        </w:rPr>
        <w:tab/>
      </w:r>
      <w:r w:rsidRPr="005C4501">
        <w:rPr>
          <w:sz w:val="24"/>
          <w:lang w:val="bg-BG"/>
        </w:rPr>
        <w:t>Работен документ на службите на Комисията SWD(2024)0291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DA7F7E" w14:textId="77777777" w:rsidR="00064002" w:rsidRPr="005C45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54A4A" w14:textId="77777777" w:rsidR="00064002" w:rsidRPr="005C45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15038" w14:textId="77777777" w:rsidR="00064002" w:rsidRPr="005C45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90902733">
    <w:abstractNumId w:val="9"/>
  </w:num>
  <w:num w:numId="2" w16cid:durableId="1477333690">
    <w:abstractNumId w:val="9"/>
  </w:num>
  <w:num w:numId="3" w16cid:durableId="1597010265">
    <w:abstractNumId w:val="7"/>
  </w:num>
  <w:num w:numId="4" w16cid:durableId="2035375994">
    <w:abstractNumId w:val="7"/>
  </w:num>
  <w:num w:numId="5" w16cid:durableId="1681927561">
    <w:abstractNumId w:val="6"/>
  </w:num>
  <w:num w:numId="6" w16cid:durableId="941299089">
    <w:abstractNumId w:val="6"/>
  </w:num>
  <w:num w:numId="7" w16cid:durableId="1144741100">
    <w:abstractNumId w:val="5"/>
  </w:num>
  <w:num w:numId="8" w16cid:durableId="442921427">
    <w:abstractNumId w:val="5"/>
  </w:num>
  <w:num w:numId="9" w16cid:durableId="212153695">
    <w:abstractNumId w:val="4"/>
  </w:num>
  <w:num w:numId="10" w16cid:durableId="1348680151">
    <w:abstractNumId w:val="4"/>
  </w:num>
  <w:num w:numId="11" w16cid:durableId="1642272642">
    <w:abstractNumId w:val="8"/>
  </w:num>
  <w:num w:numId="12" w16cid:durableId="149372640">
    <w:abstractNumId w:val="8"/>
  </w:num>
  <w:num w:numId="13" w16cid:durableId="1922324251">
    <w:abstractNumId w:val="3"/>
  </w:num>
  <w:num w:numId="14" w16cid:durableId="762996345">
    <w:abstractNumId w:val="3"/>
  </w:num>
  <w:num w:numId="15" w16cid:durableId="651831780">
    <w:abstractNumId w:val="2"/>
  </w:num>
  <w:num w:numId="16" w16cid:durableId="761609398">
    <w:abstractNumId w:val="2"/>
  </w:num>
  <w:num w:numId="17" w16cid:durableId="1158115870">
    <w:abstractNumId w:val="1"/>
  </w:num>
  <w:num w:numId="18" w16cid:durableId="1211695141">
    <w:abstractNumId w:val="1"/>
  </w:num>
  <w:num w:numId="19" w16cid:durableId="662515234">
    <w:abstractNumId w:val="0"/>
  </w:num>
  <w:num w:numId="20" w16cid:durableId="1864585466">
    <w:abstractNumId w:val="0"/>
  </w:num>
  <w:num w:numId="21" w16cid:durableId="1719166522">
    <w:abstractNumId w:val="9"/>
  </w:num>
  <w:num w:numId="22" w16cid:durableId="715544406">
    <w:abstractNumId w:val="7"/>
  </w:num>
  <w:num w:numId="23" w16cid:durableId="955599140">
    <w:abstractNumId w:val="6"/>
  </w:num>
  <w:num w:numId="24" w16cid:durableId="1776513001">
    <w:abstractNumId w:val="5"/>
  </w:num>
  <w:num w:numId="25" w16cid:durableId="1461268281">
    <w:abstractNumId w:val="4"/>
  </w:num>
  <w:num w:numId="26" w16cid:durableId="1706178813">
    <w:abstractNumId w:val="8"/>
  </w:num>
  <w:num w:numId="27" w16cid:durableId="1611476110">
    <w:abstractNumId w:val="3"/>
  </w:num>
  <w:num w:numId="28" w16cid:durableId="2097556005">
    <w:abstractNumId w:val="2"/>
  </w:num>
  <w:num w:numId="29" w16cid:durableId="1274440058">
    <w:abstractNumId w:val="1"/>
  </w:num>
  <w:num w:numId="30" w16cid:durableId="341006557">
    <w:abstractNumId w:val="0"/>
  </w:num>
  <w:num w:numId="31" w16cid:durableId="1943493426">
    <w:abstractNumId w:val="9"/>
  </w:num>
  <w:num w:numId="32" w16cid:durableId="1385177891">
    <w:abstractNumId w:val="7"/>
  </w:num>
  <w:num w:numId="33" w16cid:durableId="1196190710">
    <w:abstractNumId w:val="6"/>
  </w:num>
  <w:num w:numId="34" w16cid:durableId="450823871">
    <w:abstractNumId w:val="5"/>
  </w:num>
  <w:num w:numId="35" w16cid:durableId="744258159">
    <w:abstractNumId w:val="4"/>
  </w:num>
  <w:num w:numId="36" w16cid:durableId="78870090">
    <w:abstractNumId w:val="8"/>
  </w:num>
  <w:num w:numId="37" w16cid:durableId="1412118476">
    <w:abstractNumId w:val="3"/>
  </w:num>
  <w:num w:numId="38" w16cid:durableId="756632182">
    <w:abstractNumId w:val="2"/>
  </w:num>
  <w:num w:numId="39" w16cid:durableId="1746033177">
    <w:abstractNumId w:val="1"/>
  </w:num>
  <w:num w:numId="40" w16cid:durableId="233777720">
    <w:abstractNumId w:val="0"/>
  </w:num>
  <w:num w:numId="41" w16cid:durableId="1642148611">
    <w:abstractNumId w:val="10"/>
  </w:num>
  <w:num w:numId="42" w16cid:durableId="649946301">
    <w:abstractNumId w:val="10"/>
  </w:num>
  <w:num w:numId="43" w16cid:durableId="341398088">
    <w:abstractNumId w:val="10"/>
  </w:num>
  <w:num w:numId="44" w16cid:durableId="11177487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35/2025"/>
    <w:docVar w:name="dvlangue" w:val="BG"/>
    <w:docVar w:name="dvnumam" w:val="0"/>
    <w:docVar w:name="dvpe" w:val="770.272"/>
    <w:docVar w:name="dvrapporteur" w:val="Докладчик: "/>
    <w:docVar w:name="dvtitre" w:val="Резолюция на Европейския парламент от ... 2025 г. относно нова визия за алиансите на европейски университети(2025/2036(INI))"/>
  </w:docVars>
  <w:rsids>
    <w:rsidRoot w:val="00BF3233"/>
    <w:rsid w:val="00002272"/>
    <w:rsid w:val="00064002"/>
    <w:rsid w:val="000677B9"/>
    <w:rsid w:val="000831BA"/>
    <w:rsid w:val="000A42CC"/>
    <w:rsid w:val="000E7DD9"/>
    <w:rsid w:val="000F6F87"/>
    <w:rsid w:val="0010095E"/>
    <w:rsid w:val="00125B37"/>
    <w:rsid w:val="00187494"/>
    <w:rsid w:val="001C4750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6A8A"/>
    <w:rsid w:val="00471C19"/>
    <w:rsid w:val="004867E3"/>
    <w:rsid w:val="00494A28"/>
    <w:rsid w:val="004C0004"/>
    <w:rsid w:val="004C5D52"/>
    <w:rsid w:val="00504A27"/>
    <w:rsid w:val="0050519A"/>
    <w:rsid w:val="005072A1"/>
    <w:rsid w:val="00514517"/>
    <w:rsid w:val="00545827"/>
    <w:rsid w:val="00560270"/>
    <w:rsid w:val="005C2568"/>
    <w:rsid w:val="005C4501"/>
    <w:rsid w:val="005F1B17"/>
    <w:rsid w:val="006037C0"/>
    <w:rsid w:val="006631B6"/>
    <w:rsid w:val="00680577"/>
    <w:rsid w:val="006F74FA"/>
    <w:rsid w:val="00731ADD"/>
    <w:rsid w:val="00734777"/>
    <w:rsid w:val="007420CD"/>
    <w:rsid w:val="00747932"/>
    <w:rsid w:val="00751A4A"/>
    <w:rsid w:val="00756632"/>
    <w:rsid w:val="00762C74"/>
    <w:rsid w:val="007726A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407C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3233"/>
    <w:rsid w:val="00C03ECD"/>
    <w:rsid w:val="00C05BFE"/>
    <w:rsid w:val="00C23CD4"/>
    <w:rsid w:val="00C276C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EE34F1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F24CAC5"/>
  <w15:chartTrackingRefBased/>
  <w15:docId w15:val="{107E7B4E-3E98-47BA-A364-02B46FA1E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276CB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rsid w:val="00C276CB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">
    <w:name w:val="Bold"/>
    <w:uiPriority w:val="1"/>
    <w:rsid w:val="00C276CB"/>
    <w:rPr>
      <w:b/>
    </w:rPr>
  </w:style>
  <w:style w:type="character" w:customStyle="1" w:styleId="Italic">
    <w:name w:val="Italic"/>
    <w:uiPriority w:val="1"/>
    <w:rsid w:val="00C276CB"/>
    <w:rPr>
      <w:i/>
    </w:rPr>
  </w:style>
  <w:style w:type="paragraph" w:customStyle="1" w:styleId="Normal12a24b">
    <w:name w:val="Normal12a24b"/>
    <w:basedOn w:val="Normal"/>
    <w:rsid w:val="00C276CB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C276CB"/>
    <w:rPr>
      <w:color w:val="0000FF"/>
      <w:u w:val="single"/>
    </w:rPr>
  </w:style>
  <w:style w:type="paragraph" w:styleId="Revision">
    <w:name w:val="Revision"/>
    <w:hidden/>
    <w:uiPriority w:val="99"/>
    <w:semiHidden/>
    <w:rsid w:val="007420CD"/>
    <w:rPr>
      <w:sz w:val="24"/>
      <w:lang w:val="bg-BG"/>
    </w:rPr>
  </w:style>
  <w:style w:type="character" w:styleId="UnresolvedMention">
    <w:name w:val="Unresolved Mention"/>
    <w:basedOn w:val="DefaultParagraphFont"/>
    <w:uiPriority w:val="99"/>
    <w:semiHidden/>
    <w:unhideWhenUsed/>
    <w:rsid w:val="007420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co/2021/2122/oj" TargetMode="External"/><Relationship Id="rId2" Type="http://schemas.openxmlformats.org/officeDocument/2006/relationships/hyperlink" Target="http://data.europa.eu/eli/C/2024/3364/oj" TargetMode="External"/><Relationship Id="rId1" Type="http://schemas.openxmlformats.org/officeDocument/2006/relationships/hyperlink" Target="http://data.europa.eu/eli/reg/2021/817/oj" TargetMode="External"/><Relationship Id="rId4" Type="http://schemas.openxmlformats.org/officeDocument/2006/relationships/hyperlink" Target="https://data.europa.eu/doi/10.2766/323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3890</Words>
  <Characters>24195</Characters>
  <Application>Microsoft Office Word</Application>
  <DocSecurity>0</DocSecurity>
  <Lines>1099</Lines>
  <Paragraphs>585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2025-09-11T13:10:00Z</dcterms:created>
  <dcterms:modified xsi:type="dcterms:W3CDTF">2025-09-11T13:10:00Z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A10-0135/2025</vt:lpwstr>
  </property>
  <property fmtid="{D5CDD505-2E9C-101B-9397-08002B2CF9AE}" pid="4" name="&lt;Type&gt;">
    <vt:lpwstr>RR</vt:lpwstr>
  </property>
</Properties>
</file>