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414A" w14:paraId="363C722B" w14:textId="77777777" w:rsidTr="0010095E">
        <w:trPr>
          <w:trHeight w:hRule="exact" w:val="1418"/>
        </w:trPr>
        <w:tc>
          <w:tcPr>
            <w:tcW w:w="6804" w:type="dxa"/>
            <w:shd w:val="clear" w:color="auto" w:fill="auto"/>
            <w:vAlign w:val="center"/>
          </w:tcPr>
          <w:p w14:paraId="2BF68714" w14:textId="77777777" w:rsidR="00751A4A" w:rsidRPr="00CD414A" w:rsidRDefault="00167F7B" w:rsidP="0010095E">
            <w:pPr>
              <w:pStyle w:val="EPName"/>
            </w:pPr>
            <w:r w:rsidRPr="00CD414A">
              <w:t>Európai Parlament</w:t>
            </w:r>
          </w:p>
          <w:p w14:paraId="2BA8E35B" w14:textId="77777777" w:rsidR="00751A4A" w:rsidRPr="00CD414A" w:rsidRDefault="005F1B17" w:rsidP="005F1B17">
            <w:pPr>
              <w:pStyle w:val="EPTerm"/>
              <w:rPr>
                <w:rStyle w:val="HideTWBExt"/>
                <w:noProof w:val="0"/>
                <w:vanish w:val="0"/>
                <w:color w:val="auto"/>
              </w:rPr>
            </w:pPr>
            <w:r w:rsidRPr="00CD414A">
              <w:t>2024</w:t>
            </w:r>
            <w:r w:rsidR="00817416" w:rsidRPr="00CD414A">
              <w:t>-202</w:t>
            </w:r>
            <w:r w:rsidRPr="00CD414A">
              <w:t>9</w:t>
            </w:r>
          </w:p>
        </w:tc>
        <w:tc>
          <w:tcPr>
            <w:tcW w:w="2268" w:type="dxa"/>
            <w:shd w:val="clear" w:color="auto" w:fill="auto"/>
          </w:tcPr>
          <w:p w14:paraId="0926F2C7" w14:textId="77777777" w:rsidR="00751A4A" w:rsidRPr="00CD414A" w:rsidRDefault="00187494" w:rsidP="0010095E">
            <w:pPr>
              <w:pStyle w:val="EPLogo"/>
            </w:pPr>
            <w:r w:rsidRPr="00CD414A">
              <w:rPr>
                <w:noProof/>
                <w:lang w:eastAsia="ja-JP"/>
              </w:rPr>
              <w:drawing>
                <wp:inline distT="0" distB="0" distL="0" distR="0" wp14:anchorId="7BDD08C8" wp14:editId="69A6EB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F4A61A" w14:textId="77777777" w:rsidR="00D058B8" w:rsidRPr="00CD414A" w:rsidRDefault="00D058B8" w:rsidP="004C5D52">
      <w:pPr>
        <w:pStyle w:val="LineTop"/>
      </w:pPr>
    </w:p>
    <w:p w14:paraId="0F94FC0E" w14:textId="77777777" w:rsidR="00680577" w:rsidRPr="00CD414A" w:rsidRDefault="00167F7B" w:rsidP="00680577">
      <w:pPr>
        <w:pStyle w:val="EPBodyTA1"/>
      </w:pPr>
      <w:r w:rsidRPr="00CD414A">
        <w:t>ELFOGADOTT SZÖVEGEK</w:t>
      </w:r>
    </w:p>
    <w:p w14:paraId="619658EF" w14:textId="77777777" w:rsidR="00D058B8" w:rsidRPr="00CD414A" w:rsidRDefault="00D058B8" w:rsidP="00D058B8">
      <w:pPr>
        <w:pStyle w:val="LineBottom"/>
      </w:pPr>
    </w:p>
    <w:p w14:paraId="5FDEBD56" w14:textId="0BE69501" w:rsidR="00167F7B" w:rsidRPr="00CD414A" w:rsidRDefault="00167F7B" w:rsidP="00167F7B">
      <w:pPr>
        <w:pStyle w:val="ATHeading1"/>
      </w:pPr>
      <w:bookmarkStart w:id="0" w:name="TANumber"/>
      <w:r w:rsidRPr="00CD414A">
        <w:t>P10_TA(2025)</w:t>
      </w:r>
      <w:bookmarkEnd w:id="0"/>
      <w:r w:rsidR="00713287" w:rsidRPr="00CD414A">
        <w:t>0196</w:t>
      </w:r>
    </w:p>
    <w:p w14:paraId="7F127763" w14:textId="27EEEF60" w:rsidR="00167F7B" w:rsidRPr="00CD414A" w:rsidRDefault="00A6681E" w:rsidP="00167F7B">
      <w:pPr>
        <w:pStyle w:val="ATHeading2"/>
      </w:pPr>
      <w:bookmarkStart w:id="1" w:name="title"/>
      <w:r w:rsidRPr="00CD414A">
        <w:rPr>
          <w:bCs/>
        </w:rPr>
        <w:t>Új jövőkép az európai egyetemek szövetségei számára</w:t>
      </w:r>
      <w:bookmarkEnd w:id="1"/>
    </w:p>
    <w:p w14:paraId="027B076E" w14:textId="77777777" w:rsidR="00167F7B" w:rsidRPr="00CD414A" w:rsidRDefault="00167F7B" w:rsidP="00167F7B">
      <w:pPr>
        <w:rPr>
          <w:i/>
          <w:vanish/>
        </w:rPr>
      </w:pPr>
      <w:r w:rsidRPr="00CD414A">
        <w:rPr>
          <w:i/>
        </w:rPr>
        <w:fldChar w:fldCharType="begin"/>
      </w:r>
      <w:r w:rsidRPr="00CD414A">
        <w:rPr>
          <w:i/>
        </w:rPr>
        <w:instrText xml:space="preserve"> TC"(</w:instrText>
      </w:r>
      <w:bookmarkStart w:id="2" w:name="DocNumber"/>
      <w:r w:rsidRPr="00CD414A">
        <w:rPr>
          <w:i/>
        </w:rPr>
        <w:instrText>A10-0135/2025</w:instrText>
      </w:r>
      <w:bookmarkEnd w:id="2"/>
      <w:r w:rsidRPr="00CD414A">
        <w:rPr>
          <w:i/>
        </w:rPr>
        <w:instrText xml:space="preserve"> - Előadó: Laurence Farreng)"\l3 \n&gt; \* MERGEFORMAT </w:instrText>
      </w:r>
      <w:r w:rsidRPr="00CD414A">
        <w:rPr>
          <w:i/>
        </w:rPr>
        <w:fldChar w:fldCharType="end"/>
      </w:r>
    </w:p>
    <w:p w14:paraId="44D8C12E" w14:textId="77777777" w:rsidR="00167F7B" w:rsidRPr="00CD414A" w:rsidRDefault="00167F7B" w:rsidP="00167F7B">
      <w:pPr>
        <w:rPr>
          <w:vanish/>
        </w:rPr>
      </w:pPr>
      <w:bookmarkStart w:id="3" w:name="Commission"/>
      <w:r w:rsidRPr="00CD414A">
        <w:rPr>
          <w:vanish/>
        </w:rPr>
        <w:t>Kulturális és Oktatási Bizottság</w:t>
      </w:r>
      <w:bookmarkEnd w:id="3"/>
    </w:p>
    <w:p w14:paraId="4A77E0B9" w14:textId="77777777" w:rsidR="00167F7B" w:rsidRPr="00CD414A" w:rsidRDefault="00167F7B" w:rsidP="00167F7B">
      <w:pPr>
        <w:rPr>
          <w:vanish/>
        </w:rPr>
      </w:pPr>
      <w:bookmarkStart w:id="4" w:name="PE"/>
      <w:r w:rsidRPr="00CD414A">
        <w:rPr>
          <w:vanish/>
        </w:rPr>
        <w:t>PE770.272</w:t>
      </w:r>
      <w:bookmarkEnd w:id="4"/>
    </w:p>
    <w:p w14:paraId="73F4EFF9" w14:textId="599AE1C5" w:rsidR="00167F7B" w:rsidRPr="00CD414A" w:rsidRDefault="00167F7B" w:rsidP="00167F7B">
      <w:pPr>
        <w:pStyle w:val="ATHeading3"/>
      </w:pPr>
      <w:bookmarkStart w:id="5" w:name="Sujet"/>
      <w:r w:rsidRPr="00CD414A">
        <w:t xml:space="preserve">Az Európai Parlament 2025. </w:t>
      </w:r>
      <w:r w:rsidR="00A6681E" w:rsidRPr="00CD414A">
        <w:t>szeptember</w:t>
      </w:r>
      <w:r w:rsidRPr="00CD414A">
        <w:t xml:space="preserve"> </w:t>
      </w:r>
      <w:r w:rsidR="00A6681E" w:rsidRPr="00CD414A">
        <w:t>11</w:t>
      </w:r>
      <w:r w:rsidRPr="00CD414A">
        <w:t>-i állásfoglalása az európai egyetemi szövetségek új jövőképéről</w:t>
      </w:r>
      <w:bookmarkEnd w:id="5"/>
      <w:r w:rsidRPr="00CD414A">
        <w:t xml:space="preserve"> </w:t>
      </w:r>
      <w:bookmarkStart w:id="6" w:name="References"/>
      <w:r w:rsidRPr="00CD414A">
        <w:t>(2025/2036(INI))</w:t>
      </w:r>
      <w:bookmarkEnd w:id="6"/>
    </w:p>
    <w:p w14:paraId="6E5C17F3" w14:textId="77777777" w:rsidR="00421132" w:rsidRPr="00CD414A" w:rsidRDefault="00421132" w:rsidP="00421132">
      <w:pPr>
        <w:pStyle w:val="EPComma"/>
      </w:pPr>
      <w:r w:rsidRPr="00CD414A">
        <w:rPr>
          <w:rStyle w:val="Italic"/>
        </w:rPr>
        <w:t>Az Európai Parlament</w:t>
      </w:r>
      <w:r w:rsidRPr="00CD414A">
        <w:t>,</w:t>
      </w:r>
    </w:p>
    <w:p w14:paraId="5E0FBD76" w14:textId="77777777" w:rsidR="00421132" w:rsidRPr="00CD414A" w:rsidRDefault="00421132" w:rsidP="0047294C">
      <w:pPr>
        <w:pStyle w:val="NormalHanging12a"/>
      </w:pPr>
      <w:r w:rsidRPr="00CD414A">
        <w:t>–</w:t>
      </w:r>
      <w:r w:rsidRPr="00CD414A">
        <w:tab/>
        <w:t>tekintettel az Európai Unió Alapjogi Chartájára, különösen a művészet és a tudomány szabadságáról és az oktatáshoz való jogról szóló 13. és 14. cikkre,</w:t>
      </w:r>
    </w:p>
    <w:p w14:paraId="1CE43F32" w14:textId="25855270" w:rsidR="00421132" w:rsidRPr="00CD414A" w:rsidRDefault="00421132" w:rsidP="0047294C">
      <w:pPr>
        <w:pStyle w:val="NormalHanging12a"/>
      </w:pPr>
      <w:r w:rsidRPr="00CD414A">
        <w:t>–</w:t>
      </w:r>
      <w:r w:rsidRPr="00CD414A">
        <w:tab/>
        <w:t>tekintettel az Erasmus+ elnevezésű uniós oktatási és képzési, ifjúsági és sportprogram létrehozásáról és az 1288/2013/EU rendelet hatályon kívül helyezéséről szóló, 2021. május</w:t>
      </w:r>
      <w:r w:rsidR="00223F41" w:rsidRPr="00CD414A">
        <w:t xml:space="preserve"> 20-</w:t>
      </w:r>
      <w:r w:rsidRPr="00CD414A">
        <w:t>i (EU) 2021/817 európai parlamenti és tanácsi rendeletre</w:t>
      </w:r>
      <w:r w:rsidRPr="00CD414A">
        <w:rPr>
          <w:rStyle w:val="FootnoteReference"/>
        </w:rPr>
        <w:footnoteReference w:id="1"/>
      </w:r>
      <w:r w:rsidRPr="00CD414A">
        <w:t>,</w:t>
      </w:r>
    </w:p>
    <w:p w14:paraId="7B592725" w14:textId="77777777" w:rsidR="00421132" w:rsidRPr="00CD414A" w:rsidRDefault="00421132" w:rsidP="0047294C">
      <w:pPr>
        <w:pStyle w:val="NormalHanging12a"/>
      </w:pPr>
      <w:r w:rsidRPr="00CD414A">
        <w:t>–</w:t>
      </w:r>
      <w:r w:rsidRPr="00CD414A">
        <w:tab/>
        <w:t>tekintettel a Kulturális és Oktatási Bizottsága számára „EU funding programmes 2021-2027 in culture, media, education, youth and sports: first lessons, challenges and future perspectives – Erasmus+” [Uniós finanszírozási programok a 2021–2027-es időszakban a kultúra, a média, az oktatás, az ifjúság és a sport területén: az első tanulságok, kihívások és jövőbeli kilátások – Erasmus+] címmel készített 2023. szeptember 11-i tanulmányra,</w:t>
      </w:r>
    </w:p>
    <w:p w14:paraId="263FA94F" w14:textId="77777777" w:rsidR="00421132" w:rsidRPr="00CD414A" w:rsidRDefault="00421132" w:rsidP="0047294C">
      <w:pPr>
        <w:pStyle w:val="NormalHanging12a"/>
      </w:pPr>
      <w:r w:rsidRPr="00CD414A">
        <w:t>–</w:t>
      </w:r>
      <w:r w:rsidRPr="00CD414A">
        <w:tab/>
        <w:t>tekintettel a Kulturális és Oktatási Bizottsága számára „Early implementation of four 2021-2027 EU programmes: Erasmus+, Creative Europe, European Solidarity Corps and Citizens, Equality, Rights and Values (Strand 3)” [Négy 2021–2027-es időszakra szóló uniós program korai végrehajtása: az Erasmus+, a Kreatív Európa, az Európai Szolidaritási Testület és a Polgárok, egyenlőség, jogok és értékek program (3. ág)] címmel készített 2023. július 20-i tanulmányra,</w:t>
      </w:r>
    </w:p>
    <w:p w14:paraId="734F00B5" w14:textId="77777777" w:rsidR="00421132" w:rsidRPr="00CD414A" w:rsidRDefault="00421132" w:rsidP="0047294C">
      <w:pPr>
        <w:pStyle w:val="NormalHanging12a"/>
      </w:pPr>
      <w:r w:rsidRPr="00CD414A">
        <w:t>–</w:t>
      </w:r>
      <w:r w:rsidRPr="00CD414A">
        <w:tab/>
        <w:t>tekintettel „az »Európai Egyetemek« kezdeményezésről – A felsőoktatás, a kutatás, az innováció és a társadalom összekapcsolása: új dimenziókat nyitunk az európai felsőoktatásban” című, 2021. május 17-i tanácsi következtetésekre,</w:t>
      </w:r>
    </w:p>
    <w:p w14:paraId="38DB04C2" w14:textId="77777777" w:rsidR="00421132" w:rsidRPr="00CD414A" w:rsidRDefault="00421132" w:rsidP="0047294C">
      <w:pPr>
        <w:pStyle w:val="NormalHanging12a"/>
      </w:pPr>
      <w:r w:rsidRPr="00CD414A">
        <w:t>–</w:t>
      </w:r>
      <w:r w:rsidRPr="00CD414A">
        <w:tab/>
        <w:t>tekintettel a Tanács 2017. december 14–15-i következtetéseire,</w:t>
      </w:r>
    </w:p>
    <w:p w14:paraId="45525A9F" w14:textId="77777777" w:rsidR="00421132" w:rsidRPr="00CD414A" w:rsidRDefault="00421132" w:rsidP="0047294C">
      <w:pPr>
        <w:pStyle w:val="NormalHanging12a"/>
      </w:pPr>
      <w:r w:rsidRPr="00CD414A">
        <w:lastRenderedPageBreak/>
        <w:t>–</w:t>
      </w:r>
      <w:r w:rsidRPr="00CD414A">
        <w:tab/>
        <w:t>tekintettel a Tanácsnak az európai oktatási térség létrehozásának lépéseiről szóló, 2018. június 7-i következtetéseire,</w:t>
      </w:r>
    </w:p>
    <w:p w14:paraId="036B5EEE" w14:textId="77777777" w:rsidR="00421132" w:rsidRPr="00CD414A" w:rsidRDefault="00421132" w:rsidP="0047294C">
      <w:pPr>
        <w:pStyle w:val="NormalHanging12a"/>
      </w:pPr>
      <w:r w:rsidRPr="00CD414A">
        <w:t>–</w:t>
      </w:r>
      <w:r w:rsidRPr="00CD414A">
        <w:tab/>
        <w:t>tekintettel az európai oktatási térségnek a jövőorientált oktatási és képzési rendszerek támogatása érdekében történő továbbfejlesztéséről szóló, 2019. november 18-i tanácsi állásfoglalásra</w:t>
      </w:r>
      <w:r w:rsidRPr="00CD414A">
        <w:rPr>
          <w:rStyle w:val="FootnoteReference"/>
        </w:rPr>
        <w:footnoteReference w:id="2"/>
      </w:r>
      <w:r w:rsidRPr="00CD414A">
        <w:t>,</w:t>
      </w:r>
    </w:p>
    <w:p w14:paraId="492589C8" w14:textId="77777777" w:rsidR="00421132" w:rsidRPr="00CD414A" w:rsidRDefault="00421132" w:rsidP="0047294C">
      <w:pPr>
        <w:pStyle w:val="NormalHanging12a"/>
      </w:pPr>
      <w:r w:rsidRPr="00CD414A">
        <w:t>–</w:t>
      </w:r>
      <w:r w:rsidRPr="00CD414A">
        <w:tab/>
        <w:t>tekintettel a felnőttkori tanulásra vonatkozó új európai cselekvési programról (2021–2030) szóló, 2021. november 29-i tanácsi állásfoglalásra</w:t>
      </w:r>
      <w:r w:rsidRPr="00CD414A">
        <w:rPr>
          <w:rStyle w:val="FootnoteReference"/>
        </w:rPr>
        <w:footnoteReference w:id="3"/>
      </w:r>
      <w:r w:rsidRPr="00CD414A">
        <w:t>,</w:t>
      </w:r>
    </w:p>
    <w:p w14:paraId="402395C6" w14:textId="77777777" w:rsidR="00421132" w:rsidRPr="00CD414A" w:rsidRDefault="00421132" w:rsidP="0047294C">
      <w:pPr>
        <w:pStyle w:val="NormalHanging12a"/>
      </w:pPr>
      <w:r w:rsidRPr="00CD414A">
        <w:t>–</w:t>
      </w:r>
      <w:r w:rsidRPr="00CD414A">
        <w:tab/>
        <w:t>tekintettel a Tanács 2024. május 13-i „»Európa mozgásban« csomag – tanulási célú mobilitási lehetőségek mindenki számára” című ajánlására</w:t>
      </w:r>
      <w:r w:rsidRPr="00CD414A">
        <w:rPr>
          <w:rStyle w:val="FootnoteReference"/>
        </w:rPr>
        <w:footnoteReference w:id="4"/>
      </w:r>
      <w:r w:rsidRPr="00CD414A">
        <w:t>,</w:t>
      </w:r>
    </w:p>
    <w:p w14:paraId="303597C9" w14:textId="11388A78" w:rsidR="00421132" w:rsidRPr="00CD414A" w:rsidRDefault="00421132" w:rsidP="0047294C">
      <w:pPr>
        <w:pStyle w:val="NormalHanging12a"/>
      </w:pPr>
      <w:r w:rsidRPr="00CD414A">
        <w:t>–</w:t>
      </w:r>
      <w:r w:rsidRPr="00CD414A">
        <w:tab/>
        <w:t>tekintettel az Európai Kutatási Térség szakpolitikai menetrendjéről (2025–2027) szóló, 2025. február 28-i tanácsi ajánlásra irányuló bizottsági javaslatra (COM(2025)0062),</w:t>
      </w:r>
    </w:p>
    <w:p w14:paraId="130CBF1B" w14:textId="77777777" w:rsidR="00421132" w:rsidRPr="00CD414A" w:rsidRDefault="00421132" w:rsidP="0047294C">
      <w:pPr>
        <w:pStyle w:val="NormalHanging12a"/>
      </w:pPr>
      <w:r w:rsidRPr="00CD414A">
        <w:t>–</w:t>
      </w:r>
      <w:r w:rsidRPr="00CD414A">
        <w:tab/>
        <w:t>tekintettel az európai kutatási és innovációs paktumról szóló, 2021. november 26-i (EU) 2021/2122 tanácsi ajánlásra</w:t>
      </w:r>
      <w:r w:rsidRPr="00CD414A">
        <w:rPr>
          <w:rStyle w:val="FootnoteReference"/>
        </w:rPr>
        <w:footnoteReference w:id="5"/>
      </w:r>
      <w:r w:rsidRPr="00CD414A">
        <w:t>,</w:t>
      </w:r>
    </w:p>
    <w:p w14:paraId="6B0C346A" w14:textId="56C15AFE" w:rsidR="00421132" w:rsidRPr="00CD414A" w:rsidRDefault="00421132" w:rsidP="0047294C">
      <w:pPr>
        <w:pStyle w:val="NormalHanging12a"/>
      </w:pPr>
      <w:r w:rsidRPr="00CD414A">
        <w:t>–</w:t>
      </w:r>
      <w:r w:rsidRPr="00CD414A">
        <w:tab/>
        <w:t>tekintettel az európai egyetemi stratégiáról szóló, 2022. január 18-i bizottsági közleményre (COM(202</w:t>
      </w:r>
      <w:r w:rsidR="00971077">
        <w:t>2</w:t>
      </w:r>
      <w:r w:rsidRPr="00CD414A">
        <w:t>)0016),</w:t>
      </w:r>
    </w:p>
    <w:p w14:paraId="4E43BCE5" w14:textId="77777777" w:rsidR="00421132" w:rsidRPr="00CD414A" w:rsidRDefault="00421132" w:rsidP="0047294C">
      <w:pPr>
        <w:pStyle w:val="NormalHanging12a"/>
      </w:pPr>
      <w:r w:rsidRPr="00CD414A">
        <w:t>–</w:t>
      </w:r>
      <w:r w:rsidRPr="00CD414A">
        <w:tab/>
        <w:t>tekintettel az európai egyetemi szövetségek projektjeinek bevált gyakorlatairól (Pilot II) szóló, 2024. április 15-i bizottsági jelentésre,</w:t>
      </w:r>
    </w:p>
    <w:p w14:paraId="17B276BC" w14:textId="77777777" w:rsidR="00421132" w:rsidRPr="00CD414A" w:rsidRDefault="00421132" w:rsidP="0047294C">
      <w:pPr>
        <w:pStyle w:val="NormalHanging12a"/>
      </w:pPr>
      <w:r w:rsidRPr="00CD414A">
        <w:t>–</w:t>
      </w:r>
      <w:r w:rsidRPr="00CD414A">
        <w:tab/>
        <w:t>tekintettel az „Európai Egyetemek” kezdeményezés eredményeiről és a benne rejlő átalakító hatásról szóló bizottsági jelentésre</w:t>
      </w:r>
      <w:r w:rsidRPr="00CD414A">
        <w:rPr>
          <w:rStyle w:val="FootnoteReference"/>
        </w:rPr>
        <w:footnoteReference w:id="6"/>
      </w:r>
      <w:r w:rsidRPr="00CD414A">
        <w:t>,</w:t>
      </w:r>
    </w:p>
    <w:p w14:paraId="3481C019" w14:textId="7EB2E9C0" w:rsidR="00421132" w:rsidRPr="00CD414A" w:rsidRDefault="00421132" w:rsidP="0047294C">
      <w:pPr>
        <w:pStyle w:val="NormalHanging12a"/>
      </w:pPr>
      <w:r w:rsidRPr="00CD414A">
        <w:t>–</w:t>
      </w:r>
      <w:r w:rsidRPr="00CD414A">
        <w:tab/>
        <w:t>tekintettel a közös európai diploma tervezetéről szóló, 2024. má</w:t>
      </w:r>
      <w:r w:rsidR="00971077">
        <w:t>rci</w:t>
      </w:r>
      <w:r w:rsidRPr="00CD414A">
        <w:t>us 27-i bizottsági közleményre (COM(2024)0144),</w:t>
      </w:r>
    </w:p>
    <w:p w14:paraId="70B34297" w14:textId="70D03204" w:rsidR="00421132" w:rsidRPr="00CD414A" w:rsidRDefault="00421132" w:rsidP="0047294C">
      <w:pPr>
        <w:pStyle w:val="NormalHanging12a"/>
      </w:pPr>
      <w:r w:rsidRPr="00CD414A">
        <w:t>–</w:t>
      </w:r>
      <w:r w:rsidRPr="00CD414A">
        <w:tab/>
        <w:t>tekintettel a COM(2024)0144 bizottsági közleményt kísérő, 2024. március 27-i bizottsági szolgálati munkadokumentumra (SWD(2024)0074), az európai felsőoktatási minőségbiztosítási és elismerési rendszerről szóló tanácsi ajánlásra irányuló, 2024. március 27-i bizottsági javaslatra (COM(2024)0147) és a vonzó és fenntartható felsőoktatási életpályákról szóló tanácsi ajánlásra irányuló, 2024. március 27-i bizottsági javaslatra (COM(2024)0145),</w:t>
      </w:r>
    </w:p>
    <w:p w14:paraId="280E8DF2" w14:textId="77777777" w:rsidR="00421132" w:rsidRPr="00CD414A" w:rsidRDefault="00421132" w:rsidP="0047294C">
      <w:pPr>
        <w:pStyle w:val="NormalHanging12a"/>
      </w:pPr>
      <w:r w:rsidRPr="00CD414A">
        <w:t>–</w:t>
      </w:r>
      <w:r w:rsidRPr="00CD414A">
        <w:tab/>
        <w:t>tekintettel a „Jelentés az Erasmus+ szakpolitikai kísérleti projektek végeredményeiről: európai diploma (cím) és intézményesített uniós együttműködési eszközök” című, 2024. december 19-i, bizottsági szolgálati munkadokumentumra (SWD(2024)0291),</w:t>
      </w:r>
    </w:p>
    <w:p w14:paraId="516856C1" w14:textId="5D777517" w:rsidR="00421132" w:rsidRPr="00CD414A" w:rsidRDefault="00421132" w:rsidP="0047294C">
      <w:pPr>
        <w:pStyle w:val="NormalHanging12a"/>
      </w:pPr>
      <w:r w:rsidRPr="00CD414A">
        <w:lastRenderedPageBreak/>
        <w:t>–</w:t>
      </w:r>
      <w:r w:rsidRPr="00CD414A">
        <w:tab/>
        <w:t>tekintettel „A készségek uniója” című, 2025. március 5-i bizottsági közleményre (COM(2025)0090),</w:t>
      </w:r>
    </w:p>
    <w:p w14:paraId="2AD4FBC9" w14:textId="3A7F4852" w:rsidR="00421132" w:rsidRPr="00CD414A" w:rsidRDefault="00421132" w:rsidP="0047294C">
      <w:pPr>
        <w:pStyle w:val="NormalHanging12a"/>
      </w:pPr>
      <w:r w:rsidRPr="00CD414A">
        <w:t>–</w:t>
      </w:r>
      <w:r w:rsidRPr="00CD414A">
        <w:tab/>
        <w:t>tekintettel „A STEM oktatási stratégiai terv: a versenyképességet és az innovációt támogató készségek” című, 2025. március 5-i bizottsági közleményre (COM(2025)0089),</w:t>
      </w:r>
    </w:p>
    <w:p w14:paraId="47CC2769" w14:textId="77777777" w:rsidR="00421132" w:rsidRPr="00CD414A" w:rsidRDefault="00421132" w:rsidP="0047294C">
      <w:pPr>
        <w:pStyle w:val="NormalHanging12a"/>
      </w:pPr>
      <w:r w:rsidRPr="00CD414A">
        <w:t>–</w:t>
      </w:r>
      <w:r w:rsidRPr="00CD414A">
        <w:tab/>
        <w:t>tekintettel az európai oktatási térség 2023-as félidős értékelésére,</w:t>
      </w:r>
    </w:p>
    <w:p w14:paraId="7E10B55E" w14:textId="77777777" w:rsidR="00421132" w:rsidRPr="00CD414A" w:rsidRDefault="00421132" w:rsidP="0047294C">
      <w:pPr>
        <w:pStyle w:val="NormalHanging12a"/>
      </w:pPr>
      <w:r w:rsidRPr="00CD414A">
        <w:t>–</w:t>
      </w:r>
      <w:r w:rsidRPr="00CD414A">
        <w:tab/>
        <w:t>tekintettel az európai felsőoktatási térség miniszteri szintű konferenciáján elfogadott, 2020. november 19-i római miniszteri közleményre,</w:t>
      </w:r>
    </w:p>
    <w:p w14:paraId="620AC943" w14:textId="77777777" w:rsidR="00421132" w:rsidRPr="00CD414A" w:rsidRDefault="00421132" w:rsidP="0047294C">
      <w:pPr>
        <w:pStyle w:val="NormalHanging12a"/>
      </w:pPr>
      <w:r w:rsidRPr="00CD414A">
        <w:t>–</w:t>
      </w:r>
      <w:r w:rsidRPr="00CD414A">
        <w:tab/>
        <w:t>tekintettel a bolognai folyamat nyomonkövetési csoportjának a 2021–2024 közötti időszak szociális dimenziójával foglalkozó munkacsoportja által 2024. január 9-én közzétett, a felsőoktatás szociális dimenziójára vonatkozó elvekre, iránymutatásokra és mutatókra,</w:t>
      </w:r>
    </w:p>
    <w:p w14:paraId="52D801C1" w14:textId="77777777" w:rsidR="00421132" w:rsidRPr="00CD414A" w:rsidRDefault="00421132" w:rsidP="0047294C">
      <w:pPr>
        <w:pStyle w:val="NormalHanging12a"/>
      </w:pPr>
      <w:r w:rsidRPr="00CD414A">
        <w:t>–</w:t>
      </w:r>
      <w:r w:rsidRPr="00CD414A">
        <w:tab/>
        <w:t>tekintettel Enrico Letta „Much more than a market – Speed, Security, Solidarity – Empowering the Single Market to deliver a sustainable future and prosperity for all EU Citizens” [Jóval több mint piac – Sebesség, biztonság, szolidaritás: az egységes piac megerősítése a fenntartható jövő és az uniós polgárok jólétének megteremtése érdekében] című, 2024. áprilisban kiadott független magas szintű, az egységes piac jövőjéről szóló jelentésére,</w:t>
      </w:r>
    </w:p>
    <w:p w14:paraId="43C830F7" w14:textId="77777777" w:rsidR="00421132" w:rsidRPr="00CD414A" w:rsidRDefault="00421132" w:rsidP="0047294C">
      <w:pPr>
        <w:pStyle w:val="NormalHanging12a"/>
      </w:pPr>
      <w:r w:rsidRPr="00CD414A">
        <w:t>–</w:t>
      </w:r>
      <w:r w:rsidRPr="00CD414A">
        <w:tab/>
        <w:t>tekintettel Mario Draghi „Az európai versenyképesség jövője” című, 2024 szeptemberében közzétett jelentésére,</w:t>
      </w:r>
    </w:p>
    <w:p w14:paraId="720B4420" w14:textId="77777777" w:rsidR="00421132" w:rsidRPr="00CD414A" w:rsidRDefault="00421132" w:rsidP="0047294C">
      <w:pPr>
        <w:pStyle w:val="NormalHanging12a"/>
      </w:pPr>
      <w:r w:rsidRPr="00CD414A">
        <w:t>–</w:t>
      </w:r>
      <w:r w:rsidRPr="00CD414A">
        <w:tab/>
        <w:t>tekintettel a Manuel Heitor által elnökölt független szakértői csoportnak a kutatásról és innovációról szóló, 2024. októberi „Align, act, accelerate – Research, technology and innovation to boost Europe competitiveness [Igazodás, fellépés, gyorsítás – Kutatás, technológia és innováció az európai versenyképesség fellendítése érdekében]” című jelentésére,</w:t>
      </w:r>
    </w:p>
    <w:p w14:paraId="35417C02" w14:textId="77777777" w:rsidR="00421132" w:rsidRPr="00CD414A" w:rsidRDefault="00421132" w:rsidP="0047294C">
      <w:pPr>
        <w:pStyle w:val="NormalHanging12a"/>
      </w:pPr>
      <w:r w:rsidRPr="00CD414A">
        <w:t>–</w:t>
      </w:r>
      <w:r w:rsidRPr="00CD414A">
        <w:tab/>
        <w:t>tekintettel az Erasmus+ program keretében az integrációs intézkedések végrehajtásáról (2014–2020) szóló, 2022. június 23-i állásfoglalására</w:t>
      </w:r>
      <w:r w:rsidRPr="00CD414A">
        <w:rPr>
          <w:rStyle w:val="FootnoteReference"/>
        </w:rPr>
        <w:footnoteReference w:id="7"/>
      </w:r>
      <w:r w:rsidRPr="00CD414A">
        <w:t>,</w:t>
      </w:r>
    </w:p>
    <w:p w14:paraId="2C3F2049" w14:textId="77777777" w:rsidR="00421132" w:rsidRPr="00CD414A" w:rsidRDefault="00421132" w:rsidP="0047294C">
      <w:pPr>
        <w:pStyle w:val="NormalHanging12a"/>
      </w:pPr>
      <w:r w:rsidRPr="00CD414A">
        <w:t>–</w:t>
      </w:r>
      <w:r w:rsidRPr="00CD414A">
        <w:tab/>
        <w:t>tekintettel az Erasmus+, a Kreatív Európa és az Európai Szolidaritási Testület környezetbarátabbá tételét célzó hatékony intézkedésekről szóló, 2020. szeptember 15-i állásfoglalására</w:t>
      </w:r>
      <w:r w:rsidRPr="00CD414A">
        <w:rPr>
          <w:rStyle w:val="FootnoteReference"/>
        </w:rPr>
        <w:footnoteReference w:id="8"/>
      </w:r>
      <w:r w:rsidRPr="00CD414A">
        <w:t>,</w:t>
      </w:r>
    </w:p>
    <w:p w14:paraId="0CC655E8" w14:textId="77777777" w:rsidR="00421132" w:rsidRPr="00CD414A" w:rsidRDefault="00421132" w:rsidP="0047294C">
      <w:pPr>
        <w:pStyle w:val="NormalHanging12a"/>
      </w:pPr>
      <w:r w:rsidRPr="00CD414A">
        <w:t>–</w:t>
      </w:r>
      <w:r w:rsidRPr="00CD414A">
        <w:tab/>
        <w:t>tekintettel „Az európai oktatási térség 2025-ig történő létrehozásáról – mikrotanúsítványok, egyéni tanulmányi nyilvántartás és tanulás a fenntartható környezetért” című, 2022. május 19-i állásfoglalására</w:t>
      </w:r>
      <w:r w:rsidRPr="00CD414A">
        <w:rPr>
          <w:rStyle w:val="FootnoteReference"/>
        </w:rPr>
        <w:footnoteReference w:id="9"/>
      </w:r>
      <w:r w:rsidRPr="00CD414A">
        <w:t>,</w:t>
      </w:r>
    </w:p>
    <w:p w14:paraId="2FDA6067" w14:textId="77777777" w:rsidR="00421132" w:rsidRPr="00CD414A" w:rsidRDefault="00421132" w:rsidP="0047294C">
      <w:pPr>
        <w:pStyle w:val="NormalHanging12a"/>
      </w:pPr>
      <w:r w:rsidRPr="00CD414A">
        <w:t>–</w:t>
      </w:r>
      <w:r w:rsidRPr="00CD414A">
        <w:tab/>
        <w:t>tekintettel eljárási szabályzata 55. cikkére,</w:t>
      </w:r>
    </w:p>
    <w:p w14:paraId="67B10EF4" w14:textId="77777777" w:rsidR="00421132" w:rsidRPr="00CD414A" w:rsidRDefault="00421132" w:rsidP="0047294C">
      <w:pPr>
        <w:pStyle w:val="NormalHanging12a"/>
      </w:pPr>
      <w:r w:rsidRPr="00CD414A">
        <w:t>–</w:t>
      </w:r>
      <w:r w:rsidRPr="00CD414A">
        <w:tab/>
        <w:t>tekintettel a Kulturális és Oktatási Bizottság jelentésére (A10-0135/2025),</w:t>
      </w:r>
    </w:p>
    <w:p w14:paraId="0E97A80C" w14:textId="77777777" w:rsidR="00421132" w:rsidRPr="00CD414A" w:rsidRDefault="00421132" w:rsidP="0047294C">
      <w:pPr>
        <w:pStyle w:val="NormalHanging12a"/>
      </w:pPr>
      <w:r w:rsidRPr="00CD414A">
        <w:lastRenderedPageBreak/>
        <w:t>A.</w:t>
      </w:r>
      <w:r w:rsidRPr="00CD414A">
        <w:tab/>
        <w:t>mivel az európai uniós stratégiai autonómia megvalósításának, az uniós értékek előmozdításának</w:t>
      </w:r>
      <w:r w:rsidRPr="00CD414A">
        <w:rPr>
          <w:rStyle w:val="FootnoteReference"/>
        </w:rPr>
        <w:footnoteReference w:id="10"/>
      </w:r>
      <w:r w:rsidRPr="00CD414A">
        <w:t>, a tehetségek vonzása és megtartása révén a készséghiány elleni küzdelemnek és a versenyképességnek a világ vezető egyetemeivel való, a humán tőke, a reziliencia és a jólét fejlesztésén alapuló előmozdításának előfeltétele a minőségi oktatás és képzés, valamint az egyetemi együttműködés;</w:t>
      </w:r>
    </w:p>
    <w:p w14:paraId="6B167C12" w14:textId="77777777" w:rsidR="00421132" w:rsidRPr="00CD414A" w:rsidRDefault="00421132" w:rsidP="0047294C">
      <w:pPr>
        <w:pStyle w:val="NormalHanging12a"/>
      </w:pPr>
      <w:r w:rsidRPr="00CD414A">
        <w:t>B.</w:t>
      </w:r>
      <w:r w:rsidRPr="00CD414A">
        <w:tab/>
        <w:t>mivel Mario Draghi az európai versenyképesség jövőjéről szóló jelentésében, Enrico Letta az egységes piac jövőjéről szóló jelentésében és Manuel Heitor a Horizont Európa időközi értékeléséről szóló jelentésében hangsúlyozta a tudományos élet és az egyetemek fontosságát egy versenyképes, reziliens és autonóm Európai Unió szempontjából;</w:t>
      </w:r>
    </w:p>
    <w:p w14:paraId="58A2A2B8" w14:textId="77777777" w:rsidR="00421132" w:rsidRPr="00CD414A" w:rsidRDefault="00421132" w:rsidP="0047294C">
      <w:pPr>
        <w:pStyle w:val="NormalHanging12a"/>
      </w:pPr>
      <w:r w:rsidRPr="00CD414A">
        <w:t>C.</w:t>
      </w:r>
      <w:r w:rsidRPr="00CD414A">
        <w:tab/>
        <w:t>mivel az uniós felsőoktatás és kutatás széttagoltsága aláássa az EU azon képességét, hogy megvédje szuverenitását, előmozdítsa értékeit és érvényesítse globális befolyását; mivel a fokozottabb integráció megerősítheti az EU stratégiai pozícióját;</w:t>
      </w:r>
    </w:p>
    <w:p w14:paraId="72494123" w14:textId="77777777" w:rsidR="00421132" w:rsidRPr="00CD414A" w:rsidRDefault="00421132" w:rsidP="0047294C">
      <w:pPr>
        <w:pStyle w:val="NormalHanging12a"/>
      </w:pPr>
      <w:r w:rsidRPr="00CD414A">
        <w:t>D.</w:t>
      </w:r>
      <w:r w:rsidRPr="00CD414A">
        <w:tab/>
        <w:t>mivel a versenyképességi iránytű a magas színvonalú oktatás, képzés és az egész életen át tartó tanulás fontosságát hangsúlyozza a készséghiány és a munkaerőhiány pótlása érdekében;</w:t>
      </w:r>
    </w:p>
    <w:p w14:paraId="7F54C2D0" w14:textId="77777777" w:rsidR="00421132" w:rsidRPr="00CD414A" w:rsidRDefault="00421132" w:rsidP="0047294C">
      <w:pPr>
        <w:pStyle w:val="NormalHanging12a"/>
      </w:pPr>
      <w:r w:rsidRPr="00CD414A">
        <w:t>E.</w:t>
      </w:r>
      <w:r w:rsidRPr="00CD414A">
        <w:tab/>
        <w:t>mivel az Erasmus+ az EU kiemelt programja, amely az oktatást, a képzést, az ifjúságot és a sportot támogatja Európában és nemzetközi szinten is, miközben elősegíti a mobilitást és a tudományos együttműködést; mivel az Erasmus+ és más meglévő uniós programok, például a Horizont Európa közötti szorosabb együttműködés elősegítené e célok elérését, miközben előmozdítaná a felsőoktatással kapcsolatos átfogóbb megközelítést;</w:t>
      </w:r>
    </w:p>
    <w:p w14:paraId="71C2A35D" w14:textId="77777777" w:rsidR="00421132" w:rsidRPr="00CD414A" w:rsidRDefault="00421132" w:rsidP="0047294C">
      <w:pPr>
        <w:pStyle w:val="NormalHanging12a"/>
      </w:pPr>
      <w:r w:rsidRPr="00CD414A">
        <w:t>F.</w:t>
      </w:r>
      <w:r w:rsidRPr="00CD414A">
        <w:tab/>
        <w:t>mivel az európai egyetemi szövetségek többdimenziós célt szolgálnak, kezdve a közös tantervek kidolgozásától egészen az erős európai dimenzióval rendelkező, egyetemek közötti kampuszok létrehozásáig, amelyek előmozdítják a hallgatók, az élethosszig tanulók és a kutatók, valamint a tudományos és nem tudományos személyzet mobilitását, valamint előidézik a tagállamok és a részt vevő országok felsőoktatási rendszerében további, átalakító erejű változásokat egy valóban versenyképes európai oktatási térség érdekében;</w:t>
      </w:r>
    </w:p>
    <w:p w14:paraId="53022616" w14:textId="77777777" w:rsidR="00421132" w:rsidRPr="00CD414A" w:rsidRDefault="00421132" w:rsidP="0047294C">
      <w:pPr>
        <w:pStyle w:val="NormalHanging12a"/>
      </w:pPr>
      <w:r w:rsidRPr="00CD414A">
        <w:t>G.</w:t>
      </w:r>
      <w:r w:rsidRPr="00CD414A">
        <w:tab/>
        <w:t>mivel az egyetemek küldetésének és tevékenységeinek központi elemét képezi a tudományos élet szabadsága, amint azt az Európai Unió Alapjogi Chartájának 13. cikke és az UNESCO-nak a felsőoktatásban dolgozó oktatók státuszáról szóló, 1997. november 11-i ajánlása is rögzíti; mivel ez a szabadság elengedhetetlen a demokratikus társadalmak jólétéhez, ezért azt tovább kell védeni és támogatni;</w:t>
      </w:r>
    </w:p>
    <w:p w14:paraId="147C0B36" w14:textId="77777777" w:rsidR="00421132" w:rsidRPr="00CD414A" w:rsidRDefault="00421132" w:rsidP="0047294C">
      <w:pPr>
        <w:pStyle w:val="NormalHanging12a"/>
      </w:pPr>
      <w:r w:rsidRPr="00CD414A">
        <w:t>H.</w:t>
      </w:r>
      <w:r w:rsidRPr="00CD414A">
        <w:tab/>
        <w:t>mivel az európai egyetemi szövetségek a hallgatók, a kutatók, valamint a tudományos és nem tudományos személyzet EU-n belüli és azon kívüli zökkenőmentes mobilitásának biztosításával hozzájárulnak a kutatás, az innováció és az oktatás egységes piacon belüli fokozásához, és így központi szerepet játszanak a Letta-jelentésben leírt „ötödik szabadság” megvalósításában;</w:t>
      </w:r>
    </w:p>
    <w:p w14:paraId="75C6DBB3" w14:textId="77777777" w:rsidR="00421132" w:rsidRPr="00CD414A" w:rsidRDefault="00421132" w:rsidP="0047294C">
      <w:pPr>
        <w:pStyle w:val="NormalHanging12a"/>
      </w:pPr>
      <w:r w:rsidRPr="00CD414A">
        <w:lastRenderedPageBreak/>
        <w:t>I.</w:t>
      </w:r>
      <w:r w:rsidRPr="00CD414A">
        <w:tab/>
        <w:t>mivel az európai felsőoktatási intézmények a transznacionális együttműködés során kihívásokkal szembesülnek, különösen a finanszírozás, a nemzeti és regionális jogszabályok, a jogi státusz és az irányítási struktúrák közötti jelentős eltérések, valamint a tudásmegosztást gátló szerződéses akadályok tekintetében;</w:t>
      </w:r>
    </w:p>
    <w:p w14:paraId="68E74DFF" w14:textId="77777777" w:rsidR="00421132" w:rsidRPr="00CD414A" w:rsidRDefault="00421132" w:rsidP="0047294C">
      <w:pPr>
        <w:pStyle w:val="NormalHanging12a"/>
      </w:pPr>
      <w:r w:rsidRPr="00CD414A">
        <w:t>J.</w:t>
      </w:r>
      <w:r w:rsidRPr="00CD414A">
        <w:tab/>
        <w:t>mivel az Európai Egyetemek kezdeményezés sikeres volt, és a részvétel és a szerepvállalás tekintetében felülmúlta a várakozásokat; mivel a Tanács 2017. évi következtetéseiben meghatározott, 20 szövetség létrehozására vonatkozó célt meghaladták, mivel eddig 65 szövetség jött létre, amelyek több mint 570 egyetemet és több mint 2200 külső partnert foglalnak magukban, bármilyen további költségvetési előirányzat nélkül, és anélkül, hogy a finanszírozott projektek folyamatosságát garantálták volna;</w:t>
      </w:r>
    </w:p>
    <w:p w14:paraId="0CA8261A" w14:textId="77777777" w:rsidR="00421132" w:rsidRPr="00CD414A" w:rsidRDefault="00421132" w:rsidP="0047294C">
      <w:pPr>
        <w:pStyle w:val="NormalHanging12a"/>
      </w:pPr>
      <w:r w:rsidRPr="00CD414A">
        <w:t>K.</w:t>
      </w:r>
      <w:r w:rsidRPr="00CD414A">
        <w:tab/>
        <w:t>mivel ezeket a jelenlegi szövetségeket a minőségre, a kiválóságra, a tudományos érdemekre, az inkluzivitásra és a méltányos földrajzi lefedettségre összpontosító, öt nyitott pályázati felhívás útján választották ki;</w:t>
      </w:r>
    </w:p>
    <w:p w14:paraId="29CA6D97" w14:textId="77777777" w:rsidR="00421132" w:rsidRPr="00CD414A" w:rsidRDefault="00421132" w:rsidP="0047294C">
      <w:pPr>
        <w:pStyle w:val="NormalHanging12a"/>
      </w:pPr>
      <w:r w:rsidRPr="00CD414A">
        <w:t>L.</w:t>
      </w:r>
      <w:r w:rsidRPr="00CD414A">
        <w:tab/>
        <w:t>mivel az „Európai Egyetemek” kezdeményezés kulcsfontosságú eszköz az integrált, versenyképes és inkluzív európai oktatási térség kiépítéséhez, amely képes választ adni a globális kihívásokra és erősíteni az európai identitást, kultúrát és értékeket;</w:t>
      </w:r>
    </w:p>
    <w:p w14:paraId="55DB11E5" w14:textId="77777777" w:rsidR="00421132" w:rsidRPr="00CD414A" w:rsidRDefault="00421132" w:rsidP="0047294C">
      <w:pPr>
        <w:pStyle w:val="NormalHanging12a"/>
      </w:pPr>
      <w:r w:rsidRPr="00CD414A">
        <w:t>M.</w:t>
      </w:r>
      <w:r w:rsidRPr="00CD414A">
        <w:tab/>
        <w:t>mivel a szövetségek bebizonyították, hogy átalakító hatásuk lehet a tagállamok felsőoktatási rendszereinek modernizálására, vezető szerepet játszanak a mobilis európai diákok új generációjának oktatásában, és hozzájárultak az élvonalbeli kutatáshoz; mivel a különböző szövetségekhez tartozó egyetemek a saját országukban kulcsszerepet játszanak a jogszabályi változások kezdeményezésében és előmozdításában;</w:t>
      </w:r>
    </w:p>
    <w:p w14:paraId="504A6870" w14:textId="77777777" w:rsidR="00421132" w:rsidRPr="00CD414A" w:rsidRDefault="00421132" w:rsidP="0047294C">
      <w:pPr>
        <w:pStyle w:val="NormalHanging12a"/>
      </w:pPr>
      <w:r w:rsidRPr="00CD414A">
        <w:t>N.</w:t>
      </w:r>
      <w:r w:rsidRPr="00CD414A">
        <w:tab/>
        <w:t>mivel jelenleg 23 tagállam nemzeti költségvetéséből, társfinanszírozás keretében támogatja a szövetségeket;</w:t>
      </w:r>
    </w:p>
    <w:p w14:paraId="51958041" w14:textId="77777777" w:rsidR="00421132" w:rsidRPr="00CD414A" w:rsidRDefault="00421132" w:rsidP="0047294C">
      <w:pPr>
        <w:pStyle w:val="Normal12a24b"/>
        <w:widowControl/>
        <w:spacing w:before="0"/>
        <w:ind w:left="567" w:hanging="567"/>
        <w:rPr>
          <w:i/>
          <w:iCs/>
        </w:rPr>
      </w:pPr>
      <w:r w:rsidRPr="00CD414A">
        <w:rPr>
          <w:rStyle w:val="Bold"/>
          <w:i/>
          <w:iCs/>
        </w:rPr>
        <w:t>Jelenlegi helyzet, kihívások és akadályok</w:t>
      </w:r>
    </w:p>
    <w:p w14:paraId="6F662935" w14:textId="77777777" w:rsidR="00421132" w:rsidRPr="00CD414A" w:rsidRDefault="00421132" w:rsidP="0047294C">
      <w:pPr>
        <w:pStyle w:val="NormalHanging12a"/>
      </w:pPr>
      <w:r w:rsidRPr="00CD414A">
        <w:t>1.</w:t>
      </w:r>
      <w:r w:rsidRPr="00CD414A">
        <w:tab/>
        <w:t>elismeri, hogy a felsőoktatási intézmények melegen üdvözlik az „Európai Egyetemek” kezdeményezést, és elkötelezettséget tanúsítanak iránta, valamint a kezdeményezés szerepét a felsőoktatásban a regionális, határokon átnyúló és nemzetközi együttműködés előtt álló akadályok – például a széttagolt finanszírozás, az akkreditációs rendszerek eltérései és a jogi akadályok – elhárítására irányuló erőfeszítések előmozdításában;</w:t>
      </w:r>
    </w:p>
    <w:p w14:paraId="3D47D02A" w14:textId="77777777" w:rsidR="00421132" w:rsidRPr="00CD414A" w:rsidRDefault="00421132" w:rsidP="0047294C">
      <w:pPr>
        <w:pStyle w:val="NormalHanging12a"/>
      </w:pPr>
      <w:r w:rsidRPr="00CD414A">
        <w:t>2.</w:t>
      </w:r>
      <w:r w:rsidRPr="00CD414A">
        <w:tab/>
        <w:t>kiemeli, hogy a mobilitási projektek, a közös tantervek létrehozása és az európai egyetemek közötti együttműködés alapvető fontosságúak a stratégiai területeken felmerülő szükségletek kielégítéséhez, valamint az</w:t>
      </w:r>
      <w:r w:rsidRPr="00CD414A">
        <w:rPr>
          <w:i/>
          <w:iCs/>
        </w:rPr>
        <w:t xml:space="preserve"> </w:t>
      </w:r>
      <w:r w:rsidRPr="00CD414A">
        <w:t>Európához tartozás érzésének és az EU értékeihez való ragaszkodás megerősítéséhez, miközben megőrzik az Európai Unió sokszínűségét és gazdagságát;</w:t>
      </w:r>
    </w:p>
    <w:p w14:paraId="0709A31E" w14:textId="77777777" w:rsidR="00421132" w:rsidRPr="00CD414A" w:rsidRDefault="00421132" w:rsidP="0047294C">
      <w:pPr>
        <w:pStyle w:val="NormalHanging12a"/>
      </w:pPr>
      <w:r w:rsidRPr="00CD414A">
        <w:t>3.</w:t>
      </w:r>
      <w:r w:rsidRPr="00CD414A">
        <w:tab/>
        <w:t>megjegyzi, hogy a szövetségek hatékony eszközt jelentenek a bolognai folyamat végrehajtásához és előmozdításához; kiemeli, hogy a szövetségek ösztönző hatást gyakorolnak a felsőoktatásban zajló átalakulási folyamatokra azáltal, hogy úttörő szerepet töltenek be, valamint innovatív megközelítéseket és új együttműködési módszereket mozdítanak elő, a hallgatók számára pedig lehetőségeket és hozzáférhetőséget teremtenek;</w:t>
      </w:r>
    </w:p>
    <w:p w14:paraId="17C370CB" w14:textId="77777777" w:rsidR="00421132" w:rsidRPr="00CD414A" w:rsidRDefault="00421132" w:rsidP="0047294C">
      <w:pPr>
        <w:pStyle w:val="NormalHanging12a"/>
      </w:pPr>
      <w:r w:rsidRPr="00CD414A">
        <w:lastRenderedPageBreak/>
        <w:t>4.</w:t>
      </w:r>
      <w:r w:rsidRPr="00CD414A">
        <w:tab/>
        <w:t>hangsúlyozza a szövetségek sokféleségét az irányítás, a lefedett témák és témakörök, valamint a részt vevő egyetemek mérete és elhelyezkedése tekintetében; megjegyzi, hogy a közepes méretű városok, a vidéki területek és a legkülső régiók számos egyeteme sikeresen vett részt a programban, így az hozzáférhetővé és inkluzívvá vált; kiemeli, hogy az egyenmegoldás nem megfelelő a szövetségek számára; megjegyzi, hogy az egyetemek egész Európára kiterjedő földrajzi képviselete a szövetségeken belül kulcsfontosságú az agyelszívás elleni küzdelem és a nemzetközi tehetségek vonzása szempontjából, egyúttal felbecsülhetetlen mértékben hozzájárul az európai egységhez és integrációhoz;</w:t>
      </w:r>
    </w:p>
    <w:p w14:paraId="3FCAECBE" w14:textId="77777777" w:rsidR="00421132" w:rsidRPr="00CD414A" w:rsidRDefault="00421132" w:rsidP="0047294C">
      <w:pPr>
        <w:pStyle w:val="NormalHanging12a"/>
      </w:pPr>
      <w:r w:rsidRPr="00CD414A">
        <w:t>5.</w:t>
      </w:r>
      <w:r w:rsidRPr="00CD414A">
        <w:tab/>
        <w:t>üdvözli, hogy a diákokat integrálták a szövetségek irányítási struktúráiba, lehetővé téve a fiatalok számára, hogy jelentős és valódi hatást gyakoroljanak fejlődésükre, mivel a fiatalok részvétele a demokratikus döntéshozatali folyamatokban segít abban, hogy a szövetségek előretekintőbbé váljanak, és egyúttal választ adjanak azokra a gyakorlati kihívásokra, amelyekkel a hallgatók szembesülnek; hangsúlyozza a hallgatói szerepvállalás és a hallgatói szervezetek összehangolásának fontosságát, hogy biztosítsák az átláthatóságot, a méltányosságot és az inkluzivitást az érdekelt felek bevonása során;</w:t>
      </w:r>
    </w:p>
    <w:p w14:paraId="66E91C6C" w14:textId="77777777" w:rsidR="00421132" w:rsidRPr="00CD414A" w:rsidRDefault="00421132" w:rsidP="0047294C">
      <w:pPr>
        <w:pStyle w:val="NormalHanging12a"/>
      </w:pPr>
      <w:r w:rsidRPr="00CD414A">
        <w:t>6.</w:t>
      </w:r>
      <w:r w:rsidRPr="00CD414A">
        <w:tab/>
        <w:t>kiemeli, hogy a szövetségek rendelkeznek a szükséges potenciállal és szakértelemmel ahhoz, hogy segítsék az egyetemeket a társadalmi-gazdasági kihívások kezelésében; hangsúlyozza annak fontosságát, hogy a társadalmi hatást horizontális elemként építsék be a szövetségek tevékenységeibe; egyértelmű stratégiákat szorgalmaz a kevesebb lehetőséggel rendelkező emberek hozzáférhetőségének</w:t>
      </w:r>
      <w:r w:rsidRPr="00CD414A">
        <w:rPr>
          <w:rStyle w:val="FootnoteReference"/>
        </w:rPr>
        <w:footnoteReference w:id="11"/>
      </w:r>
      <w:r w:rsidRPr="00CD414A">
        <w:t xml:space="preserve"> és a szövetségek valamennyi tevékenységébe való bevonásának biztosítására és nyomon követésére, különösen a mobilitás előtt álló akadályok felszámolása és a megkülönböztetés valamennyi formájának megelőzése révén, összhangban az Erasmus Felsőoktatási Chartával;</w:t>
      </w:r>
    </w:p>
    <w:p w14:paraId="17F44E8D" w14:textId="77777777" w:rsidR="00421132" w:rsidRPr="00CD414A" w:rsidRDefault="00421132" w:rsidP="0047294C">
      <w:pPr>
        <w:pStyle w:val="NormalHanging12a"/>
      </w:pPr>
      <w:r w:rsidRPr="00CD414A">
        <w:t>7.</w:t>
      </w:r>
      <w:r w:rsidRPr="00CD414A">
        <w:tab/>
        <w:t>üdvözli az olyan kísérleti projekteket, amelyek célja egy európai diploma és/vagy jogállás létrehozása; hangsúlyozza azonban, hogy a szövetségek nem szolgálhatnak a felsőoktatásban az innováció egyetlen eszközeként; megjegyzi, hogy a szövetségeknek rendelkezniük kell a szakosodás szabadságával, és rugalmasnak kell lenniük vállalkozásaik során;</w:t>
      </w:r>
    </w:p>
    <w:p w14:paraId="12763F9B" w14:textId="77777777" w:rsidR="00421132" w:rsidRPr="00CD414A" w:rsidRDefault="00421132" w:rsidP="0047294C">
      <w:pPr>
        <w:pStyle w:val="NormalHanging12a"/>
      </w:pPr>
      <w:r w:rsidRPr="00CD414A">
        <w:t>8.</w:t>
      </w:r>
      <w:r w:rsidRPr="00CD414A">
        <w:tab/>
        <w:t>üdvözli a 21 szövetség által az európai diplomával és az európai diploma címmel kapcsolatban végzett hat Erasmus+ szakpolitikai kísérleti projekt végeredményeit</w:t>
      </w:r>
      <w:r w:rsidRPr="00CD414A">
        <w:rPr>
          <w:rStyle w:val="FootnoteReference"/>
        </w:rPr>
        <w:footnoteReference w:id="12"/>
      </w:r>
      <w:r w:rsidRPr="00CD414A">
        <w:t>; elismeri az európai diplomák európai kritériumokon alapuló közös keretének egyértelmű hozzáadott értékét, amely előrelépést jelent a diplomák és oklevelek uniós szintű elismerése felé; elismeri, hogy ez az uniós szintű elismerés javítaná a mobilitást és az oktatás minőségét, megerősítené az együttműködés keretét és ösztönözné a transznacionális felsőoktatási programokban való szélesebb körű részvételt, valamint erősítené az európai felsőoktatás globális láthatóságát és versenyképességét;</w:t>
      </w:r>
    </w:p>
    <w:p w14:paraId="5D72E29E" w14:textId="77777777" w:rsidR="00421132" w:rsidRPr="00CD414A" w:rsidRDefault="00421132" w:rsidP="0047294C">
      <w:pPr>
        <w:pStyle w:val="NormalHanging12a"/>
      </w:pPr>
      <w:r w:rsidRPr="00CD414A">
        <w:t>9.</w:t>
      </w:r>
      <w:r w:rsidRPr="00CD414A">
        <w:tab/>
        <w:t xml:space="preserve">megjegyzi, hogy az európai diploma címet hozzáférhetővé kell tenni az összes többi közös egyetemi program számára, és a címnek azokat a nemzeti képesítési </w:t>
      </w:r>
      <w:r w:rsidRPr="00CD414A">
        <w:lastRenderedPageBreak/>
        <w:t>keretrendszereket kell kiegészítenie, amelyeket szükség esetén ki kell igazítani, további adminisztratív terhek előidézése nélkül;</w:t>
      </w:r>
    </w:p>
    <w:p w14:paraId="1B6CA1EA" w14:textId="77777777" w:rsidR="00421132" w:rsidRPr="00CD414A" w:rsidRDefault="00421132" w:rsidP="0047294C">
      <w:pPr>
        <w:pStyle w:val="NormalHanging12a"/>
      </w:pPr>
      <w:r w:rsidRPr="00CD414A">
        <w:t>10.</w:t>
      </w:r>
      <w:r w:rsidRPr="00CD414A">
        <w:tab/>
        <w:t>szilárd meggyőződése, hogy a szövetségek képesek megerősíteni az európai felsőoktatási térséget, és előkészítsék az utat az uniós szintű egységes akkreditációs térség létrehozásához; úgy véli, hogy ez szükséges lépés Európa autonómiájához, mivel számos európai felsőoktatási intézmény, például az MBA-diplomát kiállító intézmények, továbbra is amerikai akkreditációs ügynökségekre támaszkodnak;</w:t>
      </w:r>
    </w:p>
    <w:p w14:paraId="318C51AB" w14:textId="77777777" w:rsidR="00421132" w:rsidRPr="00CD414A" w:rsidRDefault="00421132" w:rsidP="0047294C">
      <w:pPr>
        <w:pStyle w:val="NormalHanging12a"/>
      </w:pPr>
      <w:r w:rsidRPr="00CD414A">
        <w:t>11.</w:t>
      </w:r>
      <w:r w:rsidRPr="00CD414A">
        <w:tab/>
        <w:t>üdvözli, hogy az Erasmus+ mobilitási projektekhez képest jelentősen nőtt a szövetségekben részt vevő egyetemi hallgatók, élethosszig tanulók, valamint a kutatók és a nem tudományos adminisztratív személyzet mobilitási projektjeinek száma;</w:t>
      </w:r>
    </w:p>
    <w:p w14:paraId="6F25E7C8" w14:textId="77777777" w:rsidR="00421132" w:rsidRPr="00CD414A" w:rsidRDefault="00421132" w:rsidP="0047294C">
      <w:pPr>
        <w:pStyle w:val="NormalHanging12a"/>
      </w:pPr>
      <w:r w:rsidRPr="00CD414A">
        <w:t>12.</w:t>
      </w:r>
      <w:r w:rsidRPr="00CD414A">
        <w:tab/>
        <w:t>megjegyzi azonban, hogy még nem sikerült elérni azt az eredeti célkitűzést, hogy a részt vevő szövetségek hallgatóinak 50%-a számára zökkenőmentes legyen a mobilitás, és ez megfelelő finanszírozási mechanizmusok hiányában továbbra is kihívást jelent; e tekintetben aggodalmát fejezi ki a szövetségek mobilitási programjai és az egyetemek általános Erasmus+ mobilitása közötti potenciális verseny miatt, mivel a szövetségekre vonatkozó mobilitási célok magasabbak, mint az általános Erasmus+ mobilitás esetében; felhívja ezért a Bizottságot, hogy vizsgálja meg ezeket a követelményeket;</w:t>
      </w:r>
    </w:p>
    <w:p w14:paraId="1C39DB9E" w14:textId="77777777" w:rsidR="00421132" w:rsidRPr="00CD414A" w:rsidRDefault="00421132" w:rsidP="0047294C">
      <w:pPr>
        <w:pStyle w:val="NormalHanging12a"/>
      </w:pPr>
      <w:r w:rsidRPr="00CD414A">
        <w:t>13.</w:t>
      </w:r>
      <w:r w:rsidRPr="00CD414A">
        <w:tab/>
        <w:t>mély aggodalmát fejezi ki a tudományos élet szabadságát jelenleg a világ számos részén fenyegető veszélyek miatt, többek között egyes tagállamokban és az Erasmus+ programban részt vevő nem uniós országokban is;</w:t>
      </w:r>
    </w:p>
    <w:p w14:paraId="72AB0EE4" w14:textId="77777777" w:rsidR="00421132" w:rsidRPr="00CD414A" w:rsidRDefault="00421132" w:rsidP="0047294C">
      <w:pPr>
        <w:pStyle w:val="NormalHanging12a"/>
      </w:pPr>
      <w:r w:rsidRPr="00CD414A">
        <w:t>14.</w:t>
      </w:r>
      <w:r w:rsidRPr="00CD414A">
        <w:tab/>
        <w:t>hangsúlyozza, hogy szövetségekre van szükség az uniós értékek, a demokratikus reziliencia és az intézményi autonómia fenntartása, valamint az aktív polgári szerepvállalás előmozdítása érdekében; kiemeli e szövetségek multilaterális és multikulturális tanulási terekként betöltött szerepét;</w:t>
      </w:r>
    </w:p>
    <w:p w14:paraId="27674082" w14:textId="77777777" w:rsidR="00421132" w:rsidRPr="00CD414A" w:rsidRDefault="00421132" w:rsidP="0047294C">
      <w:pPr>
        <w:pStyle w:val="NormalHanging12a"/>
      </w:pPr>
      <w:r w:rsidRPr="00CD414A">
        <w:t>15.</w:t>
      </w:r>
      <w:r w:rsidRPr="00CD414A">
        <w:tab/>
        <w:t>üdvözli az olyan értékalapú kezdeményezéseket, mint az Ukrajnával való szolidaritási együttműködés, a szövetségek globális jelenléte és a szövetségek szerepe a keleti szomszédság és a Nyugat-Balkán tagjelölt országainak csatlakozási előkészületeiben;</w:t>
      </w:r>
    </w:p>
    <w:p w14:paraId="3F22827C" w14:textId="77777777" w:rsidR="00421132" w:rsidRPr="00CD414A" w:rsidRDefault="00421132" w:rsidP="0047294C">
      <w:pPr>
        <w:pStyle w:val="NormalHanging12a"/>
      </w:pPr>
      <w:r w:rsidRPr="00CD414A">
        <w:t>16.</w:t>
      </w:r>
      <w:r w:rsidRPr="00CD414A">
        <w:tab/>
        <w:t>üdvözli a készségek uniójára vonatkozó kezdeményezést, különösen a jövőbeli beruházási útvonalra és a szövetségek egyértelmű jogállására vonatkozó, küszöbön álló javaslatot, mivel ez megkönnyíti az egyetemek számára európai projektek kezdeményezését és vezetését, az erőforrások összevonását, autonómiájuk növelését, az adminisztratív terhek csökkentését, a finanszírozás vonzását és irányítási struktúrájuk bővítését, különösen a nem uniós országok egyetemei esetében, valamint elősegíti a határokon átnyúló együttműködés intézményesítését;</w:t>
      </w:r>
    </w:p>
    <w:p w14:paraId="29F49EEC" w14:textId="77777777" w:rsidR="00421132" w:rsidRPr="00CD414A" w:rsidRDefault="00421132" w:rsidP="0047294C">
      <w:pPr>
        <w:pStyle w:val="NormalHanging12a"/>
      </w:pPr>
      <w:r w:rsidRPr="00CD414A">
        <w:t>17.</w:t>
      </w:r>
      <w:r w:rsidRPr="00CD414A">
        <w:tab/>
        <w:t>hangsúlyozza az egyetemek, köztük a szövetségek kulcsfontosságú szerepét a tényeken alapuló tudomány védelmében és előmozdításában, a demokratikus párbeszédbe vetett bizalom építésében, az uniós értékeken alapuló együttműködés előmozdításában, valamint abban, hogy magukat és az európai felsőoktatási ágazatot vonzóbbá tegyék a nem uniós hallgatók, oktatók és kutatók számára;</w:t>
      </w:r>
    </w:p>
    <w:p w14:paraId="28818F57" w14:textId="77777777" w:rsidR="00421132" w:rsidRPr="00CD414A" w:rsidRDefault="00421132" w:rsidP="0047294C">
      <w:pPr>
        <w:pStyle w:val="NormalHanging12a"/>
      </w:pPr>
      <w:r w:rsidRPr="00CD414A">
        <w:t>18.</w:t>
      </w:r>
      <w:r w:rsidRPr="00CD414A">
        <w:tab/>
        <w:t xml:space="preserve">üdvözli az európai egyetemek szövetségeinek gyakorlatközössége, a FOREU4ALL létrehozását; hangsúlyozza kulcsfontosságú szerepét abban, hogy az innovációt a szövetségektől eljuttatja a szélesebb tudományos közösség felé, mivel a szövetségekben </w:t>
      </w:r>
      <w:r w:rsidRPr="00CD414A">
        <w:lastRenderedPageBreak/>
        <w:t>részt nem vevő egyetemek és felsőoktatási intézmények nem maradhatnak magukra; emlékeztet arra, hogy a politikáknak és a kezdeményezéseknek a teljes felsőoktatási rendszer javát kell szolgálniuk;</w:t>
      </w:r>
    </w:p>
    <w:p w14:paraId="0D64BAA6" w14:textId="77777777" w:rsidR="00421132" w:rsidRPr="00CD414A" w:rsidRDefault="00421132" w:rsidP="0047294C">
      <w:pPr>
        <w:pStyle w:val="NormalHanging12a"/>
      </w:pPr>
      <w:r w:rsidRPr="00CD414A">
        <w:t>19.</w:t>
      </w:r>
      <w:r w:rsidRPr="00CD414A">
        <w:tab/>
        <w:t>elismeri a felsőoktatási ágazaton belüli egyéb hálózatok fontos szerepét, amelyek az európai egyetemek szélesebb spektrumát tömörítik, függetlenül attól, hogy tagjai-e valamely szövetségnek; hangsúlyozza, hogy ezek a hálózatok és a szövetségek kiegészítik egymást, és lehetőségük van arra, hogy nemzeti szinten jogszabályi változásokat kezdeményezzenek;</w:t>
      </w:r>
    </w:p>
    <w:p w14:paraId="6C593510" w14:textId="77777777" w:rsidR="00421132" w:rsidRPr="00CD414A" w:rsidRDefault="00421132" w:rsidP="0047294C">
      <w:pPr>
        <w:pStyle w:val="NormalHanging12a"/>
      </w:pPr>
      <w:r w:rsidRPr="00CD414A">
        <w:t>20.</w:t>
      </w:r>
      <w:r w:rsidRPr="00CD414A">
        <w:tab/>
        <w:t>hangsúlyozza, hogy az egyetemek küldetése a tudásnégyszög mind a négy aspektusára kiterjed: az oktatásra, a kutatásra, az innovációra és a társadalom szolgálatára; hangsúlyozza, hogy a szövetségeket szorosan össze kell hangolni a munkaerőpiaccal, hogy kezelni lehessen Európa készséghiányát és versenyképességi kihívásait;</w:t>
      </w:r>
    </w:p>
    <w:p w14:paraId="3555A0F2" w14:textId="77777777" w:rsidR="00421132" w:rsidRPr="00CD414A" w:rsidRDefault="00421132" w:rsidP="0047294C">
      <w:pPr>
        <w:pStyle w:val="NormalHanging12a"/>
      </w:pPr>
      <w:r w:rsidRPr="00CD414A">
        <w:t>21.</w:t>
      </w:r>
      <w:r w:rsidRPr="00CD414A">
        <w:tab/>
        <w:t>mély aggodalmát fejezi ki amiatt, hogy – tekintettel a jelenlegi keretre – a szövetségeken belül hiányoznak a kutatási és innovációs pillérek, mivel ez aláássa az egyetemek közötti, a szövetségeken belül megvalósuló együttműködés teljes potenciálját;</w:t>
      </w:r>
    </w:p>
    <w:p w14:paraId="310C40C0" w14:textId="77777777" w:rsidR="00421132" w:rsidRPr="00CD414A" w:rsidRDefault="00421132" w:rsidP="0047294C">
      <w:pPr>
        <w:pStyle w:val="Normal12a24b"/>
        <w:widowControl/>
        <w:spacing w:before="0"/>
        <w:ind w:left="567" w:hanging="567"/>
        <w:rPr>
          <w:i/>
          <w:iCs/>
        </w:rPr>
      </w:pPr>
      <w:r w:rsidRPr="00CD414A">
        <w:rPr>
          <w:rStyle w:val="Bold"/>
          <w:i/>
          <w:iCs/>
        </w:rPr>
        <w:t>Ajánlások</w:t>
      </w:r>
    </w:p>
    <w:p w14:paraId="3E1CE19D" w14:textId="77777777" w:rsidR="00421132" w:rsidRPr="00CD414A" w:rsidRDefault="00421132" w:rsidP="0047294C">
      <w:pPr>
        <w:pStyle w:val="NormalHanging12a"/>
      </w:pPr>
      <w:r w:rsidRPr="00CD414A">
        <w:t>22.</w:t>
      </w:r>
      <w:r w:rsidRPr="00CD414A">
        <w:tab/>
        <w:t>ösztönzi a szövetségeket, hogy mélyítsék el az oktatás és a kutatás közötti kapcsolatot; kiemeli, hogy a szövetségek jelentős mértékben képesek határokon átnyúló kiválósági hálózatokat kiépíteni a kutatók számára, valamint megosztani a tudást és terjeszteni az ismereteket uniós szinten és azon túl is, különösen a természettudományokkal, a technológiával, a műszaki tudományokkal és a matematikával (STEM) kapcsolatos tárgyak területén, többek között az EU számára stratégiai területeken;</w:t>
      </w:r>
    </w:p>
    <w:p w14:paraId="75081208" w14:textId="77777777" w:rsidR="00421132" w:rsidRPr="00CD414A" w:rsidRDefault="00421132" w:rsidP="0047294C">
      <w:pPr>
        <w:pStyle w:val="NormalHanging12a"/>
      </w:pPr>
      <w:r w:rsidRPr="00CD414A">
        <w:t>23.</w:t>
      </w:r>
      <w:r w:rsidRPr="00CD414A">
        <w:tab/>
        <w:t>hangsúlyozza, hogy az egyetemi szövetségekre vonatkozó stratégiai jövőképnek tükröződnie kell a következő többéves pénzügyi keretben, hogy a szövetségekben rejlő potenciál és hatásuk maximálisan érvényesüljön; kéri a Bizottságot, hogy értékelje az egyes szövetségeket annak érdekében, hogy támogatást és testre szabott megoldásokat nyújtson jövőbeli fejlődésük tekintetében;</w:t>
      </w:r>
    </w:p>
    <w:p w14:paraId="51A8C07B" w14:textId="77777777" w:rsidR="00421132" w:rsidRPr="00CD414A" w:rsidRDefault="00421132" w:rsidP="0047294C">
      <w:pPr>
        <w:pStyle w:val="NormalHanging12a"/>
      </w:pPr>
      <w:r w:rsidRPr="00CD414A">
        <w:t>24.</w:t>
      </w:r>
      <w:r w:rsidRPr="00CD414A">
        <w:tab/>
        <w:t>ösztönzi a Bizottságot, a tagállamokat és a szövetségeket, hogy térjenek át a „projektalapú logikáról” a hosszú távú, átalakító hatású együttműködésre egy olyan finanszírozási megközelítés bevezetésével, amely lehetővé teszi ezt az átmenetet; hangsúlyozza annak fontosságát, hogy a szövetségek képesek legyenek növekedésre; hangsúlyozza, hogy mennyiségi helyett minőségi célokat kell kitűzni, hangsúlyozva az európai oktatási térségre gyakorolt átalakító hatást;</w:t>
      </w:r>
    </w:p>
    <w:p w14:paraId="51ED0706" w14:textId="77777777" w:rsidR="00421132" w:rsidRPr="00CD414A" w:rsidRDefault="00421132" w:rsidP="0047294C">
      <w:pPr>
        <w:pStyle w:val="NormalHanging12a"/>
      </w:pPr>
      <w:r w:rsidRPr="00CD414A">
        <w:t>25.</w:t>
      </w:r>
      <w:r w:rsidRPr="00CD414A">
        <w:tab/>
        <w:t>hangsúlyozza, hogy a jelenlegi szövetségek számára összehangolt, fenntartható és kiszámítható finanszírozásra van szükség; kéri a Bizottságot, hogy fontolja meg, hogy a jövőbeli felhívásokat a sikeres szövetségek folytatására tartsa fenn, lehetővé téve számukra az integráció elmélyítését és az elért eredményeikre való építkezést; kéri a Bizottságot, hogy tegye a lehető legegyszerűbbé a jelentkezési és pályázati eljárást; ösztönzi a sikeres szövetségek esetében a gyorsított megújítási eljárást, hogy biztosítani lehessen a folyamatos finanszírozást, elkerülve a túlzott adminisztratív terheket;</w:t>
      </w:r>
    </w:p>
    <w:p w14:paraId="0D3350F1" w14:textId="77777777" w:rsidR="00421132" w:rsidRPr="00CD414A" w:rsidRDefault="00421132" w:rsidP="0047294C">
      <w:pPr>
        <w:pStyle w:val="NormalHanging12a"/>
      </w:pPr>
      <w:r w:rsidRPr="00CD414A">
        <w:lastRenderedPageBreak/>
        <w:t>26.</w:t>
      </w:r>
      <w:r w:rsidRPr="00CD414A">
        <w:tab/>
        <w:t>elismeri, hogy az „Európai Egyetemek” kezdeményezésnek továbbra is az Erasmus+ program részét kell képeznie, figyelembe véve a jelenlegi kereteket; ugyanakkor felkéri a Bizottságot, hogy vizsgálja meg egy testre szabott megoldás megvalósíthatóságát az európai egyetemi szövetségeknek a 2027 utáni többéves pénzügyi keretben történő finanszírozására, egy olyan külön program létrehozásának lehetőségével, amelynek révén a szövetségek a stratégiai tervezést folytathatnak, hosszú távú kezdeményezésekben vehetnek részt és tartós együttműködést alakíthatnak ki;</w:t>
      </w:r>
    </w:p>
    <w:p w14:paraId="04B4E647" w14:textId="3C3ED3AB" w:rsidR="00421132" w:rsidRPr="00CD414A" w:rsidRDefault="00421132" w:rsidP="0047294C">
      <w:pPr>
        <w:pStyle w:val="NormalHanging12a"/>
      </w:pPr>
      <w:r w:rsidRPr="00CD414A">
        <w:t>27.</w:t>
      </w:r>
      <w:r w:rsidRPr="00CD414A">
        <w:tab/>
      </w:r>
      <w:r w:rsidR="00E33025" w:rsidRPr="00CD414A">
        <w:t>felhívja a tagállamokat, hogy vállaljanak kötelezettséget a szövetségek nemzeti költségvetésből történő társfinanszírozására, és kéri a Bizottságot, hogy terjesszen elő átfogó beruházási stratégiát a szövetségek számára, amely lehetővé teszi számukra négyes küldetésük teljesítését; megjegyzi, hogy ennek a stratégiának szinergiákat kell kialakítania az olyan uniós programokkal, mint a Horizont Európa, az Európai Versenyképességi Alap, az InvestEU, az Európai Szociális Alap Plusz és az Európai Regionális Fejlesztési Alap, a források optimalizálása, a párhuzamosságok elkerülése, az interakció és az együttműködés erősítése, valamint versenyképességük megőrzése érdekében;</w:t>
      </w:r>
    </w:p>
    <w:p w14:paraId="2AF2D22A" w14:textId="77777777" w:rsidR="00421132" w:rsidRPr="00CD414A" w:rsidRDefault="00421132" w:rsidP="0047294C">
      <w:pPr>
        <w:pStyle w:val="NormalHanging12a"/>
      </w:pPr>
      <w:r w:rsidRPr="00CD414A">
        <w:t>28.</w:t>
      </w:r>
      <w:r w:rsidRPr="00CD414A">
        <w:tab/>
        <w:t>kiemeli, hogy a minőséget, a kiválóságot és az inkluzivitást magában foglaló valódi és fenntartható siker elérése érdekében a szövetségek támogatása nem származhat kizárólag az uniós költségvetésből, hanem nemzeti, regionális, helyi és magánforrásokból származó összehangolt hozzájárulásokból is, feltéve, hogy ezek képesek garantálni a felsőoktatási intézmények autonómiáját és megvédeni a tudományos élet szabadságát;</w:t>
      </w:r>
    </w:p>
    <w:p w14:paraId="40755AB7" w14:textId="77777777" w:rsidR="00421132" w:rsidRPr="00CD414A" w:rsidRDefault="00421132" w:rsidP="0047294C">
      <w:pPr>
        <w:pStyle w:val="NormalHanging12a"/>
      </w:pPr>
      <w:r w:rsidRPr="00CD414A">
        <w:t>29.</w:t>
      </w:r>
      <w:r w:rsidRPr="00CD414A">
        <w:tab/>
        <w:t>hangsúlyozza, hogy a szövetségek magánszektorral való szorosabb integrációja kölcsönösen előnyös lehet; ösztönzi az egyetemek és a vállalkozások közötti partnerségeket és strukturált együttműködést olyan integrált rendszerek létrehozása érdekében, amelyek előmozdítják az innovációt és a magas szintű műszaki és szakmai képzést, és megkönnyítik a hallgatók számára a munkaerőpiacra való belépést, valamint a felsőoktatáson kívüli személyek átképzését és továbbképzését;</w:t>
      </w:r>
    </w:p>
    <w:p w14:paraId="712606EE" w14:textId="77777777" w:rsidR="00421132" w:rsidRPr="00CD414A" w:rsidRDefault="00421132" w:rsidP="0047294C">
      <w:pPr>
        <w:pStyle w:val="NormalHanging12a"/>
      </w:pPr>
      <w:r w:rsidRPr="00CD414A">
        <w:t>30.</w:t>
      </w:r>
      <w:r w:rsidRPr="00CD414A">
        <w:tab/>
        <w:t>hangsúlyozza, hogy meg kell erősíteni a szövetségek nemzetközivé válását, többek között a Global Gateway stratégiával és a tehetséggondozási partnerségekkel összhangban; megjegyzi, hogy a szövetségek a megfelelő szinten vannak ahhoz, hogy partnerségeket alakítsanak ki nem uniós, elsősorban tagjelölt országokkal, és erősíthetik az Erasmus+ nemzetközi dimenzióját, például az Erasmus Mundus révén; kéri a Bizottságot és a szövetségeket annak biztosítására, hogy valamennyi érintett partner feleljen meg az uniós értékeknek és a tudományos élet szabadsága elvének, valamint tartsák tiszteletben az Erasmus Felsőoktatási Chartát;</w:t>
      </w:r>
    </w:p>
    <w:p w14:paraId="5AE4BA3E" w14:textId="77777777" w:rsidR="00421132" w:rsidRPr="00CD414A" w:rsidRDefault="00421132" w:rsidP="0047294C">
      <w:pPr>
        <w:pStyle w:val="NormalHanging12a"/>
      </w:pPr>
      <w:r w:rsidRPr="00CD414A">
        <w:t>31.</w:t>
      </w:r>
      <w:r w:rsidRPr="00CD414A">
        <w:tab/>
        <w:t>megjegyzi, hogy a szövetségek tesztelik az oktatás és az ismeretek megszerzésének innovatív módjait, például az európai tanulási pályákat, a mikrotanúsítványokat, a vegyes tanulási célú mobilitást és a képesítések automatikus elismerését; hangsúlyozza, hogy be kell ruházni a biztonságos digitális infrastruktúrába, és meg kell erősíteni a meglévő kezdeményezéseket, például az európai diákigazolványt;</w:t>
      </w:r>
    </w:p>
    <w:p w14:paraId="13C9B804" w14:textId="77777777" w:rsidR="00421132" w:rsidRPr="00CD414A" w:rsidRDefault="00421132" w:rsidP="0047294C">
      <w:pPr>
        <w:pStyle w:val="NormalHanging12a"/>
      </w:pPr>
      <w:r w:rsidRPr="00CD414A">
        <w:t>32.</w:t>
      </w:r>
      <w:r w:rsidRPr="00CD414A">
        <w:tab/>
        <w:t xml:space="preserve">hangsúlyozza, hogy a számítógépes rendszerek interoperabilitásának megszilárdítására, valamint az európai és nemzeti politikák összehangolására van szükség, hogy valódi, virtuális, egyetemek közötti európai kampuszok jöjjenek létre; ösztönzi a szövetségek közötti együttműködés fokozását a hallgatók biztonságos, interoperábilis </w:t>
      </w:r>
      <w:r w:rsidRPr="00CD414A">
        <w:lastRenderedPageBreak/>
        <w:t>azonosításának, a képzésekre történő regisztráció és a tanulmányi eredmények cseréjének lehetővé tétele érdekében, valamint az új oktatási technológiák integrálásába történő beruházásokat;</w:t>
      </w:r>
    </w:p>
    <w:p w14:paraId="3CA51C9D" w14:textId="77777777" w:rsidR="00421132" w:rsidRPr="00CD414A" w:rsidRDefault="00421132" w:rsidP="0047294C">
      <w:pPr>
        <w:pStyle w:val="NormalHanging12a"/>
      </w:pPr>
      <w:r w:rsidRPr="00CD414A">
        <w:t>33.</w:t>
      </w:r>
      <w:r w:rsidRPr="00CD414A">
        <w:tab/>
        <w:t>hangsúlyozza, hogy a bevált gyakorlatokra támaszkodva ki kell terjeszteni a mikrotanúsítványok alkalmazását annak érdekében, hogy a szövetségek egy szélesebb tanulási környezetbe integrálódjanak, összekapcsolva munkájukat más, nem formális oktatási intézményekkel; megjegyzi, hogy a mikrotanúsítványok révén elismert képzés és továbbképzés elősegítheti az egyetemi oklevelek rugalmas felülvizsgálatát, bővítését és korszerűsítését;</w:t>
      </w:r>
    </w:p>
    <w:p w14:paraId="25477E7D" w14:textId="77777777" w:rsidR="00421132" w:rsidRPr="00CD414A" w:rsidRDefault="00421132" w:rsidP="0047294C">
      <w:pPr>
        <w:pStyle w:val="NormalHanging12a"/>
      </w:pPr>
      <w:r w:rsidRPr="00CD414A">
        <w:t>34.</w:t>
      </w:r>
      <w:r w:rsidRPr="00CD414A">
        <w:tab/>
        <w:t>kéri a Bizottságot, hogy fontolja meg a lehetséges jövőbeli felhívásokhoz olyan kritériumok hozzáadását, amelyek összhangban állnak az európai stratégiai autonómiához és versenyképességhez kapcsolódó témákkal, például a rezilienciával, az energiával, az éghajlatváltozással, a digitális átállással és a digitális készségekkel, valamint a védelemmel, szem előtt tartva az uniós értékek tiszteletben tartására, az oktatás kiválóságára és az innovációra vonatkozó alapvető célkitűzéseket;</w:t>
      </w:r>
    </w:p>
    <w:p w14:paraId="42CC57E1" w14:textId="77777777" w:rsidR="00421132" w:rsidRPr="00CD414A" w:rsidRDefault="00421132" w:rsidP="0047294C">
      <w:pPr>
        <w:pStyle w:val="NormalHanging12a"/>
      </w:pPr>
      <w:r w:rsidRPr="00CD414A">
        <w:t>35.</w:t>
      </w:r>
      <w:r w:rsidRPr="00CD414A">
        <w:tab/>
        <w:t>hangsúlyozza, hogy a szövetségeknek megfelelő struktúrákkal és kapacitásokkal kell rendelkezniük ahhoz, hogy a tudás a tudományos életből az üzleti szféra felé irányuljon, hozzájárulva az EU stratégiai autonómiára irányuló törekvéseinek megvalósításához; felszólítja a Bizottságot, hogy szüntesse meg a közös erőforrások ismeretek hatékony megosztását és egyesítését akadályozó korlátokat, többek között az egyetemi oktatók és kutatók közös toborzásának megkönnyítése, valamint a közös létesítmények fejlesztése és használata révén;</w:t>
      </w:r>
    </w:p>
    <w:p w14:paraId="34541DBE" w14:textId="77777777" w:rsidR="00421132" w:rsidRPr="00CD414A" w:rsidRDefault="00421132" w:rsidP="0047294C">
      <w:pPr>
        <w:pStyle w:val="NormalHanging12a"/>
      </w:pPr>
      <w:r w:rsidRPr="00CD414A">
        <w:t>36.</w:t>
      </w:r>
      <w:r w:rsidRPr="00CD414A">
        <w:tab/>
        <w:t xml:space="preserve">hangsúlyozza, hogy az európai egyetemi szövetségekkel kapcsolatos hatékony és hozzáférhető figyelemfelkeltő és tájékoztató kampányokra van szükség a nagyobb szerepvállalás előmozdítása érdekében, különösen helyi szinten és a hallgatók körében, mivel a kezdeményezés jelenleg kevéssé ismert; </w:t>
      </w:r>
    </w:p>
    <w:p w14:paraId="1A05D50C" w14:textId="77777777" w:rsidR="00421132" w:rsidRPr="00CD414A" w:rsidRDefault="00421132" w:rsidP="0047294C">
      <w:pPr>
        <w:pStyle w:val="NormalHanging12a"/>
      </w:pPr>
      <w:r w:rsidRPr="00CD414A">
        <w:t>37.</w:t>
      </w:r>
      <w:r w:rsidRPr="00CD414A">
        <w:tab/>
        <w:t>felszólítja a magyar kormányt, hogy tegyen eleget a jogállamiság elvének és feleljen meg az uniós értékeknek, és hajtsa végre a szükséges reformokat annak érdekében, hogy az alapítványi fenntartású egyetemek magyar hallgatói, oktatói és kutatói is részesülhessenek az Erasmus+ program előnyeiből, ideértve az „Európai Egyetemek” kezdeményezés keretében létrehozott szövetségeket is;</w:t>
      </w:r>
    </w:p>
    <w:p w14:paraId="632F147E" w14:textId="6F103829" w:rsidR="0047294C" w:rsidRPr="00CD414A" w:rsidRDefault="0047294C" w:rsidP="00CD414A">
      <w:pPr>
        <w:pStyle w:val="NormalHanging12a"/>
        <w:jc w:val="center"/>
      </w:pPr>
      <w:r w:rsidRPr="00CD414A">
        <w:t>o</w:t>
      </w:r>
    </w:p>
    <w:p w14:paraId="49AE8B75" w14:textId="45D30E67" w:rsidR="0047294C" w:rsidRPr="00CD414A" w:rsidRDefault="0047294C" w:rsidP="00CD414A">
      <w:pPr>
        <w:pStyle w:val="NormalHanging12a"/>
        <w:jc w:val="center"/>
      </w:pPr>
      <w:r w:rsidRPr="00CD414A">
        <w:t>o</w:t>
      </w:r>
      <w:r w:rsidRPr="00CD414A">
        <w:tab/>
        <w:t>o</w:t>
      </w:r>
    </w:p>
    <w:p w14:paraId="6CCAEAB9" w14:textId="079E6902" w:rsidR="00256A1A" w:rsidRPr="00CD414A" w:rsidRDefault="00421132" w:rsidP="0047294C">
      <w:pPr>
        <w:pStyle w:val="NormalHanging12a"/>
      </w:pPr>
      <w:r w:rsidRPr="00CD414A">
        <w:t>38.</w:t>
      </w:r>
      <w:r w:rsidRPr="00CD414A">
        <w:tab/>
        <w:t>utasítja elnökét, hogy továbbítsa ezt az állásfoglalást a Tanácsnak és a Bizottságnak.</w:t>
      </w:r>
    </w:p>
    <w:sectPr w:rsidR="00256A1A" w:rsidRPr="00CD414A" w:rsidSect="00256A1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69692" w14:textId="77777777" w:rsidR="00167F7B" w:rsidRPr="00256A1A" w:rsidRDefault="00167F7B">
      <w:r w:rsidRPr="00256A1A">
        <w:separator/>
      </w:r>
    </w:p>
  </w:endnote>
  <w:endnote w:type="continuationSeparator" w:id="0">
    <w:p w14:paraId="4CCAF2FF" w14:textId="77777777" w:rsidR="00167F7B" w:rsidRPr="00256A1A" w:rsidRDefault="00167F7B">
      <w:r w:rsidRPr="00256A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56952" w14:textId="77777777" w:rsidR="00064002" w:rsidRPr="00256A1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511E3" w14:textId="77777777" w:rsidR="00064002" w:rsidRPr="00256A1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B6438" w14:textId="77777777" w:rsidR="00064002" w:rsidRPr="00256A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321F4" w14:textId="77777777" w:rsidR="00167F7B" w:rsidRPr="00256A1A" w:rsidRDefault="00167F7B">
      <w:r w:rsidRPr="00256A1A">
        <w:separator/>
      </w:r>
    </w:p>
  </w:footnote>
  <w:footnote w:type="continuationSeparator" w:id="0">
    <w:p w14:paraId="600E2CE8" w14:textId="77777777" w:rsidR="00167F7B" w:rsidRPr="00256A1A" w:rsidRDefault="00167F7B">
      <w:r w:rsidRPr="00256A1A">
        <w:continuationSeparator/>
      </w:r>
    </w:p>
  </w:footnote>
  <w:footnote w:id="1">
    <w:p w14:paraId="5315AC9D" w14:textId="2F4E68EC" w:rsidR="00421132" w:rsidRPr="00256A1A" w:rsidRDefault="00421132" w:rsidP="00256A1A">
      <w:pPr>
        <w:pStyle w:val="FootnoteText"/>
        <w:ind w:left="567" w:hanging="567"/>
        <w:rPr>
          <w:sz w:val="24"/>
          <w:lang w:val="hu-HU"/>
        </w:rPr>
      </w:pPr>
      <w:r w:rsidRPr="00256A1A">
        <w:rPr>
          <w:rStyle w:val="FootnoteReference"/>
          <w:sz w:val="24"/>
          <w:lang w:val="hu-HU"/>
        </w:rPr>
        <w:footnoteRef/>
      </w:r>
      <w:r w:rsidR="00256A1A" w:rsidRPr="00256A1A">
        <w:rPr>
          <w:sz w:val="24"/>
          <w:lang w:val="hu-HU"/>
        </w:rPr>
        <w:t xml:space="preserve"> </w:t>
      </w:r>
      <w:r w:rsidR="00256A1A" w:rsidRPr="00256A1A">
        <w:rPr>
          <w:sz w:val="24"/>
          <w:lang w:val="hu-HU"/>
        </w:rPr>
        <w:tab/>
      </w:r>
      <w:r w:rsidRPr="00256A1A">
        <w:rPr>
          <w:sz w:val="24"/>
          <w:lang w:val="hu-HU"/>
        </w:rPr>
        <w:t xml:space="preserve">HL L 189., 2021.5.28., 1. o., ELI: </w:t>
      </w:r>
      <w:hyperlink r:id="rId1" w:history="1">
        <w:r w:rsidRPr="0047294C">
          <w:rPr>
            <w:rStyle w:val="Hyperlink"/>
            <w:sz w:val="24"/>
            <w:lang w:val="hu-HU"/>
          </w:rPr>
          <w:t>http://data.europa.eu/eli/reg/2021/817/oj</w:t>
        </w:r>
      </w:hyperlink>
      <w:r w:rsidRPr="00256A1A">
        <w:rPr>
          <w:sz w:val="24"/>
          <w:lang w:val="hu-HU"/>
        </w:rPr>
        <w:t>.</w:t>
      </w:r>
    </w:p>
  </w:footnote>
  <w:footnote w:id="2">
    <w:p w14:paraId="018BEA4A" w14:textId="06372AE5" w:rsidR="00421132" w:rsidRPr="00256A1A" w:rsidRDefault="00421132" w:rsidP="00256A1A">
      <w:pPr>
        <w:pStyle w:val="FootnoteText"/>
        <w:ind w:left="567" w:hanging="567"/>
        <w:rPr>
          <w:sz w:val="24"/>
          <w:lang w:val="hu-HU"/>
        </w:rPr>
      </w:pPr>
      <w:r w:rsidRPr="00256A1A">
        <w:rPr>
          <w:rStyle w:val="FootnoteReference"/>
          <w:sz w:val="24"/>
          <w:lang w:val="hu-HU"/>
        </w:rPr>
        <w:footnoteRef/>
      </w:r>
      <w:r w:rsidR="00256A1A" w:rsidRPr="00256A1A">
        <w:rPr>
          <w:sz w:val="24"/>
          <w:lang w:val="hu-HU"/>
        </w:rPr>
        <w:t xml:space="preserve"> </w:t>
      </w:r>
      <w:r w:rsidR="00256A1A" w:rsidRPr="00256A1A">
        <w:rPr>
          <w:sz w:val="24"/>
          <w:lang w:val="hu-HU"/>
        </w:rPr>
        <w:tab/>
      </w:r>
      <w:r w:rsidRPr="00256A1A">
        <w:rPr>
          <w:sz w:val="24"/>
          <w:lang w:val="hu-HU"/>
        </w:rPr>
        <w:t>HL C 389., 2019.11.18., 1. o.</w:t>
      </w:r>
    </w:p>
  </w:footnote>
  <w:footnote w:id="3">
    <w:p w14:paraId="6FA7D7E5" w14:textId="64B7FBBA" w:rsidR="00421132" w:rsidRPr="00256A1A" w:rsidRDefault="00421132" w:rsidP="00256A1A">
      <w:pPr>
        <w:pStyle w:val="FootnoteText"/>
        <w:ind w:left="567" w:hanging="567"/>
        <w:rPr>
          <w:sz w:val="24"/>
          <w:lang w:val="hu-HU"/>
        </w:rPr>
      </w:pPr>
      <w:r w:rsidRPr="00256A1A">
        <w:rPr>
          <w:rStyle w:val="FootnoteReference"/>
          <w:sz w:val="24"/>
          <w:lang w:val="hu-HU"/>
        </w:rPr>
        <w:footnoteRef/>
      </w:r>
      <w:r w:rsidR="00256A1A" w:rsidRPr="00256A1A">
        <w:rPr>
          <w:sz w:val="24"/>
          <w:lang w:val="hu-HU"/>
        </w:rPr>
        <w:t xml:space="preserve"> </w:t>
      </w:r>
      <w:r w:rsidR="00256A1A" w:rsidRPr="00256A1A">
        <w:rPr>
          <w:sz w:val="24"/>
          <w:lang w:val="hu-HU"/>
        </w:rPr>
        <w:tab/>
      </w:r>
      <w:r w:rsidRPr="00256A1A">
        <w:rPr>
          <w:sz w:val="24"/>
          <w:lang w:val="hu-HU"/>
        </w:rPr>
        <w:t>HL C 504., 2021.12.14., 9. o.</w:t>
      </w:r>
    </w:p>
  </w:footnote>
  <w:footnote w:id="4">
    <w:p w14:paraId="1512632F" w14:textId="24A0A5BD" w:rsidR="00421132" w:rsidRPr="00256A1A" w:rsidRDefault="00421132" w:rsidP="00256A1A">
      <w:pPr>
        <w:pStyle w:val="FootnoteText"/>
        <w:ind w:left="567" w:hanging="567"/>
        <w:rPr>
          <w:sz w:val="24"/>
          <w:lang w:val="hu-HU"/>
        </w:rPr>
      </w:pPr>
      <w:r w:rsidRPr="00256A1A">
        <w:rPr>
          <w:rStyle w:val="FootnoteReference"/>
          <w:sz w:val="24"/>
          <w:lang w:val="hu-HU"/>
        </w:rPr>
        <w:footnoteRef/>
      </w:r>
      <w:r w:rsidR="00256A1A" w:rsidRPr="00256A1A">
        <w:rPr>
          <w:sz w:val="24"/>
          <w:lang w:val="hu-HU"/>
        </w:rPr>
        <w:t xml:space="preserve"> </w:t>
      </w:r>
      <w:r w:rsidR="00256A1A" w:rsidRPr="00256A1A">
        <w:rPr>
          <w:sz w:val="24"/>
          <w:lang w:val="hu-HU"/>
        </w:rPr>
        <w:tab/>
      </w:r>
      <w:r w:rsidRPr="00256A1A">
        <w:rPr>
          <w:sz w:val="24"/>
          <w:lang w:val="hu-HU"/>
        </w:rPr>
        <w:t xml:space="preserve">HL C, C/2024/3364, 2024.6.14., ELI: </w:t>
      </w:r>
      <w:hyperlink r:id="rId2" w:history="1">
        <w:r w:rsidRPr="0047294C">
          <w:rPr>
            <w:rStyle w:val="Hyperlink"/>
            <w:sz w:val="24"/>
            <w:lang w:val="hu-HU"/>
          </w:rPr>
          <w:t>http://data.europa.eu/eli/C/2024/3364/oj</w:t>
        </w:r>
      </w:hyperlink>
      <w:r w:rsidRPr="00256A1A">
        <w:rPr>
          <w:sz w:val="24"/>
          <w:lang w:val="hu-HU"/>
        </w:rPr>
        <w:t>.</w:t>
      </w:r>
    </w:p>
  </w:footnote>
  <w:footnote w:id="5">
    <w:p w14:paraId="7D73ABCE" w14:textId="500C3586" w:rsidR="00421132" w:rsidRPr="00256A1A" w:rsidRDefault="00421132" w:rsidP="00256A1A">
      <w:pPr>
        <w:pStyle w:val="FootnoteText"/>
        <w:ind w:left="567" w:hanging="567"/>
        <w:rPr>
          <w:sz w:val="24"/>
          <w:lang w:val="hu-HU"/>
        </w:rPr>
      </w:pPr>
      <w:r w:rsidRPr="00256A1A">
        <w:rPr>
          <w:rStyle w:val="FootnoteReference"/>
          <w:sz w:val="24"/>
          <w:lang w:val="hu-HU"/>
        </w:rPr>
        <w:footnoteRef/>
      </w:r>
      <w:r w:rsidR="00256A1A" w:rsidRPr="00256A1A">
        <w:rPr>
          <w:sz w:val="24"/>
          <w:lang w:val="hu-HU"/>
        </w:rPr>
        <w:t xml:space="preserve"> </w:t>
      </w:r>
      <w:r w:rsidR="00256A1A" w:rsidRPr="00256A1A">
        <w:rPr>
          <w:sz w:val="24"/>
          <w:lang w:val="hu-HU"/>
        </w:rPr>
        <w:tab/>
      </w:r>
      <w:r w:rsidRPr="00256A1A">
        <w:rPr>
          <w:sz w:val="24"/>
          <w:lang w:val="hu-HU"/>
        </w:rPr>
        <w:t>HL L 431., 2021.</w:t>
      </w:r>
      <w:r w:rsidR="00971077">
        <w:rPr>
          <w:sz w:val="24"/>
          <w:lang w:val="hu-HU"/>
        </w:rPr>
        <w:t>12</w:t>
      </w:r>
      <w:r w:rsidRPr="00256A1A">
        <w:rPr>
          <w:sz w:val="24"/>
          <w:lang w:val="hu-HU"/>
        </w:rPr>
        <w:t xml:space="preserve">.2., </w:t>
      </w:r>
      <w:r w:rsidR="00385896">
        <w:rPr>
          <w:sz w:val="24"/>
          <w:lang w:val="hu-HU"/>
        </w:rPr>
        <w:t>1</w:t>
      </w:r>
      <w:r w:rsidRPr="00256A1A">
        <w:rPr>
          <w:sz w:val="24"/>
          <w:lang w:val="hu-HU"/>
        </w:rPr>
        <w:t xml:space="preserve">. o., ELI: </w:t>
      </w:r>
      <w:hyperlink r:id="rId3" w:history="1">
        <w:r w:rsidRPr="0047294C">
          <w:rPr>
            <w:rStyle w:val="Hyperlink"/>
            <w:sz w:val="24"/>
            <w:lang w:val="hu-HU"/>
          </w:rPr>
          <w:t>http://data.europa.eu/eli/reco/2021/2122/oj</w:t>
        </w:r>
      </w:hyperlink>
      <w:r w:rsidRPr="00256A1A">
        <w:rPr>
          <w:sz w:val="24"/>
          <w:lang w:val="hu-HU"/>
        </w:rPr>
        <w:t>.</w:t>
      </w:r>
    </w:p>
  </w:footnote>
  <w:footnote w:id="6">
    <w:p w14:paraId="599304B5" w14:textId="22897FCF" w:rsidR="00421132" w:rsidRPr="00256A1A" w:rsidRDefault="00421132" w:rsidP="00256A1A">
      <w:pPr>
        <w:pStyle w:val="FootnoteText"/>
        <w:ind w:left="567" w:hanging="567"/>
        <w:rPr>
          <w:sz w:val="24"/>
          <w:lang w:val="hu-HU"/>
        </w:rPr>
      </w:pPr>
      <w:r w:rsidRPr="00256A1A">
        <w:rPr>
          <w:rStyle w:val="FootnoteReference"/>
          <w:sz w:val="24"/>
          <w:lang w:val="hu-HU"/>
        </w:rPr>
        <w:footnoteRef/>
      </w:r>
      <w:r w:rsidR="00256A1A" w:rsidRPr="00256A1A">
        <w:rPr>
          <w:sz w:val="24"/>
          <w:lang w:val="hu-HU"/>
        </w:rPr>
        <w:t xml:space="preserve"> </w:t>
      </w:r>
      <w:r w:rsidR="00256A1A" w:rsidRPr="00256A1A">
        <w:rPr>
          <w:sz w:val="24"/>
          <w:lang w:val="hu-HU"/>
        </w:rPr>
        <w:tab/>
      </w:r>
      <w:r w:rsidRPr="0047294C">
        <w:rPr>
          <w:sz w:val="24"/>
          <w:u w:color="0000FF"/>
          <w:lang w:val="hu-HU"/>
        </w:rPr>
        <w:t>Európai Bizottság:</w:t>
      </w:r>
      <w:r w:rsidR="0047294C" w:rsidRPr="0047294C">
        <w:rPr>
          <w:sz w:val="24"/>
          <w:u w:color="0000FF"/>
          <w:lang w:val="hu-HU"/>
        </w:rPr>
        <w:t xml:space="preserve"> </w:t>
      </w:r>
      <w:r w:rsidRPr="0047294C">
        <w:rPr>
          <w:sz w:val="24"/>
          <w:u w:color="0000FF"/>
          <w:lang w:val="hu-HU"/>
        </w:rPr>
        <w:t>Oktatásügyi, Ifjúságpolitikai, Sportügyi és Kulturális Főigazgatóság és mások</w:t>
      </w:r>
      <w:r w:rsidR="0047294C" w:rsidRPr="0047294C">
        <w:rPr>
          <w:sz w:val="24"/>
          <w:u w:color="0000FF"/>
          <w:lang w:val="hu-HU"/>
        </w:rPr>
        <w:t xml:space="preserve">. </w:t>
      </w:r>
      <w:r w:rsidRPr="0047294C">
        <w:rPr>
          <w:sz w:val="24"/>
          <w:u w:color="0000FF"/>
          <w:lang w:val="hu-HU"/>
        </w:rPr>
        <w:t>Jelentés az Európai Egyetemek kezdeményezés eredményeiről és a benne rejlő átalakító hatásról, az Európai Unió Kiadóhivatala, 2025</w:t>
      </w:r>
      <w:r w:rsidR="00223F41">
        <w:rPr>
          <w:sz w:val="24"/>
          <w:u w:color="0000FF"/>
          <w:lang w:val="hu-HU"/>
        </w:rPr>
        <w:t xml:space="preserve">, </w:t>
      </w:r>
      <w:hyperlink r:id="rId4" w:history="1">
        <w:r w:rsidR="00223F41" w:rsidRPr="00CD414A">
          <w:rPr>
            <w:rStyle w:val="Hyperlink"/>
            <w:sz w:val="24"/>
            <w:lang w:val="hu-HU"/>
          </w:rPr>
          <w:t>https://data.europa.eu/doi/10.2766/32313</w:t>
        </w:r>
      </w:hyperlink>
      <w:r w:rsidR="00807AF5">
        <w:rPr>
          <w:sz w:val="24"/>
          <w:u w:color="0000FF"/>
          <w:lang w:val="hu-HU"/>
        </w:rPr>
        <w:t>.</w:t>
      </w:r>
    </w:p>
  </w:footnote>
  <w:footnote w:id="7">
    <w:p w14:paraId="78286BCB" w14:textId="7546D285" w:rsidR="00421132" w:rsidRPr="00256A1A" w:rsidRDefault="00421132" w:rsidP="00256A1A">
      <w:pPr>
        <w:pStyle w:val="FootnoteText"/>
        <w:ind w:left="567" w:hanging="567"/>
        <w:rPr>
          <w:sz w:val="24"/>
          <w:lang w:val="hu-HU"/>
        </w:rPr>
      </w:pPr>
      <w:r w:rsidRPr="00256A1A">
        <w:rPr>
          <w:rStyle w:val="FootnoteReference"/>
          <w:sz w:val="24"/>
          <w:lang w:val="hu-HU"/>
        </w:rPr>
        <w:footnoteRef/>
      </w:r>
      <w:r w:rsidR="00256A1A" w:rsidRPr="00256A1A">
        <w:rPr>
          <w:sz w:val="24"/>
          <w:lang w:val="hu-HU"/>
        </w:rPr>
        <w:t xml:space="preserve"> </w:t>
      </w:r>
      <w:r w:rsidR="00256A1A" w:rsidRPr="00256A1A">
        <w:rPr>
          <w:sz w:val="24"/>
          <w:lang w:val="hu-HU"/>
        </w:rPr>
        <w:tab/>
      </w:r>
      <w:r w:rsidRPr="00256A1A">
        <w:rPr>
          <w:sz w:val="24"/>
          <w:lang w:val="hu-HU"/>
        </w:rPr>
        <w:t>HL C 32., 2023.1.27., 58. o.</w:t>
      </w:r>
    </w:p>
  </w:footnote>
  <w:footnote w:id="8">
    <w:p w14:paraId="41BC34FF" w14:textId="63F384CA" w:rsidR="00421132" w:rsidRPr="00256A1A" w:rsidRDefault="00421132" w:rsidP="00256A1A">
      <w:pPr>
        <w:pStyle w:val="FootnoteText"/>
        <w:ind w:left="567" w:hanging="567"/>
        <w:rPr>
          <w:sz w:val="24"/>
          <w:lang w:val="hu-HU"/>
        </w:rPr>
      </w:pPr>
      <w:r w:rsidRPr="00256A1A">
        <w:rPr>
          <w:rStyle w:val="FootnoteReference"/>
          <w:sz w:val="24"/>
          <w:lang w:val="hu-HU"/>
        </w:rPr>
        <w:footnoteRef/>
      </w:r>
      <w:r w:rsidR="00256A1A" w:rsidRPr="00256A1A">
        <w:rPr>
          <w:sz w:val="24"/>
          <w:lang w:val="hu-HU"/>
        </w:rPr>
        <w:t xml:space="preserve"> </w:t>
      </w:r>
      <w:r w:rsidR="00256A1A" w:rsidRPr="00256A1A">
        <w:rPr>
          <w:sz w:val="24"/>
          <w:lang w:val="hu-HU"/>
        </w:rPr>
        <w:tab/>
      </w:r>
      <w:r w:rsidRPr="00256A1A">
        <w:rPr>
          <w:sz w:val="24"/>
          <w:lang w:val="hu-HU"/>
        </w:rPr>
        <w:t>HL C 385., 2021.9.22., 2. o.</w:t>
      </w:r>
    </w:p>
  </w:footnote>
  <w:footnote w:id="9">
    <w:p w14:paraId="6C49E3FD" w14:textId="1196015C" w:rsidR="00421132" w:rsidRPr="00256A1A" w:rsidRDefault="00421132" w:rsidP="00256A1A">
      <w:pPr>
        <w:pStyle w:val="FootnoteText"/>
        <w:ind w:left="567" w:hanging="567"/>
        <w:rPr>
          <w:sz w:val="24"/>
          <w:lang w:val="hu-HU"/>
        </w:rPr>
      </w:pPr>
      <w:r w:rsidRPr="00256A1A">
        <w:rPr>
          <w:rStyle w:val="FootnoteReference"/>
          <w:sz w:val="24"/>
          <w:lang w:val="hu-HU"/>
        </w:rPr>
        <w:footnoteRef/>
      </w:r>
      <w:r w:rsidR="00256A1A" w:rsidRPr="00256A1A">
        <w:rPr>
          <w:sz w:val="24"/>
          <w:lang w:val="hu-HU"/>
        </w:rPr>
        <w:t xml:space="preserve"> </w:t>
      </w:r>
      <w:r w:rsidR="00256A1A" w:rsidRPr="00256A1A">
        <w:rPr>
          <w:sz w:val="24"/>
          <w:lang w:val="hu-HU"/>
        </w:rPr>
        <w:tab/>
      </w:r>
      <w:r w:rsidRPr="00256A1A">
        <w:rPr>
          <w:sz w:val="24"/>
          <w:lang w:val="hu-HU"/>
        </w:rPr>
        <w:t xml:space="preserve">HL </w:t>
      </w:r>
      <w:r w:rsidR="00971077">
        <w:rPr>
          <w:sz w:val="24"/>
          <w:lang w:val="hu-HU"/>
        </w:rPr>
        <w:t>C</w:t>
      </w:r>
      <w:r w:rsidRPr="00256A1A">
        <w:rPr>
          <w:sz w:val="24"/>
          <w:lang w:val="hu-HU"/>
        </w:rPr>
        <w:t> 479., 2022.12.16., 65. o.</w:t>
      </w:r>
    </w:p>
  </w:footnote>
  <w:footnote w:id="10">
    <w:p w14:paraId="69BC5A71" w14:textId="4A068E63" w:rsidR="00421132" w:rsidRPr="00256A1A" w:rsidRDefault="00421132" w:rsidP="00256A1A">
      <w:pPr>
        <w:pStyle w:val="FootnoteText"/>
        <w:ind w:left="567" w:hanging="567"/>
        <w:rPr>
          <w:sz w:val="24"/>
          <w:lang w:val="hu-HU"/>
        </w:rPr>
      </w:pPr>
      <w:r w:rsidRPr="00256A1A">
        <w:rPr>
          <w:rStyle w:val="FootnoteReference"/>
          <w:sz w:val="24"/>
          <w:lang w:val="hu-HU"/>
        </w:rPr>
        <w:footnoteRef/>
      </w:r>
      <w:r w:rsidR="00256A1A" w:rsidRPr="00256A1A">
        <w:rPr>
          <w:sz w:val="24"/>
          <w:lang w:val="hu-HU"/>
        </w:rPr>
        <w:t xml:space="preserve"> </w:t>
      </w:r>
      <w:r w:rsidR="00256A1A" w:rsidRPr="00256A1A">
        <w:rPr>
          <w:sz w:val="24"/>
          <w:lang w:val="hu-HU"/>
        </w:rPr>
        <w:tab/>
      </w:r>
      <w:r w:rsidR="0047294C">
        <w:rPr>
          <w:sz w:val="24"/>
          <w:lang w:val="hu-HU"/>
        </w:rPr>
        <w:t>A</w:t>
      </w:r>
      <w:r w:rsidRPr="00256A1A">
        <w:rPr>
          <w:sz w:val="24"/>
          <w:lang w:val="hu-HU"/>
        </w:rPr>
        <w:t>z Európai Unióról szóló szerződés 2. cikkében, valamint az Európai Unió Alapjogi Chartájában foglaltak szerint.</w:t>
      </w:r>
    </w:p>
  </w:footnote>
  <w:footnote w:id="11">
    <w:p w14:paraId="79E692DD" w14:textId="272E7539" w:rsidR="00421132" w:rsidRPr="00256A1A" w:rsidRDefault="00421132" w:rsidP="00256A1A">
      <w:pPr>
        <w:pStyle w:val="FootnoteText"/>
        <w:ind w:left="567" w:hanging="567"/>
        <w:rPr>
          <w:sz w:val="24"/>
          <w:lang w:val="hu-HU"/>
        </w:rPr>
      </w:pPr>
      <w:r w:rsidRPr="00256A1A">
        <w:rPr>
          <w:rStyle w:val="FootnoteReference"/>
          <w:sz w:val="24"/>
          <w:lang w:val="hu-HU"/>
        </w:rPr>
        <w:footnoteRef/>
      </w:r>
      <w:r w:rsidR="00256A1A" w:rsidRPr="00256A1A">
        <w:rPr>
          <w:sz w:val="24"/>
          <w:lang w:val="hu-HU"/>
        </w:rPr>
        <w:t xml:space="preserve"> </w:t>
      </w:r>
      <w:r w:rsidR="00256A1A" w:rsidRPr="00256A1A">
        <w:rPr>
          <w:sz w:val="24"/>
          <w:lang w:val="hu-HU"/>
        </w:rPr>
        <w:tab/>
      </w:r>
      <w:r w:rsidRPr="00256A1A">
        <w:rPr>
          <w:sz w:val="24"/>
          <w:lang w:val="hu-HU"/>
        </w:rPr>
        <w:t>A 2021. május 20-i (EU) 20</w:t>
      </w:r>
      <w:r w:rsidR="00971077">
        <w:rPr>
          <w:sz w:val="24"/>
          <w:lang w:val="hu-HU"/>
        </w:rPr>
        <w:t>21</w:t>
      </w:r>
      <w:r w:rsidRPr="00256A1A">
        <w:rPr>
          <w:sz w:val="24"/>
          <w:lang w:val="hu-HU"/>
        </w:rPr>
        <w:t>/817 európai parlamenti és tanácsi rendeletben meghatározottak szerint.</w:t>
      </w:r>
    </w:p>
  </w:footnote>
  <w:footnote w:id="12">
    <w:p w14:paraId="1D9D251E" w14:textId="62358A2E" w:rsidR="00421132" w:rsidRPr="00256A1A" w:rsidRDefault="00421132" w:rsidP="00256A1A">
      <w:pPr>
        <w:pStyle w:val="FootnoteText"/>
        <w:ind w:left="567" w:hanging="567"/>
        <w:rPr>
          <w:sz w:val="24"/>
          <w:lang w:val="hu-HU"/>
        </w:rPr>
      </w:pPr>
      <w:r w:rsidRPr="00256A1A">
        <w:rPr>
          <w:rStyle w:val="FootnoteReference"/>
          <w:sz w:val="24"/>
          <w:lang w:val="hu-HU"/>
        </w:rPr>
        <w:footnoteRef/>
      </w:r>
      <w:r w:rsidR="00256A1A" w:rsidRPr="00256A1A">
        <w:rPr>
          <w:sz w:val="24"/>
          <w:lang w:val="hu-HU"/>
        </w:rPr>
        <w:t xml:space="preserve"> </w:t>
      </w:r>
      <w:r w:rsidR="00256A1A" w:rsidRPr="00256A1A">
        <w:rPr>
          <w:sz w:val="24"/>
          <w:lang w:val="hu-HU"/>
        </w:rPr>
        <w:tab/>
      </w:r>
      <w:r w:rsidRPr="00256A1A">
        <w:rPr>
          <w:sz w:val="24"/>
          <w:lang w:val="hu-HU"/>
        </w:rPr>
        <w:t xml:space="preserve">Bizottsági szolgálati </w:t>
      </w:r>
      <w:r w:rsidRPr="0047294C">
        <w:rPr>
          <w:sz w:val="24"/>
          <w:lang w:val="hu-HU"/>
        </w:rPr>
        <w:t xml:space="preserve">munkadokumentum </w:t>
      </w:r>
      <w:r w:rsidR="00807AF5">
        <w:rPr>
          <w:sz w:val="24"/>
          <w:lang w:val="hu-HU"/>
        </w:rPr>
        <w:t>(</w:t>
      </w:r>
      <w:r w:rsidR="0047294C">
        <w:rPr>
          <w:sz w:val="24"/>
          <w:lang w:val="hu-HU"/>
        </w:rPr>
        <w:t>SWD(2024)0291</w:t>
      </w:r>
      <w:r w:rsidR="00807AF5">
        <w:rPr>
          <w:sz w:val="24"/>
          <w:lang w:val="hu-HU"/>
        </w:rPr>
        <w:t>)</w:t>
      </w:r>
      <w:r w:rsidR="0047294C">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D846B" w14:textId="77777777" w:rsidR="00064002" w:rsidRPr="00256A1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F4E08" w14:textId="77777777" w:rsidR="00064002" w:rsidRPr="00256A1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17BB9" w14:textId="77777777" w:rsidR="00064002" w:rsidRPr="00256A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6005961">
    <w:abstractNumId w:val="9"/>
  </w:num>
  <w:num w:numId="2" w16cid:durableId="1777364327">
    <w:abstractNumId w:val="9"/>
  </w:num>
  <w:num w:numId="3" w16cid:durableId="1287734181">
    <w:abstractNumId w:val="7"/>
  </w:num>
  <w:num w:numId="4" w16cid:durableId="402411064">
    <w:abstractNumId w:val="7"/>
  </w:num>
  <w:num w:numId="5" w16cid:durableId="2095516137">
    <w:abstractNumId w:val="6"/>
  </w:num>
  <w:num w:numId="6" w16cid:durableId="758985048">
    <w:abstractNumId w:val="6"/>
  </w:num>
  <w:num w:numId="7" w16cid:durableId="1003585364">
    <w:abstractNumId w:val="5"/>
  </w:num>
  <w:num w:numId="8" w16cid:durableId="1776361830">
    <w:abstractNumId w:val="5"/>
  </w:num>
  <w:num w:numId="9" w16cid:durableId="1367171631">
    <w:abstractNumId w:val="4"/>
  </w:num>
  <w:num w:numId="10" w16cid:durableId="242490029">
    <w:abstractNumId w:val="4"/>
  </w:num>
  <w:num w:numId="11" w16cid:durableId="222061749">
    <w:abstractNumId w:val="8"/>
  </w:num>
  <w:num w:numId="12" w16cid:durableId="629483743">
    <w:abstractNumId w:val="8"/>
  </w:num>
  <w:num w:numId="13" w16cid:durableId="1922517124">
    <w:abstractNumId w:val="3"/>
  </w:num>
  <w:num w:numId="14" w16cid:durableId="839348394">
    <w:abstractNumId w:val="3"/>
  </w:num>
  <w:num w:numId="15" w16cid:durableId="363487262">
    <w:abstractNumId w:val="2"/>
  </w:num>
  <w:num w:numId="16" w16cid:durableId="1462306669">
    <w:abstractNumId w:val="2"/>
  </w:num>
  <w:num w:numId="17" w16cid:durableId="1543715775">
    <w:abstractNumId w:val="1"/>
  </w:num>
  <w:num w:numId="18" w16cid:durableId="707486096">
    <w:abstractNumId w:val="1"/>
  </w:num>
  <w:num w:numId="19" w16cid:durableId="1755931984">
    <w:abstractNumId w:val="0"/>
  </w:num>
  <w:num w:numId="20" w16cid:durableId="1284919372">
    <w:abstractNumId w:val="0"/>
  </w:num>
  <w:num w:numId="21" w16cid:durableId="1930583164">
    <w:abstractNumId w:val="9"/>
  </w:num>
  <w:num w:numId="22" w16cid:durableId="1728870567">
    <w:abstractNumId w:val="7"/>
  </w:num>
  <w:num w:numId="23" w16cid:durableId="1958096580">
    <w:abstractNumId w:val="6"/>
  </w:num>
  <w:num w:numId="24" w16cid:durableId="1586839402">
    <w:abstractNumId w:val="5"/>
  </w:num>
  <w:num w:numId="25" w16cid:durableId="1874612329">
    <w:abstractNumId w:val="4"/>
  </w:num>
  <w:num w:numId="26" w16cid:durableId="742218406">
    <w:abstractNumId w:val="8"/>
  </w:num>
  <w:num w:numId="27" w16cid:durableId="1172990154">
    <w:abstractNumId w:val="3"/>
  </w:num>
  <w:num w:numId="28" w16cid:durableId="138889866">
    <w:abstractNumId w:val="2"/>
  </w:num>
  <w:num w:numId="29" w16cid:durableId="1853757032">
    <w:abstractNumId w:val="1"/>
  </w:num>
  <w:num w:numId="30" w16cid:durableId="61417037">
    <w:abstractNumId w:val="0"/>
  </w:num>
  <w:num w:numId="31" w16cid:durableId="957179416">
    <w:abstractNumId w:val="9"/>
  </w:num>
  <w:num w:numId="32" w16cid:durableId="112865563">
    <w:abstractNumId w:val="7"/>
  </w:num>
  <w:num w:numId="33" w16cid:durableId="635180511">
    <w:abstractNumId w:val="6"/>
  </w:num>
  <w:num w:numId="34" w16cid:durableId="1671520486">
    <w:abstractNumId w:val="5"/>
  </w:num>
  <w:num w:numId="35" w16cid:durableId="88744714">
    <w:abstractNumId w:val="4"/>
  </w:num>
  <w:num w:numId="36" w16cid:durableId="671100930">
    <w:abstractNumId w:val="8"/>
  </w:num>
  <w:num w:numId="37" w16cid:durableId="1994024078">
    <w:abstractNumId w:val="3"/>
  </w:num>
  <w:num w:numId="38" w16cid:durableId="908885962">
    <w:abstractNumId w:val="2"/>
  </w:num>
  <w:num w:numId="39" w16cid:durableId="1241478126">
    <w:abstractNumId w:val="1"/>
  </w:num>
  <w:num w:numId="40" w16cid:durableId="1823767218">
    <w:abstractNumId w:val="0"/>
  </w:num>
  <w:num w:numId="41" w16cid:durableId="1337659230">
    <w:abstractNumId w:val="10"/>
  </w:num>
  <w:num w:numId="42" w16cid:durableId="1285648860">
    <w:abstractNumId w:val="10"/>
  </w:num>
  <w:num w:numId="43" w16cid:durableId="237981632">
    <w:abstractNumId w:val="10"/>
  </w:num>
  <w:num w:numId="44" w16cid:durableId="21377916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5/2025"/>
    <w:docVar w:name="dvlangue" w:val="HU"/>
    <w:docVar w:name="dvnumam" w:val="0"/>
    <w:docVar w:name="dvpe" w:val="770.272"/>
    <w:docVar w:name="dvrapporteur" w:val="Előadó: "/>
    <w:docVar w:name="dvtitre" w:val="Az Európai Parlament 2025.  ...-i állásfoglalása az európai egyetemi szövetségek új jövőképéről(2025/2036(INI))"/>
  </w:docVars>
  <w:rsids>
    <w:rsidRoot w:val="00167F7B"/>
    <w:rsid w:val="00002272"/>
    <w:rsid w:val="00064002"/>
    <w:rsid w:val="000677B9"/>
    <w:rsid w:val="000831BA"/>
    <w:rsid w:val="000A42CC"/>
    <w:rsid w:val="000A6073"/>
    <w:rsid w:val="000E7DD9"/>
    <w:rsid w:val="0010095E"/>
    <w:rsid w:val="00125B37"/>
    <w:rsid w:val="00167F7B"/>
    <w:rsid w:val="00187494"/>
    <w:rsid w:val="001F32AE"/>
    <w:rsid w:val="00223F41"/>
    <w:rsid w:val="00230C32"/>
    <w:rsid w:val="00256A1A"/>
    <w:rsid w:val="00274024"/>
    <w:rsid w:val="002767FF"/>
    <w:rsid w:val="002B18FE"/>
    <w:rsid w:val="002B5493"/>
    <w:rsid w:val="00335DE4"/>
    <w:rsid w:val="00343214"/>
    <w:rsid w:val="00361C00"/>
    <w:rsid w:val="00382722"/>
    <w:rsid w:val="00385896"/>
    <w:rsid w:val="00395FA1"/>
    <w:rsid w:val="003E15D4"/>
    <w:rsid w:val="00411CCE"/>
    <w:rsid w:val="0041666E"/>
    <w:rsid w:val="00421060"/>
    <w:rsid w:val="00421132"/>
    <w:rsid w:val="00471C19"/>
    <w:rsid w:val="0047294C"/>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3287"/>
    <w:rsid w:val="00731ADD"/>
    <w:rsid w:val="00734777"/>
    <w:rsid w:val="00747932"/>
    <w:rsid w:val="00751A4A"/>
    <w:rsid w:val="00756632"/>
    <w:rsid w:val="00762C74"/>
    <w:rsid w:val="00786EC0"/>
    <w:rsid w:val="007D1690"/>
    <w:rsid w:val="007E22AD"/>
    <w:rsid w:val="00807AF5"/>
    <w:rsid w:val="00817416"/>
    <w:rsid w:val="00842779"/>
    <w:rsid w:val="00865F67"/>
    <w:rsid w:val="00881A7B"/>
    <w:rsid w:val="008840E5"/>
    <w:rsid w:val="00887B3E"/>
    <w:rsid w:val="008C2AC6"/>
    <w:rsid w:val="008E07B1"/>
    <w:rsid w:val="00930C23"/>
    <w:rsid w:val="0093193B"/>
    <w:rsid w:val="009509D8"/>
    <w:rsid w:val="00950B64"/>
    <w:rsid w:val="00971077"/>
    <w:rsid w:val="00981893"/>
    <w:rsid w:val="00A047B1"/>
    <w:rsid w:val="00A1687D"/>
    <w:rsid w:val="00A43E52"/>
    <w:rsid w:val="00A4678D"/>
    <w:rsid w:val="00A6681E"/>
    <w:rsid w:val="00A778C7"/>
    <w:rsid w:val="00AB441E"/>
    <w:rsid w:val="00AB6293"/>
    <w:rsid w:val="00AE0928"/>
    <w:rsid w:val="00AF3B82"/>
    <w:rsid w:val="00B12E95"/>
    <w:rsid w:val="00B22876"/>
    <w:rsid w:val="00B558F0"/>
    <w:rsid w:val="00B86A30"/>
    <w:rsid w:val="00BD48FE"/>
    <w:rsid w:val="00BD7BD8"/>
    <w:rsid w:val="00BE6ADC"/>
    <w:rsid w:val="00C05BFE"/>
    <w:rsid w:val="00C23CD4"/>
    <w:rsid w:val="00C27D5C"/>
    <w:rsid w:val="00C61C0C"/>
    <w:rsid w:val="00C941CB"/>
    <w:rsid w:val="00CC2357"/>
    <w:rsid w:val="00CD414A"/>
    <w:rsid w:val="00CF071A"/>
    <w:rsid w:val="00D058B8"/>
    <w:rsid w:val="00D56C11"/>
    <w:rsid w:val="00D834A0"/>
    <w:rsid w:val="00D872DF"/>
    <w:rsid w:val="00D91E21"/>
    <w:rsid w:val="00DA7FCD"/>
    <w:rsid w:val="00E33025"/>
    <w:rsid w:val="00E365E1"/>
    <w:rsid w:val="00E820A4"/>
    <w:rsid w:val="00EB006A"/>
    <w:rsid w:val="00EB4772"/>
    <w:rsid w:val="00ED169E"/>
    <w:rsid w:val="00ED4235"/>
    <w:rsid w:val="00F04346"/>
    <w:rsid w:val="00F075DC"/>
    <w:rsid w:val="00F149E9"/>
    <w:rsid w:val="00F5134D"/>
    <w:rsid w:val="00F53D6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942B08"/>
  <w15:chartTrackingRefBased/>
  <w15:docId w15:val="{B75C4777-9CBA-4814-9D17-AD7E32628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21132"/>
    <w:pPr>
      <w:spacing w:before="480" w:after="240"/>
    </w:pPr>
    <w:rPr>
      <w:snapToGrid w:val="0"/>
      <w:lang w:eastAsia="en-US"/>
    </w:rPr>
  </w:style>
  <w:style w:type="paragraph" w:customStyle="1" w:styleId="NormalHanging12a">
    <w:name w:val="NormalHanging12a"/>
    <w:basedOn w:val="Normal"/>
    <w:rsid w:val="00421132"/>
    <w:pPr>
      <w:widowControl/>
      <w:spacing w:after="240"/>
      <w:ind w:left="567" w:hanging="567"/>
    </w:pPr>
    <w:rPr>
      <w:snapToGrid w:val="0"/>
      <w:lang w:eastAsia="en-US"/>
    </w:rPr>
  </w:style>
  <w:style w:type="character" w:customStyle="1" w:styleId="Bold">
    <w:name w:val="Bold"/>
    <w:uiPriority w:val="1"/>
    <w:rsid w:val="00421132"/>
    <w:rPr>
      <w:b/>
    </w:rPr>
  </w:style>
  <w:style w:type="character" w:customStyle="1" w:styleId="Italic">
    <w:name w:val="Italic"/>
    <w:uiPriority w:val="1"/>
    <w:rsid w:val="00421132"/>
    <w:rPr>
      <w:i/>
    </w:rPr>
  </w:style>
  <w:style w:type="paragraph" w:customStyle="1" w:styleId="Normal12a24b">
    <w:name w:val="Normal12a24b"/>
    <w:basedOn w:val="Normal"/>
    <w:rsid w:val="00421132"/>
    <w:pPr>
      <w:spacing w:before="360" w:after="240"/>
    </w:pPr>
    <w:rPr>
      <w:snapToGrid w:val="0"/>
      <w:lang w:eastAsia="en-US"/>
    </w:rPr>
  </w:style>
  <w:style w:type="character" w:styleId="Hyperlink">
    <w:name w:val="Hyperlink"/>
    <w:basedOn w:val="DefaultParagraphFont"/>
    <w:rsid w:val="00421132"/>
    <w:rPr>
      <w:color w:val="0000FF"/>
      <w:u w:val="single"/>
    </w:rPr>
  </w:style>
  <w:style w:type="character" w:styleId="UnresolvedMention">
    <w:name w:val="Unresolved Mention"/>
    <w:basedOn w:val="DefaultParagraphFont"/>
    <w:uiPriority w:val="99"/>
    <w:semiHidden/>
    <w:unhideWhenUsed/>
    <w:rsid w:val="0047294C"/>
    <w:rPr>
      <w:color w:val="605E5C"/>
      <w:shd w:val="clear" w:color="auto" w:fill="E1DFDD"/>
    </w:rPr>
  </w:style>
  <w:style w:type="paragraph" w:styleId="Revision">
    <w:name w:val="Revision"/>
    <w:hidden/>
    <w:uiPriority w:val="99"/>
    <w:semiHidden/>
    <w:rsid w:val="0047294C"/>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co/2021/2122/oj" TargetMode="External"/><Relationship Id="rId2" Type="http://schemas.openxmlformats.org/officeDocument/2006/relationships/hyperlink" Target="http://data.europa.eu/eli/C/2024/3364/oj" TargetMode="External"/><Relationship Id="rId1" Type="http://schemas.openxmlformats.org/officeDocument/2006/relationships/hyperlink" Target="http://data.europa.eu/eli/reg/2021/817/oj" TargetMode="External"/><Relationship Id="rId4" Type="http://schemas.openxmlformats.org/officeDocument/2006/relationships/hyperlink" Target="https://data.europa.eu/doi/10.2766/323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3375</Words>
  <Characters>24399</Characters>
  <Application>Microsoft Office Word</Application>
  <DocSecurity>0</DocSecurity>
  <Lines>975</Lines>
  <Paragraphs>264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SOLTYSOVA Zuzana</cp:lastModifiedBy>
  <cp:revision>3</cp:revision>
  <cp:lastPrinted>2004-11-19T15:42:00Z</cp:lastPrinted>
  <dcterms:created xsi:type="dcterms:W3CDTF">2025-10-14T09:33:00Z</dcterms:created>
  <dcterms:modified xsi:type="dcterms:W3CDTF">2025-11-11T14:16:00Z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A10-0135/2025</vt:lpwstr>
  </property>
  <property fmtid="{D5CDD505-2E9C-101B-9397-08002B2CF9AE}" pid="4" name="&lt;Type&gt;">
    <vt:lpwstr>RR</vt:lpwstr>
  </property>
</Properties>
</file>