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2ACE" w14:paraId="3AA78945" w14:textId="77777777" w:rsidTr="0010095E">
        <w:trPr>
          <w:trHeight w:hRule="exact" w:val="1418"/>
        </w:trPr>
        <w:tc>
          <w:tcPr>
            <w:tcW w:w="6804" w:type="dxa"/>
            <w:shd w:val="clear" w:color="auto" w:fill="auto"/>
            <w:vAlign w:val="center"/>
          </w:tcPr>
          <w:p w14:paraId="55B90485" w14:textId="77777777" w:rsidR="00751A4A" w:rsidRPr="007B2ACE" w:rsidRDefault="00CE2FC8" w:rsidP="0010095E">
            <w:pPr>
              <w:pStyle w:val="EPName"/>
            </w:pPr>
            <w:r w:rsidRPr="007B2ACE">
              <w:t>Eiropas Parlaments</w:t>
            </w:r>
          </w:p>
          <w:p w14:paraId="35EF4513" w14:textId="77777777" w:rsidR="00751A4A" w:rsidRPr="007B2ACE" w:rsidRDefault="005F1B17" w:rsidP="005F1B17">
            <w:pPr>
              <w:pStyle w:val="EPTerm"/>
              <w:rPr>
                <w:rStyle w:val="HideTWBExt"/>
                <w:noProof w:val="0"/>
                <w:vanish w:val="0"/>
                <w:color w:val="auto"/>
              </w:rPr>
            </w:pPr>
            <w:r w:rsidRPr="007B2ACE">
              <w:t>2024</w:t>
            </w:r>
            <w:r w:rsidR="00817416" w:rsidRPr="007B2ACE">
              <w:t>-202</w:t>
            </w:r>
            <w:r w:rsidRPr="007B2ACE">
              <w:t>9</w:t>
            </w:r>
          </w:p>
        </w:tc>
        <w:tc>
          <w:tcPr>
            <w:tcW w:w="2268" w:type="dxa"/>
            <w:shd w:val="clear" w:color="auto" w:fill="auto"/>
          </w:tcPr>
          <w:p w14:paraId="3739ACD0" w14:textId="77777777" w:rsidR="00751A4A" w:rsidRPr="007B2ACE" w:rsidRDefault="00187494" w:rsidP="0010095E">
            <w:pPr>
              <w:pStyle w:val="EPLogo"/>
            </w:pPr>
            <w:r w:rsidRPr="007B2ACE">
              <w:rPr>
                <w:noProof/>
                <w:lang w:eastAsia="ja-JP"/>
              </w:rPr>
              <w:drawing>
                <wp:inline distT="0" distB="0" distL="0" distR="0" wp14:anchorId="5E4FB655" wp14:editId="3312B9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49F083" w14:textId="77777777" w:rsidR="00D058B8" w:rsidRPr="007B2ACE" w:rsidRDefault="00D058B8" w:rsidP="004C5D52">
      <w:pPr>
        <w:pStyle w:val="LineTop"/>
      </w:pPr>
    </w:p>
    <w:p w14:paraId="579CA043" w14:textId="77777777" w:rsidR="00680577" w:rsidRPr="007B2ACE" w:rsidRDefault="00CE2FC8" w:rsidP="00680577">
      <w:pPr>
        <w:pStyle w:val="EPBodyTA1"/>
      </w:pPr>
      <w:r w:rsidRPr="007B2ACE">
        <w:t>PIEŅEMTIE TEKSTI</w:t>
      </w:r>
    </w:p>
    <w:p w14:paraId="2EBD1FE7" w14:textId="77777777" w:rsidR="00D058B8" w:rsidRPr="007B2ACE" w:rsidRDefault="00D058B8" w:rsidP="00D058B8">
      <w:pPr>
        <w:pStyle w:val="LineBottom"/>
      </w:pPr>
    </w:p>
    <w:p w14:paraId="287DBA89" w14:textId="6CF04604" w:rsidR="00CE2FC8" w:rsidRPr="007B2ACE" w:rsidRDefault="00CE2FC8" w:rsidP="00CE2FC8">
      <w:pPr>
        <w:pStyle w:val="ATHeading1"/>
      </w:pPr>
      <w:bookmarkStart w:id="0" w:name="TANumber"/>
      <w:r w:rsidRPr="007B2ACE">
        <w:t>P10_TA(2025)0</w:t>
      </w:r>
      <w:bookmarkEnd w:id="0"/>
      <w:r w:rsidR="00377C5E" w:rsidRPr="007B2ACE">
        <w:t>196</w:t>
      </w:r>
    </w:p>
    <w:p w14:paraId="7A69D688" w14:textId="3CBC7360" w:rsidR="00CE2FC8" w:rsidRPr="007B2ACE" w:rsidRDefault="00630321" w:rsidP="00CE2FC8">
      <w:pPr>
        <w:pStyle w:val="ATHeading2"/>
      </w:pPr>
      <w:bookmarkStart w:id="1" w:name="title"/>
      <w:r w:rsidRPr="007B2ACE">
        <w:t>Jauna perspektīva Eiropas universitāšu aliansei</w:t>
      </w:r>
      <w:bookmarkEnd w:id="1"/>
    </w:p>
    <w:p w14:paraId="49582B86" w14:textId="77777777" w:rsidR="00CE2FC8" w:rsidRPr="007B2ACE" w:rsidRDefault="00CE2FC8" w:rsidP="00CE2FC8">
      <w:pPr>
        <w:rPr>
          <w:i/>
          <w:vanish/>
        </w:rPr>
      </w:pPr>
      <w:r w:rsidRPr="007B2ACE">
        <w:rPr>
          <w:i/>
        </w:rPr>
        <w:fldChar w:fldCharType="begin"/>
      </w:r>
      <w:r w:rsidRPr="007B2ACE">
        <w:rPr>
          <w:i/>
        </w:rPr>
        <w:instrText xml:space="preserve"> TC"(</w:instrText>
      </w:r>
      <w:bookmarkStart w:id="2" w:name="DocNumber"/>
      <w:r w:rsidRPr="007B2ACE">
        <w:rPr>
          <w:i/>
        </w:rPr>
        <w:instrText>A10-0135/2025</w:instrText>
      </w:r>
      <w:bookmarkEnd w:id="2"/>
      <w:r w:rsidRPr="007B2ACE">
        <w:rPr>
          <w:i/>
        </w:rPr>
        <w:instrText xml:space="preserve"> - Referente: Laurence Farreng)"\l3 \n&gt; \* MERGEFORMAT </w:instrText>
      </w:r>
      <w:r w:rsidRPr="007B2ACE">
        <w:rPr>
          <w:i/>
        </w:rPr>
        <w:fldChar w:fldCharType="end"/>
      </w:r>
    </w:p>
    <w:p w14:paraId="568A80EE" w14:textId="77777777" w:rsidR="00CE2FC8" w:rsidRPr="007B2ACE" w:rsidRDefault="00CE2FC8" w:rsidP="00CE2FC8">
      <w:pPr>
        <w:rPr>
          <w:vanish/>
        </w:rPr>
      </w:pPr>
      <w:bookmarkStart w:id="3" w:name="Commission"/>
      <w:r w:rsidRPr="007B2ACE">
        <w:rPr>
          <w:vanish/>
        </w:rPr>
        <w:t>Kultūras un izglītības komiteja</w:t>
      </w:r>
      <w:bookmarkEnd w:id="3"/>
    </w:p>
    <w:p w14:paraId="1A810EB8" w14:textId="77777777" w:rsidR="00CE2FC8" w:rsidRPr="007B2ACE" w:rsidRDefault="00CE2FC8" w:rsidP="00CE2FC8">
      <w:pPr>
        <w:rPr>
          <w:vanish/>
        </w:rPr>
      </w:pPr>
      <w:bookmarkStart w:id="4" w:name="PE"/>
      <w:r w:rsidRPr="007B2ACE">
        <w:rPr>
          <w:vanish/>
        </w:rPr>
        <w:t>PE770.272</w:t>
      </w:r>
      <w:bookmarkEnd w:id="4"/>
    </w:p>
    <w:p w14:paraId="375912EA" w14:textId="4254F55F" w:rsidR="00D87034" w:rsidRPr="007B2ACE" w:rsidRDefault="00CE2FC8" w:rsidP="00630321">
      <w:pPr>
        <w:pStyle w:val="ATHeading3"/>
      </w:pPr>
      <w:bookmarkStart w:id="5" w:name="Sujet"/>
      <w:r w:rsidRPr="007B2ACE">
        <w:t xml:space="preserve">Eiropas Parlamenta 2025. gada </w:t>
      </w:r>
      <w:r w:rsidR="00630321" w:rsidRPr="007B2ACE">
        <w:t>11</w:t>
      </w:r>
      <w:r w:rsidRPr="007B2ACE">
        <w:t xml:space="preserve">. </w:t>
      </w:r>
      <w:r w:rsidR="00630321" w:rsidRPr="007B2ACE">
        <w:t>septembra</w:t>
      </w:r>
      <w:r w:rsidRPr="007B2ACE">
        <w:t xml:space="preserve"> rezolūcija par jaunu perspektīvu Eiropas universitāšu aliansei</w:t>
      </w:r>
      <w:bookmarkEnd w:id="5"/>
      <w:r w:rsidRPr="007B2ACE">
        <w:t xml:space="preserve"> </w:t>
      </w:r>
      <w:bookmarkStart w:id="6" w:name="References"/>
      <w:r w:rsidRPr="007B2ACE">
        <w:t>(2025/2036(INI))</w:t>
      </w:r>
      <w:bookmarkEnd w:id="6"/>
    </w:p>
    <w:p w14:paraId="6F377B70" w14:textId="77777777" w:rsidR="00D87034" w:rsidRPr="007B2ACE" w:rsidRDefault="00D87034" w:rsidP="00D87034">
      <w:pPr>
        <w:pStyle w:val="EPComma"/>
      </w:pPr>
      <w:r w:rsidRPr="007B2ACE">
        <w:rPr>
          <w:i/>
        </w:rPr>
        <w:t>Eiropas Parlaments</w:t>
      </w:r>
      <w:r w:rsidRPr="007B2ACE">
        <w:t>,</w:t>
      </w:r>
    </w:p>
    <w:p w14:paraId="3E876F20" w14:textId="77777777" w:rsidR="00D87034" w:rsidRPr="007B2ACE" w:rsidRDefault="00D87034" w:rsidP="00D87034">
      <w:pPr>
        <w:pStyle w:val="NormalHanging12a"/>
      </w:pPr>
      <w:r w:rsidRPr="007B2ACE">
        <w:t>–</w:t>
      </w:r>
      <w:r w:rsidRPr="007B2ACE">
        <w:tab/>
        <w:t>ņemot vērā Eiropas Savienības Pamattiesību hartu, jo īpaši tās 13. un 14. pantu par humanitāro un eksakto zinātņu brīvību un tiesībām uz izglītību,</w:t>
      </w:r>
    </w:p>
    <w:p w14:paraId="6CBEE6C7" w14:textId="77777777" w:rsidR="00D87034" w:rsidRPr="007B2ACE" w:rsidRDefault="00D87034" w:rsidP="00D87034">
      <w:pPr>
        <w:pStyle w:val="NormalHanging12a"/>
      </w:pPr>
      <w:r w:rsidRPr="007B2ACE">
        <w:t>–</w:t>
      </w:r>
      <w:r w:rsidRPr="007B2ACE">
        <w:tab/>
        <w:t xml:space="preserve">ņemot vērā Eiropas Parlamenta un Padomes 2021. gada 20. maija Regulu (ES) 2021/817, ar ko izveido Savienības programmu izglītības un mācību, jaunatnes un sporta jomās </w:t>
      </w:r>
      <w:r w:rsidRPr="007B2ACE">
        <w:rPr>
          <w:i/>
          <w:iCs/>
        </w:rPr>
        <w:t>Erasmus+</w:t>
      </w:r>
      <w:r w:rsidRPr="007B2ACE">
        <w:t xml:space="preserve"> un atceļ Regulu (ES) Nr. 1288/2013</w:t>
      </w:r>
      <w:r w:rsidRPr="007B2ACE">
        <w:rPr>
          <w:rStyle w:val="FootnoteReference"/>
        </w:rPr>
        <w:footnoteReference w:id="1"/>
      </w:r>
      <w:r w:rsidRPr="007B2ACE">
        <w:t>,</w:t>
      </w:r>
    </w:p>
    <w:p w14:paraId="72A85D6C" w14:textId="77777777" w:rsidR="00D87034" w:rsidRPr="007B2ACE" w:rsidRDefault="00D87034" w:rsidP="00D87034">
      <w:pPr>
        <w:pStyle w:val="NormalHanging12a"/>
      </w:pPr>
      <w:r w:rsidRPr="007B2ACE">
        <w:t>–</w:t>
      </w:r>
      <w:r w:rsidRPr="007B2ACE">
        <w:tab/>
        <w:t>ņemot vērā 2023. gada 11. septembrī klajā nākušo Kultūras un izglītības komitejas uzdevumā veikto pētījumu “EU funding programmes 2021–2027 in culture, media, education, youth and sports: first lessons, challenges and future perspectives – Erasmus+” (“ES finansējuma programmas 2021.–2027. gadam kultūras, mediju, izglītības, jaunatnes un sporta jomā: pirmās atziņas, izaicinājumi un nākotnes perspektīvas — “Erasmus+””),</w:t>
      </w:r>
    </w:p>
    <w:p w14:paraId="4014DF43" w14:textId="77777777" w:rsidR="00D87034" w:rsidRPr="007B2ACE" w:rsidRDefault="00D87034" w:rsidP="00D87034">
      <w:pPr>
        <w:pStyle w:val="NormalHanging12a"/>
      </w:pPr>
      <w:r w:rsidRPr="007B2ACE">
        <w:t>–</w:t>
      </w:r>
      <w:r w:rsidRPr="007B2ACE">
        <w:tab/>
        <w:t>ņemot vērā 2023. gada 20. jūlijā klajā nākušo Kultūras un izglītības komitejas uzdevumā veikto pētījumu “Early implementation of four 2021–2027 EU programmes: Erasmus+, Creative Europe, European Solidarity Corps and Citizens, Equality, Rights and Values (Strand 3)” (“Četru ES 2021.–2027. gada programmu sākotnējā īstenošana: “Erasmus+”, “Radošā Eiropa”, “Eiropas Solidaritātes korpuss” un “Pilsoņi, vienlīdzība, tiesības un vērtības” (3. sadaļa))”,</w:t>
      </w:r>
    </w:p>
    <w:p w14:paraId="7BC5DDE2" w14:textId="77777777" w:rsidR="00D87034" w:rsidRPr="007B2ACE" w:rsidRDefault="00D87034" w:rsidP="00D87034">
      <w:pPr>
        <w:pStyle w:val="NormalHanging12a"/>
      </w:pPr>
      <w:r w:rsidRPr="007B2ACE">
        <w:t>–</w:t>
      </w:r>
      <w:r w:rsidRPr="007B2ACE">
        <w:tab/>
        <w:t>ņemot vērā Padomes 2021. gada 17. maija secinājumus par iniciatīvu “Eiropas universitātes” — veidot tiltu starp augstāko izglītību, pētniecību, inovāciju un sabiedrību: pavērt ceļu jaunai dimensijai Eiropas augstākajā izglītībā,</w:t>
      </w:r>
    </w:p>
    <w:p w14:paraId="70DE316B" w14:textId="77777777" w:rsidR="00D87034" w:rsidRPr="007B2ACE" w:rsidRDefault="00D87034" w:rsidP="00D87034">
      <w:pPr>
        <w:pStyle w:val="NormalHanging12a"/>
      </w:pPr>
      <w:r w:rsidRPr="007B2ACE">
        <w:t>–</w:t>
      </w:r>
      <w:r w:rsidRPr="007B2ACE">
        <w:tab/>
        <w:t>ņemot vērā Padomes 2017. gada 14. un 15. decembra secinājumus,</w:t>
      </w:r>
    </w:p>
    <w:p w14:paraId="171ABBB4" w14:textId="77777777" w:rsidR="00D87034" w:rsidRPr="007B2ACE" w:rsidRDefault="00D87034" w:rsidP="00D87034">
      <w:pPr>
        <w:pStyle w:val="NormalHanging12a"/>
      </w:pPr>
      <w:r w:rsidRPr="007B2ACE">
        <w:lastRenderedPageBreak/>
        <w:t>–</w:t>
      </w:r>
      <w:r w:rsidRPr="007B2ACE">
        <w:tab/>
        <w:t>ņemot vērā Padomes 2018. gada 7. jūnija secinājumus par virzību uz redzējumu par Eiropas izglītības telpu,</w:t>
      </w:r>
    </w:p>
    <w:p w14:paraId="779F962B" w14:textId="77777777" w:rsidR="00D87034" w:rsidRPr="007B2ACE" w:rsidRDefault="00D87034" w:rsidP="00D87034">
      <w:pPr>
        <w:pStyle w:val="NormalHanging12a"/>
      </w:pPr>
      <w:r w:rsidRPr="007B2ACE">
        <w:t>–</w:t>
      </w:r>
      <w:r w:rsidRPr="007B2ACE">
        <w:tab/>
        <w:t>ņemot vērā Padomes 2019. gada 18. novembra rezolūciju par Eiropas izglītības telpas turpmāku attīstīšanu nolūkā atbalstīt uz nākotni orientētas izglītības un apmācības sistēmas</w:t>
      </w:r>
      <w:r w:rsidRPr="007B2ACE">
        <w:rPr>
          <w:rStyle w:val="FootnoteReference"/>
        </w:rPr>
        <w:footnoteReference w:id="2"/>
      </w:r>
      <w:r w:rsidRPr="007B2ACE">
        <w:t>,</w:t>
      </w:r>
    </w:p>
    <w:p w14:paraId="4050EF26" w14:textId="77777777" w:rsidR="00D87034" w:rsidRPr="007B2ACE" w:rsidRDefault="00D87034" w:rsidP="00D87034">
      <w:pPr>
        <w:pStyle w:val="NormalHanging12a"/>
      </w:pPr>
      <w:r w:rsidRPr="007B2ACE">
        <w:t>–</w:t>
      </w:r>
      <w:r w:rsidRPr="007B2ACE">
        <w:tab/>
        <w:t>ņemot vērā Padomes 2021. gada 29. novembra rezolūciju par jaunu Eiropas izglītības programmu pieaugušajiem 2021.–2030. gadam</w:t>
      </w:r>
      <w:r w:rsidRPr="007B2ACE">
        <w:rPr>
          <w:rStyle w:val="FootnoteReference"/>
        </w:rPr>
        <w:footnoteReference w:id="3"/>
      </w:r>
      <w:r w:rsidRPr="007B2ACE">
        <w:t>,</w:t>
      </w:r>
    </w:p>
    <w:p w14:paraId="7BF364A2" w14:textId="77777777" w:rsidR="00D87034" w:rsidRPr="007B2ACE" w:rsidRDefault="00D87034" w:rsidP="00D87034">
      <w:pPr>
        <w:pStyle w:val="NormalHanging12a"/>
      </w:pPr>
      <w:r w:rsidRPr="007B2ACE">
        <w:t>–</w:t>
      </w:r>
      <w:r w:rsidRPr="007B2ACE">
        <w:tab/>
        <w:t>ņemot vērā Padomes 2024. gada 13. maija ieteikumu “Eiropa kustībā — mācību mobilitātes iespējas visiem”</w:t>
      </w:r>
      <w:r w:rsidRPr="007B2ACE">
        <w:rPr>
          <w:rStyle w:val="FootnoteReference"/>
        </w:rPr>
        <w:footnoteReference w:id="4"/>
      </w:r>
      <w:r w:rsidRPr="007B2ACE">
        <w:t>,</w:t>
      </w:r>
    </w:p>
    <w:p w14:paraId="4368A744" w14:textId="108EA995" w:rsidR="00D87034" w:rsidRPr="007B2ACE" w:rsidRDefault="00D87034" w:rsidP="00D87034">
      <w:pPr>
        <w:pStyle w:val="NormalHanging12a"/>
      </w:pPr>
      <w:r w:rsidRPr="007B2ACE">
        <w:t>–</w:t>
      </w:r>
      <w:r w:rsidRPr="007B2ACE">
        <w:tab/>
        <w:t>ņemot vērā Komisijas 2025. gada 28. februāra priekšlikumu Padomes ieteikumam par Eiropas Pētniecības telpas (EPT) politikas programmu 2025.–2027. gadam (</w:t>
      </w:r>
      <w:r w:rsidR="00630321" w:rsidRPr="007B2ACE">
        <w:t>COM(2025)0062</w:t>
      </w:r>
      <w:r w:rsidRPr="007B2ACE">
        <w:t>),</w:t>
      </w:r>
    </w:p>
    <w:p w14:paraId="20E5C4D4" w14:textId="77777777" w:rsidR="00D87034" w:rsidRPr="007B2ACE" w:rsidRDefault="00D87034" w:rsidP="00D87034">
      <w:pPr>
        <w:pStyle w:val="NormalHanging12a"/>
      </w:pPr>
      <w:r w:rsidRPr="007B2ACE">
        <w:t>–</w:t>
      </w:r>
      <w:r w:rsidRPr="007B2ACE">
        <w:tab/>
        <w:t>ņemot vērā Padomes 2021. gada 26. novembra Ieteikumu (ES) 2021/2122 par Eiropas Pētniecības un inovācijas paktu</w:t>
      </w:r>
      <w:r w:rsidRPr="007B2ACE">
        <w:rPr>
          <w:rStyle w:val="FootnoteReference"/>
        </w:rPr>
        <w:footnoteReference w:id="5"/>
      </w:r>
      <w:r w:rsidRPr="007B2ACE">
        <w:t>,</w:t>
      </w:r>
    </w:p>
    <w:p w14:paraId="29BCCCCA" w14:textId="68B97240" w:rsidR="00D87034" w:rsidRPr="007B2ACE" w:rsidRDefault="00D87034" w:rsidP="00D87034">
      <w:pPr>
        <w:pStyle w:val="NormalHanging12a"/>
      </w:pPr>
      <w:r w:rsidRPr="007B2ACE">
        <w:t>–</w:t>
      </w:r>
      <w:r w:rsidRPr="007B2ACE">
        <w:tab/>
        <w:t>ņemot vērā Komisijas 2022. gada 18. janvāra paziņojumu par Eiropas universitāšu stratēģiju (</w:t>
      </w:r>
      <w:r w:rsidR="00630321" w:rsidRPr="007B2ACE">
        <w:rPr>
          <w:szCs w:val="24"/>
        </w:rPr>
        <w:t>COM(2022)0016</w:t>
      </w:r>
      <w:r w:rsidRPr="007B2ACE">
        <w:t>),</w:t>
      </w:r>
    </w:p>
    <w:p w14:paraId="4B0917B5" w14:textId="77777777" w:rsidR="00D87034" w:rsidRPr="007B2ACE" w:rsidRDefault="00D87034" w:rsidP="00D87034">
      <w:pPr>
        <w:pStyle w:val="NormalHanging12a"/>
      </w:pPr>
      <w:r w:rsidRPr="007B2ACE">
        <w:t>–</w:t>
      </w:r>
      <w:r w:rsidRPr="007B2ACE">
        <w:tab/>
        <w:t>ņemot vērā Komisijas 2024. gada 15. aprīļa ziņojumu “Report on good practices from European University Alliances Projects (Pilot II)” (“Ziņojums par labas prakses piemēriem Eiropas universitāšu alianšu projektos (II izmēģinājuma posms)”),</w:t>
      </w:r>
    </w:p>
    <w:p w14:paraId="36DF48AE" w14:textId="77777777" w:rsidR="00D87034" w:rsidRPr="007B2ACE" w:rsidRDefault="00D87034" w:rsidP="00D87034">
      <w:pPr>
        <w:pStyle w:val="NormalHanging12a"/>
      </w:pPr>
      <w:r w:rsidRPr="007B2ACE">
        <w:t>–</w:t>
      </w:r>
      <w:r w:rsidRPr="007B2ACE">
        <w:tab/>
        <w:t>ņemot vērā Komisijas ziņojumu par iniciatīvas “Eiropas universitātes” rezultātiem un pārveides potenciālu</w:t>
      </w:r>
      <w:r w:rsidRPr="007B2ACE">
        <w:rPr>
          <w:rStyle w:val="FootnoteReference"/>
        </w:rPr>
        <w:footnoteReference w:id="6"/>
      </w:r>
      <w:r w:rsidRPr="007B2ACE">
        <w:t>,</w:t>
      </w:r>
    </w:p>
    <w:p w14:paraId="2EF41174" w14:textId="2D60E08F" w:rsidR="00D87034" w:rsidRPr="007B2ACE" w:rsidRDefault="00D87034" w:rsidP="00D87034">
      <w:pPr>
        <w:pStyle w:val="NormalHanging12a"/>
      </w:pPr>
      <w:r w:rsidRPr="007B2ACE">
        <w:t>–</w:t>
      </w:r>
      <w:r w:rsidRPr="007B2ACE">
        <w:tab/>
        <w:t>ņemot vērā Komisijas 2024. gada 27. marta paziņojumu “Plāns virzībai uz Eiropas grādu” (</w:t>
      </w:r>
      <w:r w:rsidR="00630321" w:rsidRPr="007B2ACE">
        <w:rPr>
          <w:szCs w:val="24"/>
        </w:rPr>
        <w:t>COM(2024)0144</w:t>
      </w:r>
      <w:r w:rsidRPr="007B2ACE">
        <w:t>),</w:t>
      </w:r>
    </w:p>
    <w:p w14:paraId="644E6B9A" w14:textId="7CF359FF" w:rsidR="00D87034" w:rsidRPr="007B2ACE" w:rsidRDefault="00D87034" w:rsidP="00D87034">
      <w:pPr>
        <w:pStyle w:val="NormalHanging12a"/>
      </w:pPr>
      <w:r w:rsidRPr="007B2ACE">
        <w:t>–</w:t>
      </w:r>
      <w:r w:rsidRPr="007B2ACE">
        <w:tab/>
        <w:t xml:space="preserve">ņemot vērā Komisijas dienestu 2024. gada 27. marta darba dokumentu (SWD(2024)0074), kas pievienots Komisijas paziņojumam </w:t>
      </w:r>
      <w:r w:rsidR="00630321" w:rsidRPr="007B2ACE">
        <w:rPr>
          <w:szCs w:val="24"/>
        </w:rPr>
        <w:t>COM(2024)0144</w:t>
      </w:r>
      <w:r w:rsidRPr="007B2ACE">
        <w:t>, Komisijas 2024. gada 27. marta priekšlikumu Padomes ieteikumam par Eiropas kvalitātes nodrošināšanas un atzīšanas sistēmu augstākajā izglītībā (</w:t>
      </w:r>
      <w:r w:rsidR="00630321" w:rsidRPr="007B2ACE">
        <w:rPr>
          <w:szCs w:val="24"/>
        </w:rPr>
        <w:t>COM(2024)0147</w:t>
      </w:r>
      <w:r w:rsidRPr="007B2ACE">
        <w:t>) un Komisijas 2024. gada 27. marta priekšlikumu Padomes ieteikumam par pievilcīgu un ilgtspējīgu karjeru augstākajā izglītībā (</w:t>
      </w:r>
      <w:r w:rsidR="00630321" w:rsidRPr="007B2ACE">
        <w:rPr>
          <w:szCs w:val="24"/>
        </w:rPr>
        <w:t>COM(2024)0145</w:t>
      </w:r>
      <w:r w:rsidRPr="007B2ACE">
        <w:t>),</w:t>
      </w:r>
    </w:p>
    <w:p w14:paraId="2F82D255" w14:textId="77777777" w:rsidR="00D87034" w:rsidRPr="007B2ACE" w:rsidRDefault="00D87034" w:rsidP="00D87034">
      <w:pPr>
        <w:pStyle w:val="NormalHanging12a"/>
      </w:pPr>
      <w:r w:rsidRPr="007B2ACE">
        <w:t>–</w:t>
      </w:r>
      <w:r w:rsidRPr="007B2ACE">
        <w:tab/>
        <w:t xml:space="preserve">ņemot vērā Komisijas dienestu 2024. gada 19. decembra darba dokumentu “Report on the final outcomes of the Erasmus+ policy experimentation projects: European degree (label) and institutionalised EU cooperation instruments” (“Ziņojums par “Erasmus+” </w:t>
      </w:r>
      <w:r w:rsidRPr="007B2ACE">
        <w:lastRenderedPageBreak/>
        <w:t>politikas eksperimentālo projektu galīgajiem rezultātiem: Eiropas grāds (Eiropas grāda marķējums) un institucionalizēti ES sadarbības instrumenti”) (SWD(2024)0291);</w:t>
      </w:r>
    </w:p>
    <w:p w14:paraId="48CBC31F" w14:textId="1ED09728" w:rsidR="00D87034" w:rsidRPr="007B2ACE" w:rsidRDefault="00D87034" w:rsidP="00D87034">
      <w:pPr>
        <w:pStyle w:val="NormalHanging12a"/>
      </w:pPr>
      <w:r w:rsidRPr="007B2ACE">
        <w:t>–</w:t>
      </w:r>
      <w:r w:rsidRPr="007B2ACE">
        <w:tab/>
        <w:t>ņemot vērā Komisijas 2025. gada 5. marta paziņojumu “Prasmju savienība” (</w:t>
      </w:r>
      <w:r w:rsidR="00630321" w:rsidRPr="007B2ACE">
        <w:t>COM(2025)0090</w:t>
      </w:r>
      <w:r w:rsidRPr="007B2ACE">
        <w:t>),</w:t>
      </w:r>
    </w:p>
    <w:p w14:paraId="4C095799" w14:textId="43439566" w:rsidR="00D87034" w:rsidRPr="007B2ACE" w:rsidRDefault="00D87034" w:rsidP="00D87034">
      <w:pPr>
        <w:pStyle w:val="NormalHanging12a"/>
      </w:pPr>
      <w:r w:rsidRPr="007B2ACE">
        <w:t>–</w:t>
      </w:r>
      <w:r w:rsidRPr="007B2ACE">
        <w:tab/>
        <w:t>ņemot vērā Komisijas 2025. gada 5. marta paziņojumu “</w:t>
      </w:r>
      <w:r w:rsidRPr="007B2ACE">
        <w:rPr>
          <w:i/>
          <w:iCs/>
        </w:rPr>
        <w:t>STEM</w:t>
      </w:r>
      <w:r w:rsidRPr="007B2ACE">
        <w:t xml:space="preserve"> izglītības stratēģiskais plāns: konkurētspējai un inovācijai nepieciešamās prasmes” (</w:t>
      </w:r>
      <w:r w:rsidR="00630321" w:rsidRPr="007B2ACE">
        <w:t>COM(2025)0089</w:t>
      </w:r>
      <w:r w:rsidRPr="007B2ACE">
        <w:t>),</w:t>
      </w:r>
    </w:p>
    <w:p w14:paraId="1D727288" w14:textId="77777777" w:rsidR="00D87034" w:rsidRPr="007B2ACE" w:rsidRDefault="00D87034" w:rsidP="00D87034">
      <w:pPr>
        <w:pStyle w:val="NormalHanging12a"/>
      </w:pPr>
      <w:r w:rsidRPr="007B2ACE">
        <w:t>–</w:t>
      </w:r>
      <w:r w:rsidRPr="007B2ACE">
        <w:tab/>
        <w:t>ņemot vērā 2023. gadā veikto Eiropas izglītības telpas vidusposma pārskatīšanu,</w:t>
      </w:r>
    </w:p>
    <w:p w14:paraId="4AA09F1A" w14:textId="77777777" w:rsidR="00D87034" w:rsidRPr="007B2ACE" w:rsidRDefault="00D87034" w:rsidP="00D87034">
      <w:pPr>
        <w:pStyle w:val="NormalHanging12a"/>
      </w:pPr>
      <w:r w:rsidRPr="007B2ACE">
        <w:t>–</w:t>
      </w:r>
      <w:r w:rsidRPr="007B2ACE">
        <w:tab/>
        <w:t>ņemot vērā 2020. gada 19. novembrī Eiropas augstākās izglītības telpas ministru konferencē pieņemto Romas komunikē (“</w:t>
      </w:r>
      <w:r w:rsidRPr="007B2ACE">
        <w:rPr>
          <w:i/>
          <w:iCs/>
        </w:rPr>
        <w:t>Rome Ministerial Communiqué</w:t>
      </w:r>
      <w:r w:rsidRPr="007B2ACE">
        <w:t>”),</w:t>
      </w:r>
    </w:p>
    <w:p w14:paraId="0F047E2B" w14:textId="77777777" w:rsidR="00D87034" w:rsidRPr="007B2ACE" w:rsidRDefault="00D87034" w:rsidP="00D87034">
      <w:pPr>
        <w:pStyle w:val="NormalHanging12a"/>
      </w:pPr>
      <w:r w:rsidRPr="007B2ACE">
        <w:t>–</w:t>
      </w:r>
      <w:r w:rsidRPr="007B2ACE">
        <w:tab/>
        <w:t>ņemot vērā Boloņas koordinācijas grupas Sociālās dimensijas darba grupas (2021–2024) 2024. gada 9. janvārī publicētos augstākās izglītības sociālās dimensijas principus, pamatnostādnes un rādītājus,</w:t>
      </w:r>
    </w:p>
    <w:p w14:paraId="3A68E34E" w14:textId="77777777" w:rsidR="00D87034" w:rsidRPr="007B2ACE" w:rsidRDefault="00D87034" w:rsidP="00D87034">
      <w:pPr>
        <w:pStyle w:val="NormalHanging12a"/>
      </w:pPr>
      <w:r w:rsidRPr="007B2ACE">
        <w:t>–</w:t>
      </w:r>
      <w:r w:rsidRPr="007B2ACE">
        <w:tab/>
        <w:t>ņemot vērā 2024. gada aprīlī publicēto  neatkarīgo augsta līmeņa ziņojumu par vienotā tirgus nākotni “</w:t>
      </w:r>
      <w:r w:rsidRPr="007B2ACE">
        <w:rPr>
          <w:i/>
          <w:iCs/>
        </w:rPr>
        <w:t>Much more than a market — Speed, Security, Solidarity: Empowering the Single Market to deliver a sustainable future and prosperity for all EU Citizens</w:t>
      </w:r>
      <w:r w:rsidRPr="007B2ACE">
        <w:t>” (“Daudz vairāk nekā tirgus — ātrums, drošība, solidaritāte: vienotā tirgus iespēju palielināšana visu ES iedzīvotāju ilgtspējīgas nākotnes un labklājības vārdā”),</w:t>
      </w:r>
    </w:p>
    <w:p w14:paraId="64E4FD34" w14:textId="77777777" w:rsidR="00D87034" w:rsidRPr="007B2ACE" w:rsidRDefault="00D87034" w:rsidP="00D87034">
      <w:pPr>
        <w:pStyle w:val="NormalHanging12a"/>
      </w:pPr>
      <w:r w:rsidRPr="007B2ACE">
        <w:t>–</w:t>
      </w:r>
      <w:r w:rsidRPr="007B2ACE">
        <w:tab/>
        <w:t>ņemot vērā 2024. gada septembrī publicēto  ziņojumu “</w:t>
      </w:r>
      <w:r w:rsidRPr="007B2ACE">
        <w:rPr>
          <w:i/>
          <w:iCs/>
        </w:rPr>
        <w:t>The future of European competitiveness</w:t>
      </w:r>
      <w:r w:rsidRPr="007B2ACE">
        <w:t>” (“Eiropas konkurētspējas nākotne”),</w:t>
      </w:r>
    </w:p>
    <w:p w14:paraId="3FD293E0" w14:textId="77777777" w:rsidR="00D87034" w:rsidRPr="007B2ACE" w:rsidRDefault="00D87034" w:rsidP="00D87034">
      <w:pPr>
        <w:pStyle w:val="NormalHanging12a"/>
      </w:pPr>
      <w:r w:rsidRPr="007B2ACE">
        <w:t>–</w:t>
      </w:r>
      <w:r w:rsidRPr="007B2ACE">
        <w:tab/>
        <w:t>ņemot vērā 2024. gada oktobrī publicēto  vadītās neatkarīgu ekspertu grupas ziņojumu par pētniecību un inovāciju “</w:t>
      </w:r>
      <w:r w:rsidRPr="007B2ACE">
        <w:rPr>
          <w:i/>
          <w:iCs/>
        </w:rPr>
        <w:t>Align, Act, Accelerate — Research, Technology and Innovation to boost European Competitiveness</w:t>
      </w:r>
      <w:r w:rsidRPr="007B2ACE">
        <w:t>” (“Pielāgoties, rīkoties, paātrināt — pētniecība, tehnoloģijas un inovācija Eiropas konkurētspējas uzlabošanai”);</w:t>
      </w:r>
    </w:p>
    <w:p w14:paraId="0C7FC601" w14:textId="77777777" w:rsidR="00D87034" w:rsidRPr="007B2ACE" w:rsidRDefault="00D87034" w:rsidP="00D87034">
      <w:pPr>
        <w:pStyle w:val="NormalHanging12a"/>
      </w:pPr>
      <w:r w:rsidRPr="007B2ACE">
        <w:t>–</w:t>
      </w:r>
      <w:r w:rsidRPr="007B2ACE">
        <w:tab/>
        <w:t>ņemot vērā 2022. gada 23. jūnija rezolūciju par iekļaušanas pasākumu īstenošanu 2014.–2020. gadam paredzētās programmas “Erasmus+” satvarā</w:t>
      </w:r>
      <w:r w:rsidRPr="007B2ACE">
        <w:rPr>
          <w:rStyle w:val="FootnoteReference"/>
        </w:rPr>
        <w:footnoteReference w:id="7"/>
      </w:r>
      <w:r w:rsidRPr="007B2ACE">
        <w:t>,</w:t>
      </w:r>
    </w:p>
    <w:p w14:paraId="1CDBCEBC" w14:textId="77777777" w:rsidR="00D87034" w:rsidRPr="007B2ACE" w:rsidRDefault="00D87034" w:rsidP="00D87034">
      <w:pPr>
        <w:pStyle w:val="NormalHanging12a"/>
      </w:pPr>
      <w:r w:rsidRPr="007B2ACE">
        <w:t>–</w:t>
      </w:r>
      <w:r w:rsidRPr="007B2ACE">
        <w:tab/>
        <w:t>ņemot vērā 2020. gada 15. septembra rezolūciju par efektīviem pasākumiem programmas “Erasmus+”, programmas “Radošā Eiropa” un Eiropas Solidaritātes korpusa zaļināšanai</w:t>
      </w:r>
      <w:r w:rsidRPr="007B2ACE">
        <w:rPr>
          <w:rStyle w:val="FootnoteReference"/>
        </w:rPr>
        <w:footnoteReference w:id="8"/>
      </w:r>
      <w:r w:rsidRPr="007B2ACE">
        <w:t>,</w:t>
      </w:r>
    </w:p>
    <w:p w14:paraId="3796C8E1" w14:textId="77777777" w:rsidR="00D87034" w:rsidRPr="007B2ACE" w:rsidRDefault="00D87034" w:rsidP="00D87034">
      <w:pPr>
        <w:pStyle w:val="NormalHanging12a"/>
      </w:pPr>
      <w:r w:rsidRPr="007B2ACE">
        <w:t>–</w:t>
      </w:r>
      <w:r w:rsidRPr="007B2ACE">
        <w:tab/>
        <w:t>ņemot vērā 2022. gada 19. maija rezolūciju par Eiropas izglītības telpas izveidi līdz 2025. gadam — mikrodiplomi, individuāli mācību konti un apmācība ilgtspējīgas vides veicināšanai</w:t>
      </w:r>
      <w:r w:rsidRPr="007B2ACE">
        <w:rPr>
          <w:rStyle w:val="FootnoteReference"/>
        </w:rPr>
        <w:footnoteReference w:id="9"/>
      </w:r>
      <w:r w:rsidRPr="007B2ACE">
        <w:t>,</w:t>
      </w:r>
    </w:p>
    <w:p w14:paraId="2EA53DA0" w14:textId="77777777" w:rsidR="00D87034" w:rsidRPr="007B2ACE" w:rsidRDefault="00D87034" w:rsidP="00D87034">
      <w:pPr>
        <w:pStyle w:val="NormalHanging12a"/>
      </w:pPr>
      <w:r w:rsidRPr="007B2ACE">
        <w:t>–</w:t>
      </w:r>
      <w:r w:rsidRPr="007B2ACE">
        <w:tab/>
        <w:t>ņemot vērā Reglamenta 55. pantu,</w:t>
      </w:r>
    </w:p>
    <w:p w14:paraId="1439ED75" w14:textId="77777777" w:rsidR="00D87034" w:rsidRPr="007B2ACE" w:rsidRDefault="00D87034" w:rsidP="00D87034">
      <w:pPr>
        <w:pStyle w:val="NormalHanging12a"/>
      </w:pPr>
      <w:r w:rsidRPr="007B2ACE">
        <w:t>–</w:t>
      </w:r>
      <w:r w:rsidRPr="007B2ACE">
        <w:tab/>
        <w:t>ņemot vērā Kultūras un izglītības komitejas ziņojumu (A10-0135/2025),</w:t>
      </w:r>
    </w:p>
    <w:p w14:paraId="0D575C2D" w14:textId="77777777" w:rsidR="00D87034" w:rsidRPr="007B2ACE" w:rsidRDefault="00D87034" w:rsidP="00D87034">
      <w:pPr>
        <w:pStyle w:val="NormalHanging12a"/>
      </w:pPr>
      <w:r w:rsidRPr="007B2ACE">
        <w:lastRenderedPageBreak/>
        <w:t>A.</w:t>
      </w:r>
      <w:r w:rsidRPr="007B2ACE">
        <w:tab/>
        <w:t>tā kā kvalitatīva izglītība un apmācība, kā arī akadēmiskā sadarbība ir priekšnosacījumi Eiropas Savienības stratēģiskās autonomijas sasniegšanai, ES vērtību</w:t>
      </w:r>
      <w:r w:rsidRPr="007B2ACE">
        <w:rPr>
          <w:rStyle w:val="FootnoteReference"/>
        </w:rPr>
        <w:footnoteReference w:id="10"/>
      </w:r>
      <w:r w:rsidRPr="007B2ACE">
        <w:t xml:space="preserve"> popularizēšanai, prasmju deficīta novēršanai, piesaistot un noturot talantus, un konkurētspējas veicināšanai ar vadošajām pasaules universitātēm, pamatojoties uz cilvēkkapitāla attīstīšanu, noturīgumu un labbūtību;</w:t>
      </w:r>
    </w:p>
    <w:p w14:paraId="6B77E670" w14:textId="77777777" w:rsidR="00D87034" w:rsidRPr="007B2ACE" w:rsidRDefault="00D87034" w:rsidP="00D87034">
      <w:pPr>
        <w:pStyle w:val="NormalHanging12a"/>
      </w:pPr>
      <w:r w:rsidRPr="007B2ACE">
        <w:t>B.</w:t>
      </w:r>
      <w:r w:rsidRPr="007B2ACE">
        <w:tab/>
        <w:t>tā kā akadēmiskās vides un universitāšu svarīgā nozīme konkurētspējīgai, noturīgai un autonomai Eiropas Savienībai ir uzsvērta ziņojumā par Eiropas konkurētspējas nākotni, ziņojumā par vienotā tirgus nākotni un  ziņojumā par pamatprogrammas “Apvārsnis Eiropa” starpposma izvērtējumu;</w:t>
      </w:r>
    </w:p>
    <w:p w14:paraId="71D04A73" w14:textId="77777777" w:rsidR="00D87034" w:rsidRPr="007B2ACE" w:rsidRDefault="00D87034" w:rsidP="00D87034">
      <w:pPr>
        <w:pStyle w:val="NormalHanging12a"/>
      </w:pPr>
      <w:r w:rsidRPr="007B2ACE">
        <w:t>C.</w:t>
      </w:r>
      <w:r w:rsidRPr="007B2ACE">
        <w:tab/>
        <w:t>tā kā Eiropas Savienības augstākās izglītības un pētniecības sadrumstalotība vājina ES spēju aizsargāt savu suverenitāti, popularizēt savas vērtības un nostiprināt globālo ietekmi, tā kā lielāka integrācija varētu stiprināt ES stratēģisko pozīciju;</w:t>
      </w:r>
    </w:p>
    <w:p w14:paraId="5EC5100B" w14:textId="77777777" w:rsidR="00D87034" w:rsidRPr="007B2ACE" w:rsidRDefault="00D87034" w:rsidP="00D87034">
      <w:pPr>
        <w:pStyle w:val="NormalHanging12a"/>
      </w:pPr>
      <w:r w:rsidRPr="007B2ACE">
        <w:t>D.</w:t>
      </w:r>
      <w:r w:rsidRPr="007B2ACE">
        <w:tab/>
        <w:t>tā kā Konkurētspējas kompasā ir uzsvērta kvalitatīvas izglītības, apmācības un mūžizglītības nozīme prasmju deficīta un darbaspēka trūkuma pārvarēšanā;</w:t>
      </w:r>
    </w:p>
    <w:p w14:paraId="49054FFC" w14:textId="77777777" w:rsidR="00D87034" w:rsidRPr="007B2ACE" w:rsidRDefault="00D87034" w:rsidP="00D87034">
      <w:pPr>
        <w:pStyle w:val="NormalHanging12a"/>
      </w:pPr>
      <w:r w:rsidRPr="007B2ACE">
        <w:t>E.</w:t>
      </w:r>
      <w:r w:rsidRPr="007B2ACE">
        <w:tab/>
        <w:t>tā kā “Erasmus+” ir ES pamatprogramma, kas atbalsta izglītību, apmācību, jaunatni un sportu Eiropā un starptautiskā mērogā, veicinot mobilitāti un akadēmisko sadarbību; tā kā ciešāka mijiedarbība starp programmu “Erasmus+” un citām pastāvošajām ES programmām, piemēram, pamatprogrammu “Apvārsnis Eiropa”, labvēlīgi ietekmētu virzību uz šiem mērķiem, vienlaikus veicinot vispusīgāku pieeju augstākajai izglītībai;</w:t>
      </w:r>
    </w:p>
    <w:p w14:paraId="6BDA5627" w14:textId="77777777" w:rsidR="00D87034" w:rsidRPr="007B2ACE" w:rsidRDefault="00D87034" w:rsidP="00D87034">
      <w:pPr>
        <w:pStyle w:val="NormalHanging12a"/>
      </w:pPr>
      <w:r w:rsidRPr="007B2ACE">
        <w:t>F.</w:t>
      </w:r>
      <w:r w:rsidRPr="007B2ACE">
        <w:tab/>
        <w:t>tā kā mērķis, kas izvirzīts Eiropas universitāšu aliansēm, ir daudzdimensionāls, no kopīgu studiju programmu iedibināšanas virzoties uz starpuniversitāšu akadēmisko pilsētiņu izveidi ar spēcīgu Eiropas dimensiju, kas veicina studentu, mūžizglītībā iesaistīto izglītības guvēju, pētnieku un akadēmiskā un neakadēmiskā personāla mobilitāti, kā arī sekmējot citas vēl transformatīvākas pārmaiņas augstākās izglītības vidē dalībvalstīs un iesaistītajās valstīs, lai panāktu īsteni konkurētspējīgu Eiropas izglītības telpu;</w:t>
      </w:r>
    </w:p>
    <w:p w14:paraId="32280DAE" w14:textId="77777777" w:rsidR="00D87034" w:rsidRPr="007B2ACE" w:rsidRDefault="00D87034" w:rsidP="00D87034">
      <w:pPr>
        <w:pStyle w:val="NormalHanging12a"/>
      </w:pPr>
      <w:r w:rsidRPr="007B2ACE">
        <w:t>G.</w:t>
      </w:r>
      <w:r w:rsidRPr="007B2ACE">
        <w:tab/>
        <w:t xml:space="preserve">tā kā būtisks universitāšu misijas un darbības princips ir akadēmiskā brīvība, kā noteikts ES Pamattiesību hartas 13. pantā un </w:t>
      </w:r>
      <w:r w:rsidRPr="007B2ACE">
        <w:rPr>
          <w:i/>
          <w:iCs/>
        </w:rPr>
        <w:t>UNESCO</w:t>
      </w:r>
      <w:r w:rsidRPr="007B2ACE">
        <w:t xml:space="preserve"> 1997. gada 11. novembra Ieteikumā par augstākās izglītības iestāžu mācībspēku statusu; tā kā minētajai brīvībai ir ārkārtīgi liela nozīme demokrātisku sabiedrību labklājībā un tādēļ ir jāturpina to aizsargāt un veicināt;</w:t>
      </w:r>
    </w:p>
    <w:p w14:paraId="45A19B43" w14:textId="77777777" w:rsidR="00D87034" w:rsidRPr="007B2ACE" w:rsidRDefault="00D87034" w:rsidP="00D87034">
      <w:pPr>
        <w:pStyle w:val="NormalHanging12a"/>
      </w:pPr>
      <w:r w:rsidRPr="007B2ACE">
        <w:t>H.</w:t>
      </w:r>
      <w:r w:rsidRPr="007B2ACE">
        <w:tab/>
        <w:t>tā kā Eiropas universitāšu aliansēm, nodrošinot studentiem, pētniekiem un akadēmiskajam un neakadēmiskajam personālam raitu mobilitāti Eiropas Savienībā un ārpus tās un tādējādi dodot savu artavu pētniecības, inovācijas un izglītības veicināšanā vienotajā tirgū, ir centrāla nozīme tā dēvētās “piektās brīvības” īstenošanā, kā aprakstīts  ziņojumā;</w:t>
      </w:r>
    </w:p>
    <w:p w14:paraId="63CE2504" w14:textId="77777777" w:rsidR="00D87034" w:rsidRPr="007B2ACE" w:rsidRDefault="00D87034" w:rsidP="00D87034">
      <w:pPr>
        <w:pStyle w:val="NormalHanging12a"/>
      </w:pPr>
      <w:r w:rsidRPr="007B2ACE">
        <w:t>I.</w:t>
      </w:r>
      <w:r w:rsidRPr="007B2ACE">
        <w:tab/>
        <w:t>tā kā augstākās izglītības iestādes Eiropā saskaras ar grūtībām transnacionālās sadarbības jomā, jo īpaši raugoties uz finansējumu, būtiskām atšķirībām valstu un reģionālajā likumdošanā, juridisko statusu, pārvaldības struktūrām un līgumiskiem šķēršļiem, kas kavē dalīšanos ar zināšanām;</w:t>
      </w:r>
    </w:p>
    <w:p w14:paraId="766EF5D3" w14:textId="77777777" w:rsidR="00D87034" w:rsidRPr="007B2ACE" w:rsidRDefault="00D87034" w:rsidP="00D87034">
      <w:pPr>
        <w:pStyle w:val="NormalHanging12a"/>
      </w:pPr>
      <w:r w:rsidRPr="007B2ACE">
        <w:lastRenderedPageBreak/>
        <w:t>J.</w:t>
      </w:r>
      <w:r w:rsidRPr="007B2ACE">
        <w:tab/>
        <w:t>tā kā iniciatīva “Eiropas universitātes” darbojas sekmīgi, iesaistes un atdeves ziņā ievērojami pārspējot uz to liktās cerības; tā kā Padomes 2017. gada secinājumos noteiktais mērķis izveidot 20 alianses ir izpildīts ar uzviju, jo ir izveidotas jau 65 alianses, kuras aptver vairāk nekā 570 universitātes un vairāk nekā 2200 ārējos partnerus, turklāt tas noticis bez jebkādiem papildu budžeta piešķīrumiem un bez jebkādām garantijām attiecībā uz finansēto projektu turpināmību;</w:t>
      </w:r>
    </w:p>
    <w:p w14:paraId="19D984A9" w14:textId="77777777" w:rsidR="00D87034" w:rsidRPr="007B2ACE" w:rsidRDefault="00D87034" w:rsidP="00D87034">
      <w:pPr>
        <w:pStyle w:val="NormalHanging12a"/>
      </w:pPr>
      <w:r w:rsidRPr="007B2ACE">
        <w:t>K.</w:t>
      </w:r>
      <w:r w:rsidRPr="007B2ACE">
        <w:tab/>
        <w:t>tā kā tagadējās alianses tika izraudzītas piecos atklātos konkursos, kuros galvenā uzmanība tika pievērsta kvalitātei, izcilībai, akadēmiskajiem panākumiem, iekļautībai un taisnīgam ģeogrāfiskajam sadalījumam;</w:t>
      </w:r>
    </w:p>
    <w:p w14:paraId="48C2F52D" w14:textId="77777777" w:rsidR="00D87034" w:rsidRPr="007B2ACE" w:rsidRDefault="00D87034" w:rsidP="00D87034">
      <w:pPr>
        <w:pStyle w:val="NormalHanging12a"/>
      </w:pPr>
      <w:r w:rsidRPr="007B2ACE">
        <w:t>L.</w:t>
      </w:r>
      <w:r w:rsidRPr="007B2ACE">
        <w:tab/>
        <w:t>tā kā iniciatīva “Eiropas universitātes” ir būtisks instruments integrētas, konkurētspējīgas un iekļaujošas Eiropas izglītības telpas izveidē, kura spēj reaģēt uz globālo problemātiku, kā arī stiprināt Eiropas identitāti, kultūru un vērtības;</w:t>
      </w:r>
    </w:p>
    <w:p w14:paraId="7A449882" w14:textId="77777777" w:rsidR="00D87034" w:rsidRPr="007B2ACE" w:rsidRDefault="00D87034" w:rsidP="00D87034">
      <w:pPr>
        <w:pStyle w:val="NormalHanging12a"/>
      </w:pPr>
      <w:r w:rsidRPr="007B2ACE">
        <w:t>M.</w:t>
      </w:r>
      <w:r w:rsidRPr="007B2ACE">
        <w:tab/>
        <w:t>tā kā ir apliecinājies alianšu potenciāls pārveidot un modernizēt dalībvalstu augstākās izglītības sistēmas, ir izkristalizējusies to vadošā loma jaunas mobilās Eiropas studentu paaudzes izglītošanā un tās ir devušas savu artavu progresīvā pētniecībā; tā kā vairākās aliansēs ietilpst universitātes, kas savās valstīs pieder pie galvenajiem likumdošanas izmaiņu atbalstītājiem un virza tās;</w:t>
      </w:r>
    </w:p>
    <w:p w14:paraId="349BB946" w14:textId="77777777" w:rsidR="00D87034" w:rsidRPr="007B2ACE" w:rsidRDefault="00D87034" w:rsidP="00D87034">
      <w:pPr>
        <w:pStyle w:val="NormalHanging12a"/>
      </w:pPr>
      <w:r w:rsidRPr="007B2ACE">
        <w:t>N.</w:t>
      </w:r>
      <w:r w:rsidRPr="007B2ACE">
        <w:tab/>
        <w:t>tā kā patlaban 23 dalībvalstis līdzfinansē alianses no valsts budžeta,</w:t>
      </w:r>
    </w:p>
    <w:p w14:paraId="551F8A9F" w14:textId="77777777" w:rsidR="00D87034" w:rsidRPr="007B2ACE" w:rsidRDefault="00D87034" w:rsidP="00D87034">
      <w:pPr>
        <w:pStyle w:val="Normal12a24b"/>
        <w:rPr>
          <w:i/>
          <w:iCs/>
        </w:rPr>
      </w:pPr>
      <w:r w:rsidRPr="007B2ACE">
        <w:rPr>
          <w:rStyle w:val="Bold"/>
          <w:i/>
          <w:iCs/>
        </w:rPr>
        <w:t>Pašreizējais stāvoklis, problēmjautājumi un šķēršļi</w:t>
      </w:r>
    </w:p>
    <w:p w14:paraId="3615C796" w14:textId="77777777" w:rsidR="00D87034" w:rsidRPr="007B2ACE" w:rsidRDefault="00D87034" w:rsidP="00D87034">
      <w:pPr>
        <w:pStyle w:val="NormalHanging12a"/>
      </w:pPr>
      <w:r w:rsidRPr="007B2ACE">
        <w:t>1.</w:t>
      </w:r>
      <w:r w:rsidRPr="007B2ACE">
        <w:tab/>
        <w:t>atzīst, ka augstākās izglītības iestādes ļoti atzinīgi un atsaucīgi vērtē iniciatīvu “Eiropas universitātes” un tās lomu, tai sekmējot centienus novērst tādus šķēršļus reģionālajai, pārrobežu un starptautiskajai sadarbībai augstākās izglītības jomā kā sadrumstalots finansējums, atšķirīgas akreditācijas sistēmas un juridiski šķēršļi;</w:t>
      </w:r>
    </w:p>
    <w:p w14:paraId="7C968674" w14:textId="77777777" w:rsidR="00D87034" w:rsidRPr="007B2ACE" w:rsidRDefault="00D87034" w:rsidP="00D87034">
      <w:pPr>
        <w:pStyle w:val="NormalHanging12a"/>
      </w:pPr>
      <w:r w:rsidRPr="007B2ACE">
        <w:t>2.</w:t>
      </w:r>
      <w:r w:rsidRPr="007B2ACE">
        <w:tab/>
        <w:t>uzsver, ka mobilitātes projektiem, kopēju studiju programmu izveidei un sadarbībai starp universitātēm Eiropā ir būtiska nozīme, lai apmierinātu vajadzības stratēģiskās jomās un nostiprinātu piederības sajūtu Eiropai un ES vērtību ievērošanu, vienlaikus saglabājot Eiropas Savienības bagātīgo daudzveidību;</w:t>
      </w:r>
    </w:p>
    <w:p w14:paraId="35B0FC7D" w14:textId="77777777" w:rsidR="00D87034" w:rsidRPr="007B2ACE" w:rsidRDefault="00D87034" w:rsidP="00D87034">
      <w:pPr>
        <w:pStyle w:val="NormalHanging12a"/>
      </w:pPr>
      <w:r w:rsidRPr="007B2ACE">
        <w:t>3.</w:t>
      </w:r>
      <w:r w:rsidRPr="007B2ACE">
        <w:tab/>
        <w:t>norāda, ka alianses ir spēcīgs instruments Boloņas procesa īstenošanā un turpināšanā; uzsver, ka alianses sekmē pārveides procesus augstākās izglītības vidē, īstenojot novatoriskus risinājumus un veicinot inovatīvas pieejas, kā arī jaunas sadarbības metodes un paverot studentiem jaunas iespējas un nodrošinot pieejamību;</w:t>
      </w:r>
    </w:p>
    <w:p w14:paraId="61D3140F" w14:textId="77777777" w:rsidR="00D87034" w:rsidRPr="007B2ACE" w:rsidRDefault="00D87034" w:rsidP="00D87034">
      <w:pPr>
        <w:pStyle w:val="NormalHanging12a"/>
      </w:pPr>
      <w:r w:rsidRPr="007B2ACE">
        <w:t>4.</w:t>
      </w:r>
      <w:r w:rsidRPr="007B2ACE">
        <w:tab/>
        <w:t>uzsver, ka alianses ir visai daudzveidīgas, raugoties uz to pārvaldību, aptvertajiem tematiem un disciplīnām, kā arī tajās iesaistījušos universitāšu lielumu un atrašanās vietu; norāda uz vidēja lieluma pilsētu, lauku apvidu un tālāko reģionu universitāšu skaita ziņā plašo un sekmīgo līdzdalību, kas šo iniciatīvu dara pieejamu un iekļaujošu; uzsver, ka aliansēm nav piemērota vispārīga, universāla pieeja; norāda, ka būtiska nozīme, lai novērstu intelektuālā darbaspēka emigrāciju un starptautiski piesaistītu talantus, vienlaikus sniedzot nenovērtējamu ieguldījumu Eiropas vienotībā un integrācijā, ir tam, lai universitātes šajās aliansēs ģeogrāfiskā ziņā būtu pārstāvētas visas Eiropas mērogā;</w:t>
      </w:r>
    </w:p>
    <w:p w14:paraId="79B57CAE" w14:textId="77777777" w:rsidR="00D87034" w:rsidRPr="007B2ACE" w:rsidRDefault="00D87034" w:rsidP="00D87034">
      <w:pPr>
        <w:pStyle w:val="NormalHanging12a"/>
      </w:pPr>
      <w:r w:rsidRPr="007B2ACE">
        <w:lastRenderedPageBreak/>
        <w:t>5.</w:t>
      </w:r>
      <w:r w:rsidRPr="007B2ACE">
        <w:tab/>
        <w:t>atzinīgi vērtē studentu iesaistīšanu alianšu pārvaldības struktūrās, tādējādi ļaujot jauniešiem būtiski un reāli ietekmēt to attīstību, jo jauniešu līdzdalība demokrātiskajos lēmumu pieņemšanas procesos palīdz aliansēm vairāk raudzīties nākotnē un risināt praktiskus problēmjautājumus, ar ko studenti saskaras; uzsver, ka, iesaistot studentus, ir svarīgi to saskaņot ar studentu organizācijām, lai nodrošinātu, ka ieinteresēto personu iesaistīšana ir pārredzama, taisnīga un iekļaujoša;</w:t>
      </w:r>
    </w:p>
    <w:p w14:paraId="427D1B5E" w14:textId="77777777" w:rsidR="00D87034" w:rsidRPr="007B2ACE" w:rsidRDefault="00D87034" w:rsidP="00D87034">
      <w:pPr>
        <w:pStyle w:val="NormalHanging12a"/>
      </w:pPr>
      <w:r w:rsidRPr="007B2ACE">
        <w:t>6.</w:t>
      </w:r>
      <w:r w:rsidRPr="007B2ACE">
        <w:tab/>
        <w:t>uzsver, ka aliansēm ir potenciāls un zināšanas, kas palīdz universitātēm risināt sociālekonomiskās problēmas; uzsver, ka alianšu īstenotajās darbībās ir svarīgi kā transversālu elementu iekļaut sociālo ietekmi; aicina izstrādāt skaidras stratēģijas, kā nodrošināt ierobežotām iespējām pakļautiem cilvēkiem</w:t>
      </w:r>
      <w:r w:rsidRPr="007B2ACE">
        <w:rPr>
          <w:rStyle w:val="FootnoteReference"/>
        </w:rPr>
        <w:footnoteReference w:id="11"/>
      </w:r>
      <w:r w:rsidRPr="007B2ACE">
        <w:t xml:space="preserve"> piekļuvi visām alianšu darbībām un iekļaušanu tajās, kā arī minēto aspektu uzraudzību, jo īpaši likvidējot šķēršļus mobilitātei un novēršot visu veidu diskrimināciju saskaņā ar “Erasmus” augstākās izglītības hartu;</w:t>
      </w:r>
    </w:p>
    <w:p w14:paraId="548FBE3D" w14:textId="77777777" w:rsidR="00D87034" w:rsidRPr="007B2ACE" w:rsidRDefault="00D87034" w:rsidP="00D87034">
      <w:pPr>
        <w:pStyle w:val="NormalHanging12a"/>
      </w:pPr>
      <w:r w:rsidRPr="007B2ACE">
        <w:t>7.</w:t>
      </w:r>
      <w:r w:rsidRPr="007B2ACE">
        <w:tab/>
        <w:t>atzinīgi vērtē izmēģinājuma projektus, kuru mērķis ir izveidot Eiropas grādu un/vai juridisko statusu; tomēr uzsver, ka aliansēm nevajadzētu būt vienīgajam instrumentam inovācijas ieviešanai augstākajā izglītībā; norāda, ka aliansēm vajadzētu būt iespējai brīvi specializēties un darboties elastīgi;</w:t>
      </w:r>
    </w:p>
    <w:p w14:paraId="298202E0" w14:textId="77777777" w:rsidR="00D87034" w:rsidRPr="007B2ACE" w:rsidRDefault="00D87034" w:rsidP="00D87034">
      <w:pPr>
        <w:pStyle w:val="NormalHanging12a"/>
      </w:pPr>
      <w:r w:rsidRPr="007B2ACE">
        <w:t>8.</w:t>
      </w:r>
      <w:r w:rsidRPr="007B2ACE">
        <w:tab/>
        <w:t>atzinīgi vērtē Eiropas grāda un sagatavošanās posmā piedāvājamā marķējuma (</w:t>
      </w:r>
      <w:r w:rsidRPr="007B2ACE">
        <w:rPr>
          <w:i/>
          <w:iCs/>
        </w:rPr>
        <w:t>label</w:t>
      </w:r>
      <w:r w:rsidRPr="007B2ACE">
        <w:t>) kontekstā gūtos rezultātus sešās “Erasmus+” politikas izmēģinājuma iniciatīvās, kurās piedalījās 21 alianse</w:t>
      </w:r>
      <w:r w:rsidRPr="007B2ACE">
        <w:rPr>
          <w:rStyle w:val="FootnoteReference"/>
        </w:rPr>
        <w:footnoteReference w:id="12"/>
      </w:r>
      <w:r w:rsidRPr="007B2ACE">
        <w:t>; atzīst, ka kopīga Eiropas kritērijos balstīta Eiropas grādu sistēma nepārprotami nodrošinātu pievienoto vērtību kā solis virzībā uz grādu un diplomu atzīšanu ES līmenī; atzīst, ka šāda ES līmenī veikta atzīšana uzlabotu mobilitāti un izglītības kvalitāti, stiprinot sadarbības sistēmu un veicinot plašāku iesaistīšanos transnacionālās akadēmiskajās programmās, kā arī stiprinātu Eiropas augstākās izglītības globālo atpazīstamību un konkurētspēju;</w:t>
      </w:r>
    </w:p>
    <w:p w14:paraId="7BB5279C" w14:textId="77777777" w:rsidR="00D87034" w:rsidRPr="007B2ACE" w:rsidRDefault="00D87034" w:rsidP="00D87034">
      <w:pPr>
        <w:pStyle w:val="NormalHanging12a"/>
      </w:pPr>
      <w:r w:rsidRPr="007B2ACE">
        <w:t>9.</w:t>
      </w:r>
      <w:r w:rsidRPr="007B2ACE">
        <w:tab/>
        <w:t>norāda, ka Eiropas grāda marķējumam vajadzētu būt pieejamam visām pārējām universitāšu kopīgajām programmām un papildināt valstu kvalifikācijas sistēmas, kas vajadzības gadījumā būtu jāpielāgo, neradot papildu administratīvo slogu;</w:t>
      </w:r>
    </w:p>
    <w:p w14:paraId="6FBD7C83" w14:textId="77777777" w:rsidR="00D87034" w:rsidRPr="007B2ACE" w:rsidRDefault="00D87034" w:rsidP="00D87034">
      <w:pPr>
        <w:pStyle w:val="NormalHanging12a"/>
      </w:pPr>
      <w:r w:rsidRPr="007B2ACE">
        <w:t>10.</w:t>
      </w:r>
      <w:r w:rsidRPr="007B2ACE">
        <w:tab/>
        <w:t xml:space="preserve">pauž stingru pārliecību par alianšu potenciālu stiprināt Eiropas augstākās izglītības telpu, paverot ceļu vienotai ES līmeņa akreditācijas telpai; uzskata, ka tas ir nepieciešams solis Eiropas autonomijas nodrošināšanai, ņemot vērā, ka daudzas Eiropas augstākās izglītības iestādes, piemēram, tās, kuras piedāvā </w:t>
      </w:r>
      <w:r w:rsidRPr="007B2ACE">
        <w:rPr>
          <w:i/>
          <w:iCs/>
        </w:rPr>
        <w:t>MBA</w:t>
      </w:r>
      <w:r w:rsidRPr="007B2ACE">
        <w:t xml:space="preserve"> programmas, joprojām sadarbojas ar Amerikas akreditācijas aģentūrām;</w:t>
      </w:r>
    </w:p>
    <w:p w14:paraId="535E9CB5" w14:textId="77777777" w:rsidR="00D87034" w:rsidRPr="007B2ACE" w:rsidRDefault="00D87034" w:rsidP="00D87034">
      <w:pPr>
        <w:pStyle w:val="NormalHanging12a"/>
      </w:pPr>
      <w:r w:rsidRPr="007B2ACE">
        <w:t>11.</w:t>
      </w:r>
      <w:r w:rsidRPr="007B2ACE">
        <w:tab/>
        <w:t>atzinīgi vērtē to, ka salīdzinājumā ar citiem “Erasmus+” mobilitātes projektiem ir ievērojami audzis to mobilitātes projektu skaits, kuros iesaistīti studenti, mūžizglītības guvēji un pētnieki, kā arī akadēmiskais un neakadēmiskais personāls no alianšu sastāvā esošajām universitātēm;</w:t>
      </w:r>
    </w:p>
    <w:p w14:paraId="6FAEB3FA" w14:textId="77777777" w:rsidR="00D87034" w:rsidRPr="007B2ACE" w:rsidRDefault="00D87034" w:rsidP="00D87034">
      <w:pPr>
        <w:pStyle w:val="NormalHanging12a"/>
      </w:pPr>
      <w:r w:rsidRPr="007B2ACE">
        <w:t>12.</w:t>
      </w:r>
      <w:r w:rsidRPr="007B2ACE">
        <w:tab/>
        <w:t xml:space="preserve">tomēr norāda, ka vēl nav sasniegts sākotnējais mērķis panākt, lai 50 % studentu no iesaistītajām aliansēm bez grūtībām gūtu mobilitātes pieredzi, un ka bez atbilstošiem finansēšanas mehānismiem to panākt būs sarežģīti; šajā sakarā pauž bažas par </w:t>
      </w:r>
      <w:r w:rsidRPr="007B2ACE">
        <w:lastRenderedPageBreak/>
        <w:t>iespējamo konkurenci starp alianšu mobilitātes shēmām un universitāšu vispārējo “Erasmus+” mobilitāti, kurai ir tādi paši ierobežoti finansēšanas noteikumi, jo alianšu mobilitātei izvirzītie mērķi ir vērienīgāki nekā vispārējai “Erasmus+” mobilitātei; tādēļ aicina Komisiju izvērtēt šīs prasības;</w:t>
      </w:r>
    </w:p>
    <w:p w14:paraId="1C3B7110" w14:textId="77777777" w:rsidR="00D87034" w:rsidRPr="007B2ACE" w:rsidRDefault="00D87034" w:rsidP="00D87034">
      <w:pPr>
        <w:pStyle w:val="NormalHanging12a"/>
      </w:pPr>
      <w:r w:rsidRPr="007B2ACE">
        <w:t>13.</w:t>
      </w:r>
      <w:r w:rsidRPr="007B2ACE">
        <w:tab/>
        <w:t>pauž dziļas bažas par pašreizējiem akadēmiskās brīvības apdraudējumiem vairākās pasaules daļās, tostarp arī dažās dalībvalstīs un trešās valstīs, kuras piedalās “Erasmus+”;</w:t>
      </w:r>
    </w:p>
    <w:p w14:paraId="2F6D3460" w14:textId="77777777" w:rsidR="00D87034" w:rsidRPr="007B2ACE" w:rsidRDefault="00D87034" w:rsidP="00D87034">
      <w:pPr>
        <w:pStyle w:val="NormalHanging12a"/>
      </w:pPr>
      <w:r w:rsidRPr="007B2ACE">
        <w:t>14.</w:t>
      </w:r>
      <w:r w:rsidRPr="007B2ACE">
        <w:tab/>
        <w:t>uzsver, ka aliansēm ir jāatbalsta ES vērtības, demokrātiskā noturība un institucionālā autonomija un jāveicina aktīvs pilsoniskums; uzsver alianšu kā daudzpusējas un multikulturālas mācību vides nozīmi;</w:t>
      </w:r>
    </w:p>
    <w:p w14:paraId="0B7F1E3F" w14:textId="77777777" w:rsidR="00D87034" w:rsidRPr="007B2ACE" w:rsidRDefault="00D87034" w:rsidP="00D87034">
      <w:pPr>
        <w:pStyle w:val="NormalHanging12a"/>
      </w:pPr>
      <w:r w:rsidRPr="007B2ACE">
        <w:t>15.</w:t>
      </w:r>
      <w:r w:rsidRPr="007B2ACE">
        <w:tab/>
        <w:t>atzinīgi vērtē uz vērtībām balstītas iniciatīvas, piemēram, sadarbību, solidarizējoties ar Ukrainu, alianšu globālo tvērumu, kā arī to lomu sadarbībā ar Austrumu un Rietumbalkānu kandidātvalstīm, tām gatavojoties pievienošanās procesam;</w:t>
      </w:r>
    </w:p>
    <w:p w14:paraId="26B8026C" w14:textId="77777777" w:rsidR="00D87034" w:rsidRPr="007B2ACE" w:rsidRDefault="00D87034" w:rsidP="00D87034">
      <w:pPr>
        <w:pStyle w:val="NormalHanging12a"/>
      </w:pPr>
      <w:r w:rsidRPr="007B2ACE">
        <w:t>16.</w:t>
      </w:r>
      <w:r w:rsidRPr="007B2ACE">
        <w:tab/>
        <w:t>atzinīgi vērtē iniciatīvu “Prasmju savienība”, jo īpaši topošo priekšlikumu par nākotnē iespējamo investīciju modeli un skaidra juridiskā statusa noteikšanu aliansēm, jo tas universitātēm atvieglos Eiropas projektu uzsākšanu un vadīšanu un resursu apvienošanu, ļaus palielināt savu autonomiju, mazināt administratīvo slogu, piesaistīt finansējumu un paplašināt savu pārvaldības struktūru, jo īpaši trešo valstu universitātēm, kā arī atvieglos pārrobežu sadarbības institucionalizāciju;</w:t>
      </w:r>
    </w:p>
    <w:p w14:paraId="7C41B12A" w14:textId="77777777" w:rsidR="00D87034" w:rsidRPr="007B2ACE" w:rsidRDefault="00D87034" w:rsidP="00D87034">
      <w:pPr>
        <w:pStyle w:val="NormalHanging12a"/>
      </w:pPr>
      <w:r w:rsidRPr="007B2ACE">
        <w:t>17.</w:t>
      </w:r>
      <w:r w:rsidRPr="007B2ACE">
        <w:tab/>
        <w:t>uzsver universitāšu, tostarp arī alianšu, būtisko nozīmi uz faktiem un pierādījumiem balstītas zinātnes aizsardzībā un veicināšanā, uzticēšanās veidošanā demokrātiskajam diskursam, ES vērtībās balstītas sadarbības veicināšanā, kā arī pašu universitāšu un Eiropas augstākās izglītības sektora pievilcīguma vairošanā trešo valstu studentiem, akadēmiskajam personālam un pētniekiem;</w:t>
      </w:r>
    </w:p>
    <w:p w14:paraId="7F36807B" w14:textId="77777777" w:rsidR="00D87034" w:rsidRPr="007B2ACE" w:rsidRDefault="00D87034" w:rsidP="00D87034">
      <w:pPr>
        <w:pStyle w:val="NormalHanging12a"/>
      </w:pPr>
      <w:r w:rsidRPr="007B2ACE">
        <w:t>18.</w:t>
      </w:r>
      <w:r w:rsidRPr="007B2ACE">
        <w:tab/>
        <w:t>atzinīgi vērtē Eiropas universitāšu alianšu prakses kopienas  izveidi; uzsver tās būtisko lomu aliansēs tapušo inovāciju izplatīšanā plašākai akadēmiskajai kopienai, jo nevajadzētu atstāt novārtā universitātes un augstākās izglītības iestādes, kas neietilpst aliansēs; atgādina, ka politikai un iniciatīvām būtu jānāk par labu visai augstākās izglītības sistēmai;</w:t>
      </w:r>
    </w:p>
    <w:p w14:paraId="68EBE1FF" w14:textId="77777777" w:rsidR="00D87034" w:rsidRPr="007B2ACE" w:rsidRDefault="00D87034" w:rsidP="00D87034">
      <w:pPr>
        <w:pStyle w:val="NormalHanging12a"/>
      </w:pPr>
      <w:r w:rsidRPr="007B2ACE">
        <w:t>19.</w:t>
      </w:r>
      <w:r w:rsidRPr="007B2ACE">
        <w:tab/>
        <w:t>atzīst citu augstākās izglītības nozarē darbojošos tīklu svarīgo nozīmi, jo tie kopā pulcē plašāku Eiropas universitāšu spektru neatkarīgi no to dalības aliansēs; uzsver papildināmību starp šiem tīkliem un aliansēm un to potenciālu sagatavot augsni likumdošanas izmaiņām valsts līmenī;</w:t>
      </w:r>
    </w:p>
    <w:p w14:paraId="3C49E275" w14:textId="77777777" w:rsidR="00D87034" w:rsidRPr="007B2ACE" w:rsidRDefault="00D87034" w:rsidP="00D87034">
      <w:pPr>
        <w:pStyle w:val="NormalHanging12a"/>
      </w:pPr>
      <w:r w:rsidRPr="007B2ACE">
        <w:t>20.</w:t>
      </w:r>
      <w:r w:rsidRPr="007B2ACE">
        <w:tab/>
        <w:t>uzsver, ka universitāšu misija aptver visus četrus zināšanu četrstūra aspektus: izglītību, pētniecību, inovāciju un kalpošanu sabiedrībai; uzsver, ka aliansēm ir jābūt cieši saskaņotām ar darba tirgu, lai Eiropā risinātu prasmju deficīta un konkurētspējas problēmas;</w:t>
      </w:r>
    </w:p>
    <w:p w14:paraId="79816EC7" w14:textId="77777777" w:rsidR="00D87034" w:rsidRPr="007B2ACE" w:rsidRDefault="00D87034" w:rsidP="00D87034">
      <w:pPr>
        <w:pStyle w:val="NormalHanging12a"/>
      </w:pPr>
      <w:r w:rsidRPr="007B2ACE">
        <w:t>21.</w:t>
      </w:r>
      <w:r w:rsidRPr="007B2ACE">
        <w:tab/>
        <w:t>pauž ievērojamas bažas par to, ka, balstoties uz pašreizējo satvaru, aliansēs trūkst pētniecības un inovācijas pīlāru, un tas vājina aliansēs darbojošos universitāšu iespējas izvērst pilnu sadarbības potenciālu;</w:t>
      </w:r>
    </w:p>
    <w:p w14:paraId="7583C50C" w14:textId="77777777" w:rsidR="00D87034" w:rsidRPr="007B2ACE" w:rsidRDefault="00D87034" w:rsidP="00D87034">
      <w:pPr>
        <w:pStyle w:val="Normal12a24b"/>
        <w:rPr>
          <w:i/>
          <w:iCs/>
        </w:rPr>
      </w:pPr>
      <w:r w:rsidRPr="007B2ACE">
        <w:rPr>
          <w:rStyle w:val="Bold"/>
          <w:i/>
          <w:iCs/>
        </w:rPr>
        <w:t>Ieteikumi</w:t>
      </w:r>
    </w:p>
    <w:p w14:paraId="5B2B47D5" w14:textId="77777777" w:rsidR="00D87034" w:rsidRPr="007B2ACE" w:rsidRDefault="00D87034" w:rsidP="00D87034">
      <w:pPr>
        <w:pStyle w:val="NormalHanging12a"/>
      </w:pPr>
      <w:r w:rsidRPr="007B2ACE">
        <w:lastRenderedPageBreak/>
        <w:t>22.</w:t>
      </w:r>
      <w:r w:rsidRPr="007B2ACE">
        <w:tab/>
        <w:t>mudina alianses padziļināt saikni starp izglītību un pētniecību; uzsver alianšu ievērojamo spēju veidot pārrobežu izcilības tīklus pētniekiem un nodrošināt zināšanu apmaiņu un izplatīšanu Eiropas Savienības mērogā un ārpus tās, jo īpaši  nozarēs (dabaszinātnes, tehnoloģijas, inženierzinātnes, matemātika), tostarp Eiropas Savienībai stratēģiski nozīmīgās jomās;</w:t>
      </w:r>
    </w:p>
    <w:p w14:paraId="266F9491" w14:textId="77777777" w:rsidR="00D87034" w:rsidRPr="007B2ACE" w:rsidRDefault="00D87034" w:rsidP="00D87034">
      <w:pPr>
        <w:pStyle w:val="NormalHanging12a"/>
      </w:pPr>
      <w:r w:rsidRPr="007B2ACE">
        <w:t>23.</w:t>
      </w:r>
      <w:r w:rsidRPr="007B2ACE">
        <w:tab/>
        <w:t>uzsver, ka nākamajā daudzgadu finanšu shēmā ir jāatspoguļojas stratēģiskajam redzējumam attiecībā uz universitāšu aliansēm, lai maksimāli palielinātu to potenciālu un ietekmi; aicina Komisiju izvērtēt ikvienu aliansi, lai sniegtu atbalstu un pielāgotus risinājumus to turpmākai attīstībai;</w:t>
      </w:r>
    </w:p>
    <w:p w14:paraId="21A33E84" w14:textId="77777777" w:rsidR="00D87034" w:rsidRPr="007B2ACE" w:rsidRDefault="00D87034" w:rsidP="00D87034">
      <w:pPr>
        <w:pStyle w:val="NormalHanging12a"/>
      </w:pPr>
      <w:r w:rsidRPr="007B2ACE">
        <w:t>24.</w:t>
      </w:r>
      <w:r w:rsidRPr="007B2ACE">
        <w:tab/>
        <w:t>aicina Komisiju, dalībvalstis un alianses no projektos balstītas pieejas pāriet uz ilgtermiņā īstenojamu, pārveidojošu sadarbību, ieviešot finansēšanas modeli, kas darītu iespējamu šādu pāreju; uzsver, ka ir svarīgi, lai alianses spētu paplašināt darbību; uzsver, ka ir svarīgāk ieviest kvalitatīvos, nevis kvantitatīvos rādītājus, uzsverot pārveidojošo ietekmi Eiropas izglītības telpā;</w:t>
      </w:r>
    </w:p>
    <w:p w14:paraId="0EA21E81" w14:textId="77777777" w:rsidR="00D87034" w:rsidRPr="007B2ACE" w:rsidRDefault="00D87034" w:rsidP="00D87034">
      <w:pPr>
        <w:pStyle w:val="NormalHanging12a"/>
      </w:pPr>
      <w:r w:rsidRPr="007B2ACE">
        <w:t>25.</w:t>
      </w:r>
      <w:r w:rsidRPr="007B2ACE">
        <w:tab/>
        <w:t>uzsver, ka pašreizējām aliansēm ir vajadzīgs koordinēts, ilgtspējīgs un prognozējams finansējums; aicina Komisiju apsvērt iespēju rezervēt turpmākos konkursus sekmīgi darbojošos alianšu darbības turpināšanai, ļaujot tām padziļināt integrāciju un turpināt izvērst savus sasniegumus; aicina Komisiju pieturēties pie maksimāli vienkāršas pieteikšanās un ziņojumu sniegšanas procedūras; mudina īstenot paātrinātu atjaunotas apstiprināšanas procedūru sekmīgi darbojošos alianšu gadījumā, lai nodrošinātu nepārtrauktu finansējumu bez pārmērīga administratīvā sloga;</w:t>
      </w:r>
    </w:p>
    <w:p w14:paraId="7C78F873" w14:textId="77777777" w:rsidR="00D87034" w:rsidRPr="007B2ACE" w:rsidRDefault="00D87034" w:rsidP="00D87034">
      <w:pPr>
        <w:pStyle w:val="NormalHanging12a"/>
      </w:pPr>
      <w:r w:rsidRPr="007B2ACE">
        <w:t>26.</w:t>
      </w:r>
      <w:r w:rsidRPr="007B2ACE">
        <w:tab/>
        <w:t>atzīst, ka ir svarīgi, lai iniciatīva “Eiropas universitātes” arī turpmāk būtu programmas “Erasmus+” daļa, ņemot vērā pašreizējo satvaru; vienlaikus aicina Komisiju izpētīt, vai daudzgadu finanšu shēmā laikposmam pēc 2027. gada būtu lietderīgi izveidot īpaši pielāgotu risinājumu Eiropas universitāšu alianšu finansēšanai, paredzot iespēju izveidot atsevišķu programmu, lai alianses varētu stratēģiski plānot savu darbību, iesaistīties ilgtermiņa iniciatīvās un izveidot noturīgu sadarbību;</w:t>
      </w:r>
    </w:p>
    <w:p w14:paraId="47E05FD1" w14:textId="50D13F9E" w:rsidR="00D87034" w:rsidRPr="007B2ACE" w:rsidRDefault="00D87034" w:rsidP="00D87034">
      <w:pPr>
        <w:pStyle w:val="NormalHanging12a"/>
      </w:pPr>
      <w:r w:rsidRPr="007B2ACE">
        <w:t>27.</w:t>
      </w:r>
      <w:r w:rsidRPr="007B2ACE">
        <w:tab/>
      </w:r>
      <w:r w:rsidR="008A5EAD" w:rsidRPr="007B2ACE">
        <w:t>aicina dalībvalstis apņemties līdzfinansēt alianses no valstu budžetiem un aicina Komisiju nākt klajā ar aliansēm paredzētu vispusīgu ieguldījumu stratēģiju, kas ļautu tām īstenot savu četrkāršo misiju; norāda, ka šajā stratēģijā būtu jāparedz sinerģija ar tādām ES programmām kā “Apvārsnis Eiropa”, Eiropas Konkurētspējas fonds, Eiropas Sociālais fonds Plus un Eiropas Reģionālās attīstības fonds, lai optimizētu resursus, izvairītos no dublēšanās, stiprinātu mijiedarbību un sadarbību un saglabātu konkurētspēju;</w:t>
      </w:r>
    </w:p>
    <w:p w14:paraId="05C8C180" w14:textId="77777777" w:rsidR="00D87034" w:rsidRPr="007B2ACE" w:rsidRDefault="00D87034" w:rsidP="00D87034">
      <w:pPr>
        <w:pStyle w:val="NormalHanging12a"/>
      </w:pPr>
      <w:r w:rsidRPr="007B2ACE">
        <w:t>28.</w:t>
      </w:r>
      <w:r w:rsidRPr="007B2ACE">
        <w:tab/>
        <w:t>uzsver — lai gūtu reālus un ilgstošus panākumus kvalitātes, izcilības un iekļaušanas ziņā, atbalsts aliansēm nevar nākt tikai no ES budžeta, bet tam būtu koordinētu iemaksu veidā jānāk arī no valsts, reģionālajiem, vietējiem un privātiem avotiem, ievērojot nosacījumu, ka tiek garantēta augstākās izglītības iestāžu autonomija un aizsargāta akadēmiskā brīvība;</w:t>
      </w:r>
    </w:p>
    <w:p w14:paraId="01B4068C" w14:textId="77777777" w:rsidR="00D87034" w:rsidRPr="007B2ACE" w:rsidRDefault="00D87034" w:rsidP="00D87034">
      <w:pPr>
        <w:pStyle w:val="NormalHanging12a"/>
      </w:pPr>
      <w:r w:rsidRPr="007B2ACE">
        <w:t>29.</w:t>
      </w:r>
      <w:r w:rsidRPr="007B2ACE">
        <w:tab/>
        <w:t xml:space="preserve">uzsver abpusējos ieguvumus, ko var radīt alianšu ciešāka integrācija ar privāto sektoru; rosina iedibināt partnerības un strukturētu sadarbību starp universitātēm un uzņēmumiem, lai veidotu integrētas sistēmas, kas veicinātu inovāciju un augsta līmeņa tehnisko un profesionālo apmācību un atvieglotu studentu iekļaušanos darba tirgū, kā </w:t>
      </w:r>
      <w:r w:rsidRPr="007B2ACE">
        <w:lastRenderedPageBreak/>
        <w:t>arī pārkvalifikāciju un kvalifikācijas celšanu cilvēkiem, kuri atrodas ārpus augstākās izglītības vides;</w:t>
      </w:r>
    </w:p>
    <w:p w14:paraId="726BE16D" w14:textId="77777777" w:rsidR="00D87034" w:rsidRPr="007B2ACE" w:rsidRDefault="00D87034" w:rsidP="00D87034">
      <w:pPr>
        <w:pStyle w:val="NormalHanging12a"/>
      </w:pPr>
      <w:r w:rsidRPr="007B2ACE">
        <w:t>30.</w:t>
      </w:r>
      <w:r w:rsidRPr="007B2ACE">
        <w:tab/>
        <w:t>uzsver, ka ir jāstiprina alianšu internacionalizācija atbilstoši tam, kā to cita starpā paredz stratēģija “Global Gateway” un talantu partnerības iniciatīva; norāda, ka alianses ir īstais līmenis, kurā veidot partnerības ar trešām valstīm, it sevišķi kandidātvalstīm, un tās var nostiprināt “Erasmus+” starptautisko dimensiju, piemēram, iesaistoties “Erasmus Mundus”; aicina Komisiju un alianses nodrošināt, ka visi iesaistītie partneri ievēro ES vērtības un akadēmiskās brīvības principu, kā arī ir pievienojušies “Erasmus” augstākās izglītības hartai;</w:t>
      </w:r>
    </w:p>
    <w:p w14:paraId="2FB41820" w14:textId="77777777" w:rsidR="00D87034" w:rsidRPr="007B2ACE" w:rsidRDefault="00D87034" w:rsidP="00D87034">
      <w:pPr>
        <w:pStyle w:val="NormalHanging12a"/>
      </w:pPr>
      <w:r w:rsidRPr="007B2ACE">
        <w:t>31.</w:t>
      </w:r>
      <w:r w:rsidRPr="007B2ACE">
        <w:tab/>
        <w:t>norāda, ka alianses izmēģina inovatīvus zināšanu pasniegšanas un apguves veidus, piemēram, Eiropas līmeņa papildprogrammas, mikrodiplomus, jaukta tipa mācību mobilitāti un automātisku kvalifikāciju atzīšanu; uzsver, ka ir nepieciešams veikt ieguldījumus drošā digitālajā infrastruktūrā un stiprināt pastāvošās iniciatīvas, piemēram, Eiropas studenta apliecības ieviešanu;</w:t>
      </w:r>
    </w:p>
    <w:p w14:paraId="2B0E420B" w14:textId="77777777" w:rsidR="00D87034" w:rsidRPr="007B2ACE" w:rsidRDefault="00D87034" w:rsidP="00D87034">
      <w:pPr>
        <w:pStyle w:val="NormalHanging12a"/>
      </w:pPr>
      <w:r w:rsidRPr="007B2ACE">
        <w:t>32.</w:t>
      </w:r>
      <w:r w:rsidRPr="007B2ACE">
        <w:tab/>
        <w:t>uzsver, ka ir nepieciešams konsolidēt datorsistēmu sadarbspēju un saskaņot Eiropas un valstu rīcībpolitikas, lai izveidotu īstenas virtuālas Eiropas mēroga akadēmiskās pilsētiņas; mudina alianses vairāk sadarboties savstarpēji, lai pavērtu iespējas drošai, sadarbspējīgai studentu identifikācijai, kursu reģistrācijai un akadēmisko sekmju izrakstu apmaiņai, kā arī rosina veikt ieguldījumus jaunu izglītības tehnoloģiju integrēšanā;</w:t>
      </w:r>
    </w:p>
    <w:p w14:paraId="5D085F3C" w14:textId="77777777" w:rsidR="00D87034" w:rsidRPr="007B2ACE" w:rsidRDefault="00D87034" w:rsidP="00D87034">
      <w:pPr>
        <w:pStyle w:val="NormalHanging12a"/>
      </w:pPr>
      <w:r w:rsidRPr="007B2ACE">
        <w:t>33.</w:t>
      </w:r>
      <w:r w:rsidRPr="007B2ACE">
        <w:tab/>
        <w:t>uzsver, ka ir jāpaplašina mikrodiplomu izmantošana, balstoties uz paraugpraksi, lai alianses integrētu plašākā mācību vidē, savienojot to darbību ar citām neformālās mācīšanās iestādēm; norāda, ka ar mikrokvalifikācijām atzīta apmācība un kvalifikācijas celšana var sekmēt universitāšu grādu elastīgu pārskatīšanu, paplašināšanu un modernizāciju;</w:t>
      </w:r>
    </w:p>
    <w:p w14:paraId="253A6654" w14:textId="77777777" w:rsidR="00D87034" w:rsidRPr="007B2ACE" w:rsidRDefault="00D87034" w:rsidP="00D87034">
      <w:pPr>
        <w:pStyle w:val="NormalHanging12a"/>
      </w:pPr>
      <w:r w:rsidRPr="007B2ACE">
        <w:t>34.</w:t>
      </w:r>
      <w:r w:rsidRPr="007B2ACE">
        <w:tab/>
        <w:t>aicina Komisiju apsvērt iespēju, ja tiks izsludināti turpmāki konkursi, to nolikumos iekļaut papildu kritērijus atbilstoši tematiem, kas saistīti ar Eiropas stratēģisko autonomiju un konkurētspēju, piemēram, noturības, enerģētikas, klimata pārmaiņu, digitālās pārkārtošanās, digitālo prasmju un aizsardzības jomā, vienlaikus paturot prātā izvirzītos pamatmērķus, proti, ES vērtību ievērošanu, izglītības izcilību un inovāciju;</w:t>
      </w:r>
    </w:p>
    <w:p w14:paraId="4C745CB6" w14:textId="77777777" w:rsidR="00D87034" w:rsidRPr="007B2ACE" w:rsidRDefault="00D87034" w:rsidP="00D87034">
      <w:pPr>
        <w:pStyle w:val="NormalHanging12a"/>
      </w:pPr>
      <w:r w:rsidRPr="007B2ACE">
        <w:t>35.</w:t>
      </w:r>
      <w:r w:rsidRPr="007B2ACE">
        <w:tab/>
        <w:t>uzsver, ka ir nepieciešams, lai aliansēm būtu atbilstoša struktūra un spējas, kas ļautu atbalstīt pārnesi no akadēmiskās vides uz uzņēmējdarbības vidi, lai palīdzētu īstenot vērienīgo ES stratēģiskās autonomijas mērķi; aicina Komisiju novērst šķēršļus, kas kavē kopīgu resursu un zināšanu efektīvu koplietošanu un apvienošanu, šajā nolūkā, piemēram, īstenojot pasākumus, kas ļautu atvieglot akadēmiskā personāla un pētnieku kopīgu pieņemšanu darbā, kā arī kopīgu infrastruktūru izstrādi un izmantošanu;</w:t>
      </w:r>
    </w:p>
    <w:p w14:paraId="271594CD" w14:textId="77777777" w:rsidR="00D87034" w:rsidRPr="007B2ACE" w:rsidRDefault="00D87034" w:rsidP="00D87034">
      <w:pPr>
        <w:pStyle w:val="NormalHanging12a"/>
      </w:pPr>
      <w:r w:rsidRPr="007B2ACE">
        <w:t>36.</w:t>
      </w:r>
      <w:r w:rsidRPr="007B2ACE">
        <w:tab/>
        <w:t>uzsver, ka ir vajadzīgas efektīvas un pieejamas izpratnes veicināšanas un informēšanas kampaņas par Eiropas universitāšu aliansēm, lai veicinātu plašāku iesaisti, it sevišķi vietējā mērogā un studentu vidū, jo patlaban šīs iniciatīvas atpazīstamības līmenis ir ļoti zems;</w:t>
      </w:r>
    </w:p>
    <w:p w14:paraId="01FA386B" w14:textId="77777777" w:rsidR="00D87034" w:rsidRPr="007B2ACE" w:rsidRDefault="00D87034" w:rsidP="00D87034">
      <w:pPr>
        <w:pStyle w:val="NormalHanging12a"/>
      </w:pPr>
      <w:r w:rsidRPr="007B2ACE">
        <w:t>37.</w:t>
      </w:r>
      <w:r w:rsidRPr="007B2ACE">
        <w:tab/>
        <w:t xml:space="preserve">aicina Ungārijas valdību ievērot tiesiskumu un ES vērtības un ieviest nepieciešamās reformas, lai publiski finansēto Ungārijas universitāšu studenti, mācībspēki un pētnieki </w:t>
      </w:r>
      <w:r w:rsidRPr="007B2ACE">
        <w:lastRenderedPageBreak/>
        <w:t>varētu izmantot programmas “Erasmus+” piedāvātās priekšrocības, tostarp iesaistīties aliansēs iniciatīvas “Eiropas Universitātes” satvarā;</w:t>
      </w:r>
    </w:p>
    <w:p w14:paraId="4517E760" w14:textId="41142072" w:rsidR="00FB4483" w:rsidRPr="007B2ACE" w:rsidRDefault="00FB4483" w:rsidP="00FB4483">
      <w:pPr>
        <w:pStyle w:val="NormalHanging12a"/>
        <w:ind w:left="0" w:firstLine="0"/>
        <w:jc w:val="center"/>
      </w:pPr>
      <w:r w:rsidRPr="007B2ACE">
        <w:t>°</w:t>
      </w:r>
    </w:p>
    <w:p w14:paraId="3BD4B72A" w14:textId="6A839681" w:rsidR="00FB4483" w:rsidRPr="007B2ACE" w:rsidRDefault="00FB4483" w:rsidP="00FB4483">
      <w:pPr>
        <w:pStyle w:val="NormalHanging12a"/>
        <w:ind w:left="0" w:firstLine="0"/>
        <w:jc w:val="center"/>
      </w:pPr>
      <w:r w:rsidRPr="007B2ACE">
        <w:t>°     °</w:t>
      </w:r>
    </w:p>
    <w:p w14:paraId="77532055" w14:textId="516108BE" w:rsidR="00000FEB" w:rsidRPr="007B2ACE" w:rsidRDefault="00D87034" w:rsidP="00000FEB">
      <w:pPr>
        <w:pStyle w:val="NormalHanging12a"/>
      </w:pPr>
      <w:r w:rsidRPr="007B2ACE">
        <w:t>38.</w:t>
      </w:r>
      <w:r w:rsidRPr="007B2ACE">
        <w:tab/>
        <w:t>uzdod priekšsēdētājai šo rezolūciju nosūtīt Padomei un Komisijai.</w:t>
      </w:r>
    </w:p>
    <w:p w14:paraId="2DD8BCEE" w14:textId="3C302825" w:rsidR="00E365E1" w:rsidRPr="007B2ACE" w:rsidRDefault="00E365E1" w:rsidP="00CE2FC8"/>
    <w:sectPr w:rsidR="00E365E1" w:rsidRPr="007B2ACE" w:rsidSect="00000F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27891" w14:textId="77777777" w:rsidR="00CE2FC8" w:rsidRPr="00000FEB" w:rsidRDefault="00CE2FC8">
      <w:r w:rsidRPr="00000FEB">
        <w:separator/>
      </w:r>
    </w:p>
  </w:endnote>
  <w:endnote w:type="continuationSeparator" w:id="0">
    <w:p w14:paraId="5191D099" w14:textId="77777777" w:rsidR="00CE2FC8" w:rsidRPr="00000FEB" w:rsidRDefault="00CE2FC8">
      <w:r w:rsidRPr="00000F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8B4C" w14:textId="77777777" w:rsidR="00064002" w:rsidRPr="00000FE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23858" w14:textId="77777777" w:rsidR="00064002" w:rsidRPr="00000FE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C784" w14:textId="77777777" w:rsidR="00064002" w:rsidRPr="00000F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60005" w14:textId="77777777" w:rsidR="00CE2FC8" w:rsidRPr="00000FEB" w:rsidRDefault="00CE2FC8">
      <w:r w:rsidRPr="00000FEB">
        <w:separator/>
      </w:r>
    </w:p>
  </w:footnote>
  <w:footnote w:type="continuationSeparator" w:id="0">
    <w:p w14:paraId="48683EA4" w14:textId="77777777" w:rsidR="00CE2FC8" w:rsidRPr="00000FEB" w:rsidRDefault="00CE2FC8">
      <w:r w:rsidRPr="00000FEB">
        <w:continuationSeparator/>
      </w:r>
    </w:p>
  </w:footnote>
  <w:footnote w:id="1">
    <w:p w14:paraId="337E8156" w14:textId="2EB1A35A"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 xml:space="preserve">OV L 189, 28.5.2021., 1. lpp., ELI: </w:t>
      </w:r>
      <w:hyperlink r:id="rId1" w:history="1">
        <w:r w:rsidR="00630321" w:rsidRPr="00A51AA7">
          <w:rPr>
            <w:rStyle w:val="Hyperlink"/>
            <w:sz w:val="24"/>
            <w:lang w:val="fi-FI"/>
          </w:rPr>
          <w:t>http://data.europa.eu/eli/reg/2021/817/oj</w:t>
        </w:r>
      </w:hyperlink>
      <w:r w:rsidRPr="00000FEB">
        <w:rPr>
          <w:sz w:val="24"/>
          <w:lang w:val="lv-LV"/>
        </w:rPr>
        <w:t>.</w:t>
      </w:r>
    </w:p>
  </w:footnote>
  <w:footnote w:id="2">
    <w:p w14:paraId="1734A1F4" w14:textId="6A4AB012"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OV C 389, 18.11.2019., 1. lpp.</w:t>
      </w:r>
    </w:p>
  </w:footnote>
  <w:footnote w:id="3">
    <w:p w14:paraId="5935BBB8" w14:textId="2CA3A749"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OV C 504, 14.12.2021., 9. lpp.</w:t>
      </w:r>
    </w:p>
  </w:footnote>
  <w:footnote w:id="4">
    <w:p w14:paraId="7D6F76E1" w14:textId="6FD474A8"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 xml:space="preserve">OV C, C/2024/3364, 14.6.2024., ELI: </w:t>
      </w:r>
      <w:hyperlink r:id="rId2" w:history="1">
        <w:r w:rsidR="00630321" w:rsidRPr="00A51AA7">
          <w:rPr>
            <w:rStyle w:val="Hyperlink"/>
            <w:sz w:val="24"/>
            <w:lang w:val="fi-FI"/>
          </w:rPr>
          <w:t>http://data.europa.eu/eli/C/2024/3364/oj</w:t>
        </w:r>
      </w:hyperlink>
      <w:r w:rsidRPr="00000FEB">
        <w:rPr>
          <w:sz w:val="24"/>
          <w:lang w:val="lv-LV"/>
        </w:rPr>
        <w:t>.</w:t>
      </w:r>
    </w:p>
  </w:footnote>
  <w:footnote w:id="5">
    <w:p w14:paraId="38308B4D" w14:textId="448C5461"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 xml:space="preserve">OV L 431, 2.12.2021., 1. lpp., ELI: </w:t>
      </w:r>
      <w:hyperlink r:id="rId3" w:history="1">
        <w:r w:rsidR="00630321" w:rsidRPr="00A51AA7">
          <w:rPr>
            <w:rStyle w:val="Hyperlink"/>
            <w:sz w:val="24"/>
            <w:lang w:val="fi-FI"/>
          </w:rPr>
          <w:t>http://data.europa.eu/eli/reco/2021/2122/oj</w:t>
        </w:r>
      </w:hyperlink>
      <w:r w:rsidRPr="00000FEB">
        <w:rPr>
          <w:sz w:val="24"/>
          <w:lang w:val="lv-LV"/>
        </w:rPr>
        <w:t>.</w:t>
      </w:r>
    </w:p>
  </w:footnote>
  <w:footnote w:id="6">
    <w:p w14:paraId="395CE2AA" w14:textId="568DF71C"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00630321" w:rsidRPr="007B2ACE">
        <w:rPr>
          <w:sz w:val="24"/>
          <w:lang w:val="lv-LV"/>
        </w:rPr>
        <w:t>Eiropas Komisija: Izglītības, jaunatnes, sporta un kultūras ģenerāldirektorāts u. c., “</w:t>
      </w:r>
      <w:r w:rsidR="00630321" w:rsidRPr="007B2ACE">
        <w:rPr>
          <w:i/>
          <w:iCs/>
          <w:sz w:val="24"/>
          <w:lang w:val="lv-LV"/>
        </w:rPr>
        <w:t>Report on the outcomes and transformational potential of the European Universities initiative</w:t>
      </w:r>
      <w:r w:rsidR="00630321" w:rsidRPr="007B2ACE">
        <w:rPr>
          <w:sz w:val="24"/>
          <w:lang w:val="lv-LV"/>
        </w:rPr>
        <w:t>”, Eiropas Savienības Publikāciju birojs, 2025</w:t>
      </w:r>
      <w:r w:rsidR="00630321" w:rsidRPr="007B2ACE">
        <w:rPr>
          <w:sz w:val="24"/>
          <w:u w:color="0000FF"/>
          <w:lang w:val="lv-LV"/>
        </w:rPr>
        <w:t xml:space="preserve">, </w:t>
      </w:r>
      <w:hyperlink r:id="rId4" w:history="1">
        <w:r w:rsidR="00630321" w:rsidRPr="00C70245">
          <w:rPr>
            <w:rStyle w:val="Hyperlink"/>
            <w:sz w:val="24"/>
            <w:lang w:val="lv-LV"/>
          </w:rPr>
          <w:t>https://data.europa.eu/doi/10.2766/32313</w:t>
        </w:r>
      </w:hyperlink>
    </w:p>
  </w:footnote>
  <w:footnote w:id="7">
    <w:p w14:paraId="3B70577E" w14:textId="7C0C8940"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OV C 32, 27.1.2023., 58. lpp.</w:t>
      </w:r>
    </w:p>
  </w:footnote>
  <w:footnote w:id="8">
    <w:p w14:paraId="5FD95E67" w14:textId="2B0FDC02"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OV C 385, 22.9.2021., 2. lpp.</w:t>
      </w:r>
    </w:p>
  </w:footnote>
  <w:footnote w:id="9">
    <w:p w14:paraId="31078942" w14:textId="0B1F79D8"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OV C 479, 16.12.2022., 65. lpp.</w:t>
      </w:r>
    </w:p>
  </w:footnote>
  <w:footnote w:id="10">
    <w:p w14:paraId="09297BC7" w14:textId="697D6AF5"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Kā noteikts Līguma par Eiropas Savienību 2. pantā un Eiropas Savienības Pamattiesību hartā.</w:t>
      </w:r>
    </w:p>
  </w:footnote>
  <w:footnote w:id="11">
    <w:p w14:paraId="177E29C2" w14:textId="4E92D805"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Atbilstoši definīcijai Eiropas Parlamenta un Padomes 2021. gada 20. maija Regulā (ES) 2021/817.</w:t>
      </w:r>
    </w:p>
  </w:footnote>
  <w:footnote w:id="12">
    <w:p w14:paraId="5E14AE3F" w14:textId="2A5D3561" w:rsidR="00D87034" w:rsidRPr="00000FEB" w:rsidRDefault="00D87034" w:rsidP="00000FEB">
      <w:pPr>
        <w:pStyle w:val="FootnoteText"/>
        <w:ind w:left="567" w:hanging="567"/>
        <w:rPr>
          <w:sz w:val="24"/>
          <w:lang w:val="lv-LV"/>
        </w:rPr>
      </w:pPr>
      <w:r w:rsidRPr="00000FEB">
        <w:rPr>
          <w:rStyle w:val="FootnoteReference"/>
          <w:sz w:val="24"/>
          <w:lang w:val="lv-LV"/>
        </w:rPr>
        <w:footnoteRef/>
      </w:r>
      <w:r w:rsidR="00000FEB" w:rsidRPr="00000FEB">
        <w:rPr>
          <w:sz w:val="24"/>
          <w:lang w:val="lv-LV"/>
        </w:rPr>
        <w:t xml:space="preserve"> </w:t>
      </w:r>
      <w:r w:rsidR="00000FEB" w:rsidRPr="00000FEB">
        <w:rPr>
          <w:sz w:val="24"/>
          <w:lang w:val="lv-LV"/>
        </w:rPr>
        <w:tab/>
      </w:r>
      <w:r w:rsidRPr="00000FEB">
        <w:rPr>
          <w:sz w:val="24"/>
          <w:lang w:val="lv-LV"/>
        </w:rPr>
        <w:t>Komisijas dienestu darba dokuments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5DB8" w14:textId="77777777" w:rsidR="00064002" w:rsidRPr="00000FE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EEDDF" w14:textId="77777777" w:rsidR="00064002" w:rsidRPr="00000FE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F5C1" w14:textId="77777777" w:rsidR="00064002" w:rsidRPr="00000F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8165433">
    <w:abstractNumId w:val="9"/>
  </w:num>
  <w:num w:numId="2" w16cid:durableId="814639705">
    <w:abstractNumId w:val="9"/>
  </w:num>
  <w:num w:numId="3" w16cid:durableId="1915775191">
    <w:abstractNumId w:val="7"/>
  </w:num>
  <w:num w:numId="4" w16cid:durableId="1598172128">
    <w:abstractNumId w:val="7"/>
  </w:num>
  <w:num w:numId="5" w16cid:durableId="399790117">
    <w:abstractNumId w:val="6"/>
  </w:num>
  <w:num w:numId="6" w16cid:durableId="1859392100">
    <w:abstractNumId w:val="6"/>
  </w:num>
  <w:num w:numId="7" w16cid:durableId="936251596">
    <w:abstractNumId w:val="5"/>
  </w:num>
  <w:num w:numId="8" w16cid:durableId="642396606">
    <w:abstractNumId w:val="5"/>
  </w:num>
  <w:num w:numId="9" w16cid:durableId="320084043">
    <w:abstractNumId w:val="4"/>
  </w:num>
  <w:num w:numId="10" w16cid:durableId="1156645915">
    <w:abstractNumId w:val="4"/>
  </w:num>
  <w:num w:numId="11" w16cid:durableId="957764298">
    <w:abstractNumId w:val="8"/>
  </w:num>
  <w:num w:numId="12" w16cid:durableId="551236945">
    <w:abstractNumId w:val="8"/>
  </w:num>
  <w:num w:numId="13" w16cid:durableId="1358042562">
    <w:abstractNumId w:val="3"/>
  </w:num>
  <w:num w:numId="14" w16cid:durableId="1172531360">
    <w:abstractNumId w:val="3"/>
  </w:num>
  <w:num w:numId="15" w16cid:durableId="1924608496">
    <w:abstractNumId w:val="2"/>
  </w:num>
  <w:num w:numId="16" w16cid:durableId="1546485098">
    <w:abstractNumId w:val="2"/>
  </w:num>
  <w:num w:numId="17" w16cid:durableId="847906696">
    <w:abstractNumId w:val="1"/>
  </w:num>
  <w:num w:numId="18" w16cid:durableId="1331173961">
    <w:abstractNumId w:val="1"/>
  </w:num>
  <w:num w:numId="19" w16cid:durableId="1012876438">
    <w:abstractNumId w:val="0"/>
  </w:num>
  <w:num w:numId="20" w16cid:durableId="1547981848">
    <w:abstractNumId w:val="0"/>
  </w:num>
  <w:num w:numId="21" w16cid:durableId="362439434">
    <w:abstractNumId w:val="9"/>
  </w:num>
  <w:num w:numId="22" w16cid:durableId="417293046">
    <w:abstractNumId w:val="7"/>
  </w:num>
  <w:num w:numId="23" w16cid:durableId="302203797">
    <w:abstractNumId w:val="6"/>
  </w:num>
  <w:num w:numId="24" w16cid:durableId="1260261482">
    <w:abstractNumId w:val="5"/>
  </w:num>
  <w:num w:numId="25" w16cid:durableId="1214000067">
    <w:abstractNumId w:val="4"/>
  </w:num>
  <w:num w:numId="26" w16cid:durableId="1079327769">
    <w:abstractNumId w:val="8"/>
  </w:num>
  <w:num w:numId="27" w16cid:durableId="1933394253">
    <w:abstractNumId w:val="3"/>
  </w:num>
  <w:num w:numId="28" w16cid:durableId="1229076206">
    <w:abstractNumId w:val="2"/>
  </w:num>
  <w:num w:numId="29" w16cid:durableId="698817916">
    <w:abstractNumId w:val="1"/>
  </w:num>
  <w:num w:numId="30" w16cid:durableId="435440081">
    <w:abstractNumId w:val="0"/>
  </w:num>
  <w:num w:numId="31" w16cid:durableId="409693005">
    <w:abstractNumId w:val="9"/>
  </w:num>
  <w:num w:numId="32" w16cid:durableId="2093429912">
    <w:abstractNumId w:val="7"/>
  </w:num>
  <w:num w:numId="33" w16cid:durableId="1226528778">
    <w:abstractNumId w:val="6"/>
  </w:num>
  <w:num w:numId="34" w16cid:durableId="1696536647">
    <w:abstractNumId w:val="5"/>
  </w:num>
  <w:num w:numId="35" w16cid:durableId="1188982919">
    <w:abstractNumId w:val="4"/>
  </w:num>
  <w:num w:numId="36" w16cid:durableId="1403790617">
    <w:abstractNumId w:val="8"/>
  </w:num>
  <w:num w:numId="37" w16cid:durableId="1083842467">
    <w:abstractNumId w:val="3"/>
  </w:num>
  <w:num w:numId="38" w16cid:durableId="1013728935">
    <w:abstractNumId w:val="2"/>
  </w:num>
  <w:num w:numId="39" w16cid:durableId="1433162907">
    <w:abstractNumId w:val="1"/>
  </w:num>
  <w:num w:numId="40" w16cid:durableId="1553691175">
    <w:abstractNumId w:val="0"/>
  </w:num>
  <w:num w:numId="41" w16cid:durableId="591400214">
    <w:abstractNumId w:val="10"/>
  </w:num>
  <w:num w:numId="42" w16cid:durableId="838619628">
    <w:abstractNumId w:val="10"/>
  </w:num>
  <w:num w:numId="43" w16cid:durableId="457845300">
    <w:abstractNumId w:val="10"/>
  </w:num>
  <w:num w:numId="44" w16cid:durableId="17724294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LV"/>
    <w:docVar w:name="dvnumam" w:val="0"/>
    <w:docVar w:name="dvpe" w:val="770.272"/>
    <w:docVar w:name="dvrapporteur" w:val="Referente: "/>
    <w:docVar w:name="dvtitre" w:val="Eiropas Parlamenta 2025. gada XX. XXX  rezolūcija par jaunu perspektīvu Eiropas universitāšu aliansei(2025/2036(INI))"/>
  </w:docVars>
  <w:rsids>
    <w:rsidRoot w:val="00CE2FC8"/>
    <w:rsid w:val="00000FE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C5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0321"/>
    <w:rsid w:val="006631B6"/>
    <w:rsid w:val="00680577"/>
    <w:rsid w:val="006F74FA"/>
    <w:rsid w:val="00731ADD"/>
    <w:rsid w:val="00734777"/>
    <w:rsid w:val="00747932"/>
    <w:rsid w:val="00751A4A"/>
    <w:rsid w:val="00756632"/>
    <w:rsid w:val="00762C74"/>
    <w:rsid w:val="00772C61"/>
    <w:rsid w:val="00786EC0"/>
    <w:rsid w:val="007A2EC2"/>
    <w:rsid w:val="007B2ACE"/>
    <w:rsid w:val="007D1690"/>
    <w:rsid w:val="007E22AD"/>
    <w:rsid w:val="00817416"/>
    <w:rsid w:val="00842779"/>
    <w:rsid w:val="00865F67"/>
    <w:rsid w:val="00881A7B"/>
    <w:rsid w:val="008840E5"/>
    <w:rsid w:val="00887B3E"/>
    <w:rsid w:val="008A5EAD"/>
    <w:rsid w:val="008C2AC6"/>
    <w:rsid w:val="00930C23"/>
    <w:rsid w:val="0093193B"/>
    <w:rsid w:val="009509D8"/>
    <w:rsid w:val="00950B64"/>
    <w:rsid w:val="0096411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245"/>
    <w:rsid w:val="00C941CB"/>
    <w:rsid w:val="00CB44BC"/>
    <w:rsid w:val="00CC2357"/>
    <w:rsid w:val="00CE2FC8"/>
    <w:rsid w:val="00CF071A"/>
    <w:rsid w:val="00D058B8"/>
    <w:rsid w:val="00D56C11"/>
    <w:rsid w:val="00D834A0"/>
    <w:rsid w:val="00D87034"/>
    <w:rsid w:val="00D872DF"/>
    <w:rsid w:val="00D91E21"/>
    <w:rsid w:val="00DA7FCD"/>
    <w:rsid w:val="00E007CA"/>
    <w:rsid w:val="00E365E1"/>
    <w:rsid w:val="00E820A4"/>
    <w:rsid w:val="00EA1F2B"/>
    <w:rsid w:val="00EB006A"/>
    <w:rsid w:val="00EB4772"/>
    <w:rsid w:val="00ED169E"/>
    <w:rsid w:val="00ED4235"/>
    <w:rsid w:val="00F04346"/>
    <w:rsid w:val="00F075DC"/>
    <w:rsid w:val="00F149E9"/>
    <w:rsid w:val="00F5134D"/>
    <w:rsid w:val="00F74202"/>
    <w:rsid w:val="00F87713"/>
    <w:rsid w:val="00FB4360"/>
    <w:rsid w:val="00FB448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AC0BB"/>
  <w15:chartTrackingRefBased/>
  <w15:docId w15:val="{6AA126E9-772F-4678-814D-46CFD30BF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7034"/>
    <w:pPr>
      <w:spacing w:before="480" w:after="240"/>
    </w:pPr>
    <w:rPr>
      <w:snapToGrid w:val="0"/>
      <w:lang w:eastAsia="en-US"/>
    </w:rPr>
  </w:style>
  <w:style w:type="paragraph" w:customStyle="1" w:styleId="NormalBold">
    <w:name w:val="NormalBold"/>
    <w:basedOn w:val="Normal"/>
    <w:rsid w:val="00D87034"/>
    <w:rPr>
      <w:b/>
      <w:snapToGrid w:val="0"/>
      <w:lang w:eastAsia="en-US"/>
    </w:rPr>
  </w:style>
  <w:style w:type="paragraph" w:customStyle="1" w:styleId="NormalHanging12a">
    <w:name w:val="NormalHanging12a"/>
    <w:basedOn w:val="Normal"/>
    <w:rsid w:val="00D87034"/>
    <w:pPr>
      <w:widowControl/>
      <w:spacing w:after="240"/>
      <w:ind w:left="567" w:hanging="567"/>
    </w:pPr>
    <w:rPr>
      <w:snapToGrid w:val="0"/>
      <w:lang w:eastAsia="en-US"/>
    </w:rPr>
  </w:style>
  <w:style w:type="character" w:customStyle="1" w:styleId="Bold">
    <w:name w:val="Bold"/>
    <w:uiPriority w:val="1"/>
    <w:rsid w:val="00D87034"/>
    <w:rPr>
      <w:b/>
    </w:rPr>
  </w:style>
  <w:style w:type="paragraph" w:customStyle="1" w:styleId="Normal12a24b">
    <w:name w:val="Normal12a24b"/>
    <w:basedOn w:val="Normal"/>
    <w:rsid w:val="00D87034"/>
    <w:pPr>
      <w:spacing w:before="360" w:after="240"/>
    </w:pPr>
    <w:rPr>
      <w:snapToGrid w:val="0"/>
      <w:lang w:eastAsia="en-US"/>
    </w:rPr>
  </w:style>
  <w:style w:type="character" w:styleId="Hyperlink">
    <w:name w:val="Hyperlink"/>
    <w:basedOn w:val="DefaultParagraphFont"/>
    <w:rsid w:val="00D87034"/>
    <w:rPr>
      <w:color w:val="0000FF"/>
      <w:u w:val="single"/>
    </w:rPr>
  </w:style>
  <w:style w:type="paragraph" w:styleId="Revision">
    <w:name w:val="Revision"/>
    <w:hidden/>
    <w:uiPriority w:val="99"/>
    <w:semiHidden/>
    <w:rsid w:val="0063032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2122/oj" TargetMode="External"/><Relationship Id="rId2" Type="http://schemas.openxmlformats.org/officeDocument/2006/relationships/hyperlink" Target="http://data.europa.eu/eli/C/2024/3364/oj" TargetMode="External"/><Relationship Id="rId1" Type="http://schemas.openxmlformats.org/officeDocument/2006/relationships/hyperlink" Target="http://data.europa.eu/eli/reg/2021/817/oj" TargetMode="External"/><Relationship Id="rId4"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3126</Words>
  <Characters>22189</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2025-10-13T07:48:00Z</dcterms:created>
  <dcterms:modified xsi:type="dcterms:W3CDTF">2025-10-13T07:48:00Z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A10-0135/2025</vt:lpwstr>
  </property>
  <property fmtid="{D5CDD505-2E9C-101B-9397-08002B2CF9AE}" pid="4" name="&lt;Type&gt;">
    <vt:lpwstr>RR</vt:lpwstr>
  </property>
</Properties>
</file>