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5DE" w14:paraId="520C96F6" w14:textId="77777777" w:rsidTr="0010095E">
        <w:trPr>
          <w:trHeight w:hRule="exact" w:val="1418"/>
        </w:trPr>
        <w:tc>
          <w:tcPr>
            <w:tcW w:w="6804" w:type="dxa"/>
            <w:shd w:val="clear" w:color="auto" w:fill="auto"/>
            <w:vAlign w:val="center"/>
          </w:tcPr>
          <w:p w14:paraId="164C6F05" w14:textId="77777777" w:rsidR="00751A4A" w:rsidRPr="003235DE" w:rsidRDefault="004A69E8" w:rsidP="0010095E">
            <w:pPr>
              <w:pStyle w:val="EPName"/>
            </w:pPr>
            <w:r w:rsidRPr="003235DE">
              <w:t>Parlamentul European</w:t>
            </w:r>
          </w:p>
          <w:p w14:paraId="0D4BC0AD" w14:textId="77777777" w:rsidR="00751A4A" w:rsidRPr="003235DE" w:rsidRDefault="005F1B17" w:rsidP="005F1B17">
            <w:pPr>
              <w:pStyle w:val="EPTerm"/>
              <w:rPr>
                <w:rStyle w:val="HideTWBExt"/>
                <w:noProof w:val="0"/>
                <w:vanish w:val="0"/>
                <w:color w:val="auto"/>
              </w:rPr>
            </w:pPr>
            <w:r w:rsidRPr="003235DE">
              <w:t>2024</w:t>
            </w:r>
            <w:r w:rsidR="00817416" w:rsidRPr="003235DE">
              <w:t>-202</w:t>
            </w:r>
            <w:r w:rsidRPr="003235DE">
              <w:t>9</w:t>
            </w:r>
          </w:p>
        </w:tc>
        <w:tc>
          <w:tcPr>
            <w:tcW w:w="2268" w:type="dxa"/>
            <w:shd w:val="clear" w:color="auto" w:fill="auto"/>
          </w:tcPr>
          <w:p w14:paraId="2E2B669E" w14:textId="77777777" w:rsidR="00751A4A" w:rsidRPr="003235DE" w:rsidRDefault="00187494" w:rsidP="0010095E">
            <w:pPr>
              <w:pStyle w:val="EPLogo"/>
            </w:pPr>
            <w:r w:rsidRPr="003235DE">
              <w:rPr>
                <w:noProof/>
                <w:lang w:eastAsia="ja-JP"/>
              </w:rPr>
              <w:drawing>
                <wp:inline distT="0" distB="0" distL="0" distR="0" wp14:anchorId="50701E69" wp14:editId="784B86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0833DB" w14:textId="77777777" w:rsidR="00D058B8" w:rsidRPr="003235DE" w:rsidRDefault="00D058B8" w:rsidP="004C5D52">
      <w:pPr>
        <w:pStyle w:val="LineTop"/>
      </w:pPr>
    </w:p>
    <w:p w14:paraId="7DBA4640" w14:textId="77777777" w:rsidR="00680577" w:rsidRPr="003235DE" w:rsidRDefault="004A69E8" w:rsidP="00680577">
      <w:pPr>
        <w:pStyle w:val="EPBodyTA1"/>
      </w:pPr>
      <w:r w:rsidRPr="003235DE">
        <w:t>TEXTE ADOPTATE</w:t>
      </w:r>
    </w:p>
    <w:p w14:paraId="6E260274" w14:textId="77777777" w:rsidR="00D058B8" w:rsidRPr="003235DE" w:rsidRDefault="00D058B8" w:rsidP="00D058B8">
      <w:pPr>
        <w:pStyle w:val="LineBottom"/>
      </w:pPr>
    </w:p>
    <w:p w14:paraId="43390A10" w14:textId="33E9A79A" w:rsidR="004A69E8" w:rsidRPr="003235DE" w:rsidRDefault="004A69E8" w:rsidP="004A69E8">
      <w:pPr>
        <w:pStyle w:val="ATHeading1"/>
      </w:pPr>
      <w:bookmarkStart w:id="0" w:name="TANumber"/>
      <w:r w:rsidRPr="003235DE">
        <w:t>P10_TA(2025)0</w:t>
      </w:r>
      <w:r w:rsidR="00BD2AE2" w:rsidRPr="003235DE">
        <w:t>196</w:t>
      </w:r>
      <w:bookmarkEnd w:id="0"/>
    </w:p>
    <w:p w14:paraId="7E43CD44" w14:textId="77777777" w:rsidR="004A69E8" w:rsidRPr="003235DE" w:rsidRDefault="004A69E8" w:rsidP="004A69E8">
      <w:pPr>
        <w:pStyle w:val="ATHeading2"/>
      </w:pPr>
      <w:bookmarkStart w:id="1" w:name="title"/>
      <w:r w:rsidRPr="003235DE">
        <w:t>O nouă viziune pentru alianțele universităților europene</w:t>
      </w:r>
      <w:bookmarkEnd w:id="1"/>
    </w:p>
    <w:p w14:paraId="0A26B885" w14:textId="77777777" w:rsidR="004A69E8" w:rsidRPr="003235DE" w:rsidRDefault="004A69E8" w:rsidP="004A69E8">
      <w:pPr>
        <w:rPr>
          <w:i/>
          <w:vanish/>
        </w:rPr>
      </w:pPr>
      <w:r w:rsidRPr="003235DE">
        <w:rPr>
          <w:i/>
        </w:rPr>
        <w:fldChar w:fldCharType="begin"/>
      </w:r>
      <w:r w:rsidRPr="003235DE">
        <w:rPr>
          <w:i/>
        </w:rPr>
        <w:instrText xml:space="preserve"> TC"(</w:instrText>
      </w:r>
      <w:bookmarkStart w:id="2" w:name="DocNumber"/>
      <w:r w:rsidRPr="003235DE">
        <w:rPr>
          <w:i/>
        </w:rPr>
        <w:instrText>A10-0135/2025</w:instrText>
      </w:r>
      <w:bookmarkEnd w:id="2"/>
      <w:r w:rsidRPr="003235DE">
        <w:rPr>
          <w:i/>
        </w:rPr>
        <w:instrText xml:space="preserve"> - Raportoare: Laurence Farreng)"\l3 \n&gt; \* MERGEFORMAT </w:instrText>
      </w:r>
      <w:r w:rsidRPr="003235DE">
        <w:rPr>
          <w:i/>
        </w:rPr>
        <w:fldChar w:fldCharType="end"/>
      </w:r>
    </w:p>
    <w:p w14:paraId="0A8181E3" w14:textId="77777777" w:rsidR="004A69E8" w:rsidRPr="003235DE" w:rsidRDefault="004A69E8" w:rsidP="004A69E8">
      <w:pPr>
        <w:rPr>
          <w:vanish/>
        </w:rPr>
      </w:pPr>
      <w:bookmarkStart w:id="3" w:name="Commission"/>
      <w:r w:rsidRPr="003235DE">
        <w:rPr>
          <w:vanish/>
        </w:rPr>
        <w:t>Comisia pentru cultură și educație</w:t>
      </w:r>
      <w:bookmarkEnd w:id="3"/>
    </w:p>
    <w:p w14:paraId="2560A474" w14:textId="77777777" w:rsidR="004A69E8" w:rsidRPr="003235DE" w:rsidRDefault="004A69E8" w:rsidP="004A69E8">
      <w:pPr>
        <w:rPr>
          <w:vanish/>
        </w:rPr>
      </w:pPr>
      <w:bookmarkStart w:id="4" w:name="PE"/>
      <w:r w:rsidRPr="003235DE">
        <w:rPr>
          <w:vanish/>
        </w:rPr>
        <w:t>PE770.272</w:t>
      </w:r>
      <w:bookmarkEnd w:id="4"/>
    </w:p>
    <w:p w14:paraId="0791B875" w14:textId="77777777" w:rsidR="004A69E8" w:rsidRPr="003235DE" w:rsidRDefault="004A69E8" w:rsidP="004A69E8">
      <w:pPr>
        <w:pStyle w:val="ATHeading3"/>
      </w:pPr>
      <w:bookmarkStart w:id="5" w:name="Sujet"/>
      <w:r w:rsidRPr="003235DE">
        <w:t>Rezoluția Parlamentului European din 11 septembrie 2025 referitoare la o nouă viziune pentru alianțele universităților europene</w:t>
      </w:r>
      <w:bookmarkEnd w:id="5"/>
      <w:r w:rsidRPr="003235DE">
        <w:t xml:space="preserve"> </w:t>
      </w:r>
      <w:bookmarkStart w:id="6" w:name="References"/>
      <w:r w:rsidRPr="003235DE">
        <w:t>(2025/2036(INI))</w:t>
      </w:r>
      <w:bookmarkEnd w:id="6"/>
    </w:p>
    <w:p w14:paraId="5CC1768A" w14:textId="77777777" w:rsidR="006473C5" w:rsidRPr="003235DE" w:rsidRDefault="006473C5" w:rsidP="006473C5">
      <w:pPr>
        <w:pStyle w:val="EPComma"/>
      </w:pPr>
      <w:r w:rsidRPr="003235DE">
        <w:rPr>
          <w:rStyle w:val="Italic"/>
        </w:rPr>
        <w:t>Parlamentul European</w:t>
      </w:r>
      <w:r w:rsidRPr="003235DE">
        <w:t>,</w:t>
      </w:r>
    </w:p>
    <w:p w14:paraId="04ED66A6" w14:textId="77777777" w:rsidR="006473C5" w:rsidRPr="003235DE" w:rsidRDefault="006473C5" w:rsidP="006473C5">
      <w:pPr>
        <w:pStyle w:val="NormalHanging12a"/>
      </w:pPr>
      <w:r w:rsidRPr="003235DE">
        <w:t>–</w:t>
      </w:r>
      <w:r w:rsidRPr="003235DE">
        <w:tab/>
        <w:t>având în vedere Carta drepturilor fundamentale a Uniunii Europene, în special articolele 13 și 14, cu privire la libertatea artelor și științelor și dreptul la educație,</w:t>
      </w:r>
    </w:p>
    <w:p w14:paraId="2287B1F8" w14:textId="3F03F22D" w:rsidR="006473C5" w:rsidRPr="003235DE" w:rsidRDefault="006473C5" w:rsidP="006473C5">
      <w:pPr>
        <w:pStyle w:val="NormalHanging12a"/>
      </w:pPr>
      <w:r w:rsidRPr="003235DE">
        <w:t>–</w:t>
      </w:r>
      <w:r w:rsidRPr="003235DE">
        <w:tab/>
        <w:t xml:space="preserve">având în vedere regulamentul (UE) 2021/817 al Parlamentului European și al Consiliului din </w:t>
      </w:r>
      <w:r w:rsidR="00325CF2" w:rsidRPr="003235DE">
        <w:t xml:space="preserve">20 </w:t>
      </w:r>
      <w:r w:rsidRPr="003235DE">
        <w:t>mai 2021 de instituire a Erasmus+: Programul Uniunii pentru educație și formare, tineret și sport și de abrogare a Regulamentului (UE) nr. 1288/2013</w:t>
      </w:r>
      <w:r w:rsidRPr="003235DE">
        <w:rPr>
          <w:rStyle w:val="FootnoteReference"/>
        </w:rPr>
        <w:footnoteReference w:id="1"/>
      </w:r>
      <w:r w:rsidRPr="003235DE">
        <w:t>,</w:t>
      </w:r>
    </w:p>
    <w:p w14:paraId="4AC32B65" w14:textId="77777777" w:rsidR="006473C5" w:rsidRPr="003235DE" w:rsidRDefault="006473C5" w:rsidP="006473C5">
      <w:pPr>
        <w:pStyle w:val="NormalHanging12a"/>
      </w:pPr>
      <w:r w:rsidRPr="003235DE">
        <w:t>–</w:t>
      </w:r>
      <w:r w:rsidRPr="003235DE">
        <w:tab/>
        <w:t>având în vedere studiul din 11 septembrie 2023 realizat pentru Comisia sa pentru cultură și educație intitulat „Programele de finanțare ale UE pentru perioada 2021-2027 în domeniul culturii, mass-mediei, educației, tineretului și sportului: primele lecții, provocări și perspective viitoare – Erasmus+”,</w:t>
      </w:r>
    </w:p>
    <w:p w14:paraId="3C64934A" w14:textId="77777777" w:rsidR="006473C5" w:rsidRPr="003235DE" w:rsidRDefault="006473C5" w:rsidP="006473C5">
      <w:pPr>
        <w:pStyle w:val="NormalHanging12a"/>
      </w:pPr>
      <w:r w:rsidRPr="003235DE">
        <w:t>–</w:t>
      </w:r>
      <w:r w:rsidRPr="003235DE">
        <w:tab/>
        <w:t>având în vedere studiul din 20 iulie 2023 realizat pentru Comisia sa pentru cultură și educație intitulat „Implementarea timpurie a patru programe ale UE pentru perioada 2021-2027: Erasmus+, Europa creativă, Corpul european de solidaritate și Cetățeni, egalitate, drepturi și valori (componenta 3)”,</w:t>
      </w:r>
    </w:p>
    <w:p w14:paraId="7973504D" w14:textId="77777777" w:rsidR="006473C5" w:rsidRPr="003235DE" w:rsidRDefault="006473C5" w:rsidP="006473C5">
      <w:pPr>
        <w:pStyle w:val="NormalHanging12a"/>
      </w:pPr>
      <w:r w:rsidRPr="003235DE">
        <w:t>–</w:t>
      </w:r>
      <w:r w:rsidRPr="003235DE">
        <w:tab/>
        <w:t>având în vedere concluziile Consiliului din 17 mai 2021 referitoare la inițiativa privind universitățile europene – Crearea de legături între învățământul superior, cercetare, inovare și societate: pregătirea terenului pentru o nouă dimensiune a învățământului superior european,</w:t>
      </w:r>
    </w:p>
    <w:p w14:paraId="57DC92AE" w14:textId="77777777" w:rsidR="006473C5" w:rsidRPr="003235DE" w:rsidRDefault="006473C5" w:rsidP="006473C5">
      <w:pPr>
        <w:pStyle w:val="NormalHanging12a"/>
      </w:pPr>
      <w:r w:rsidRPr="003235DE">
        <w:t>–</w:t>
      </w:r>
      <w:r w:rsidRPr="003235DE">
        <w:tab/>
        <w:t>având în vedere concluziile Consiliului din 14 și 15 decembrie 2017,</w:t>
      </w:r>
    </w:p>
    <w:p w14:paraId="43F40F07" w14:textId="77777777" w:rsidR="006473C5" w:rsidRPr="003235DE" w:rsidRDefault="006473C5" w:rsidP="006473C5">
      <w:pPr>
        <w:pStyle w:val="NormalHanging12a"/>
      </w:pPr>
      <w:r w:rsidRPr="003235DE">
        <w:t>–</w:t>
      </w:r>
      <w:r w:rsidRPr="003235DE">
        <w:tab/>
        <w:t>având în vedere concluziile Consiliului din 7 iunie 2018 privind trecerea la o viziune a unui Spațiu european al educației,</w:t>
      </w:r>
    </w:p>
    <w:p w14:paraId="04F15604" w14:textId="77777777" w:rsidR="006473C5" w:rsidRPr="003235DE" w:rsidRDefault="006473C5" w:rsidP="006473C5">
      <w:pPr>
        <w:pStyle w:val="NormalHanging12a"/>
      </w:pPr>
      <w:r w:rsidRPr="003235DE">
        <w:lastRenderedPageBreak/>
        <w:t>–</w:t>
      </w:r>
      <w:r w:rsidRPr="003235DE">
        <w:tab/>
        <w:t>având în vedere rezoluția Consiliului din 18 noiembrie 2019 privind dezvoltarea în continuare a spațiului european al educației pentru a sprijini sisteme de educație și formare orientate către viitor</w:t>
      </w:r>
      <w:r w:rsidRPr="003235DE">
        <w:rPr>
          <w:rStyle w:val="FootnoteReference"/>
        </w:rPr>
        <w:footnoteReference w:id="2"/>
      </w:r>
      <w:r w:rsidRPr="003235DE">
        <w:t>,</w:t>
      </w:r>
    </w:p>
    <w:p w14:paraId="397D7C18" w14:textId="77777777" w:rsidR="006473C5" w:rsidRPr="003235DE" w:rsidRDefault="006473C5" w:rsidP="006473C5">
      <w:pPr>
        <w:pStyle w:val="NormalHanging12a"/>
      </w:pPr>
      <w:r w:rsidRPr="003235DE">
        <w:t>–</w:t>
      </w:r>
      <w:r w:rsidRPr="003235DE">
        <w:tab/>
        <w:t>având în vedere rezoluția Consiliului din 29 noiembrie 2021 privind un nou plan european pentru învățarea în rândul adulților (2021-2030)</w:t>
      </w:r>
      <w:r w:rsidRPr="003235DE">
        <w:rPr>
          <w:rStyle w:val="FootnoteReference"/>
        </w:rPr>
        <w:footnoteReference w:id="3"/>
      </w:r>
      <w:r w:rsidRPr="003235DE">
        <w:t>,</w:t>
      </w:r>
    </w:p>
    <w:p w14:paraId="1E0E77BE" w14:textId="77777777" w:rsidR="006473C5" w:rsidRPr="003235DE" w:rsidRDefault="006473C5" w:rsidP="006473C5">
      <w:pPr>
        <w:pStyle w:val="NormalHanging12a"/>
      </w:pPr>
      <w:r w:rsidRPr="003235DE">
        <w:t>–</w:t>
      </w:r>
      <w:r w:rsidRPr="003235DE">
        <w:tab/>
        <w:t>având în vedere recomandarea Consiliului din 13 mai 2024 intitulată „Europa în mișcare” – oportunități de mobilitate în scopul învățării pentru toți”</w:t>
      </w:r>
      <w:r w:rsidRPr="003235DE">
        <w:rPr>
          <w:rStyle w:val="FootnoteReference"/>
        </w:rPr>
        <w:footnoteReference w:id="4"/>
      </w:r>
      <w:r w:rsidRPr="003235DE">
        <w:t>,</w:t>
      </w:r>
    </w:p>
    <w:p w14:paraId="2C147164" w14:textId="5CF2D9C9" w:rsidR="006473C5" w:rsidRPr="003235DE" w:rsidRDefault="006473C5" w:rsidP="006473C5">
      <w:pPr>
        <w:pStyle w:val="NormalHanging12a"/>
      </w:pPr>
      <w:r w:rsidRPr="003235DE">
        <w:t>–</w:t>
      </w:r>
      <w:r w:rsidRPr="003235DE">
        <w:tab/>
        <w:t>având în vedere propunerea Comisiei din 28 februarie 2025 de recomandare a Consiliului referitoare la agenda de politici privind Spațiul european de cercetare 2025-2027 (</w:t>
      </w:r>
      <w:r w:rsidR="003235DE" w:rsidRPr="003235DE">
        <w:t>COM(2025)0062</w:t>
      </w:r>
      <w:r w:rsidRPr="003235DE">
        <w:t>),</w:t>
      </w:r>
    </w:p>
    <w:p w14:paraId="274EDA1A" w14:textId="77777777" w:rsidR="006473C5" w:rsidRPr="003235DE" w:rsidRDefault="006473C5" w:rsidP="006473C5">
      <w:pPr>
        <w:pStyle w:val="NormalHanging12a"/>
      </w:pPr>
      <w:r w:rsidRPr="003235DE">
        <w:t>–</w:t>
      </w:r>
      <w:r w:rsidRPr="003235DE">
        <w:tab/>
        <w:t>având în vedere recomandarea (UE) 2021/2122 a Consiliului din 26 noiembrie 2021 privind un pact pentru cercetare și inovare în Europa</w:t>
      </w:r>
      <w:r w:rsidRPr="003235DE">
        <w:rPr>
          <w:rStyle w:val="FootnoteReference"/>
        </w:rPr>
        <w:footnoteReference w:id="5"/>
      </w:r>
      <w:r w:rsidRPr="003235DE">
        <w:t>,</w:t>
      </w:r>
    </w:p>
    <w:p w14:paraId="1711E9F2" w14:textId="6B99EEF9" w:rsidR="006473C5" w:rsidRPr="003235DE" w:rsidRDefault="006473C5" w:rsidP="006473C5">
      <w:pPr>
        <w:pStyle w:val="NormalHanging12a"/>
      </w:pPr>
      <w:r w:rsidRPr="003235DE">
        <w:t>–</w:t>
      </w:r>
      <w:r w:rsidRPr="003235DE">
        <w:tab/>
        <w:t>având în vedere comunicarea Comisiei din 18 ianuarie 2022 referitoare la o strategie europeană privind universitățile (</w:t>
      </w:r>
      <w:r w:rsidR="003235DE" w:rsidRPr="003235DE">
        <w:t>COM(2022)0016</w:t>
      </w:r>
      <w:r w:rsidRPr="003235DE">
        <w:t>),</w:t>
      </w:r>
    </w:p>
    <w:p w14:paraId="25489BDE" w14:textId="77777777" w:rsidR="006473C5" w:rsidRPr="003235DE" w:rsidRDefault="006473C5" w:rsidP="006473C5">
      <w:pPr>
        <w:pStyle w:val="NormalHanging12a"/>
      </w:pPr>
      <w:r w:rsidRPr="003235DE">
        <w:t>–</w:t>
      </w:r>
      <w:r w:rsidRPr="003235DE">
        <w:tab/>
        <w:t>având în vedere raportul Comisiei din 15 aprilie 2024 privind bunele practici din proiectele alianțelor universitare europene (Pilot II),</w:t>
      </w:r>
    </w:p>
    <w:p w14:paraId="6D905AE7" w14:textId="77777777" w:rsidR="006473C5" w:rsidRPr="003235DE" w:rsidRDefault="006473C5" w:rsidP="006473C5">
      <w:pPr>
        <w:pStyle w:val="NormalHanging12a"/>
      </w:pPr>
      <w:r w:rsidRPr="003235DE">
        <w:t>–</w:t>
      </w:r>
      <w:r w:rsidRPr="003235DE">
        <w:tab/>
        <w:t>având în vedere raportul Comisiei privind rezultatele și potențialul de transformare al inițiativei privind universitățile europene</w:t>
      </w:r>
      <w:r w:rsidRPr="003235DE">
        <w:rPr>
          <w:rStyle w:val="FootnoteReference"/>
        </w:rPr>
        <w:footnoteReference w:id="6"/>
      </w:r>
      <w:r w:rsidRPr="003235DE">
        <w:t>,</w:t>
      </w:r>
    </w:p>
    <w:p w14:paraId="55FC4627" w14:textId="0B71C96F" w:rsidR="006473C5" w:rsidRPr="003235DE" w:rsidRDefault="006473C5" w:rsidP="006473C5">
      <w:pPr>
        <w:pStyle w:val="NormalHanging12a"/>
      </w:pPr>
      <w:r w:rsidRPr="003235DE">
        <w:t>–</w:t>
      </w:r>
      <w:r w:rsidRPr="003235DE">
        <w:tab/>
        <w:t>având în vedere comunicarea Comisiei din 27 martie 2024 intitulată „Un model pentru o diplomă europeană” (</w:t>
      </w:r>
      <w:r w:rsidR="003235DE" w:rsidRPr="003235DE">
        <w:t>COM(2024)0144</w:t>
      </w:r>
      <w:r w:rsidRPr="003235DE">
        <w:t>),</w:t>
      </w:r>
    </w:p>
    <w:p w14:paraId="4A1C3849" w14:textId="09475306" w:rsidR="006473C5" w:rsidRPr="003235DE" w:rsidRDefault="006473C5" w:rsidP="006473C5">
      <w:pPr>
        <w:pStyle w:val="NormalHanging12a"/>
      </w:pPr>
      <w:r w:rsidRPr="003235DE">
        <w:t>–</w:t>
      </w:r>
      <w:r w:rsidRPr="003235DE">
        <w:tab/>
        <w:t xml:space="preserve">având în vedere documentul de lucru al serviciilor Comisiei din 27 martie 2024 (SWD(2024)0074), care însoțește comunicarea Comisiei </w:t>
      </w:r>
      <w:r w:rsidR="003235DE" w:rsidRPr="003235DE">
        <w:t>COM(2024)0144</w:t>
      </w:r>
      <w:r w:rsidRPr="003235DE">
        <w:t>, propunerea Comisiei din 27 martie 2024 de recomandare a Consiliului privind un sistem european de asigurare și recunoaștere a calității în învățământul superior (</w:t>
      </w:r>
      <w:r w:rsidR="003235DE" w:rsidRPr="003235DE">
        <w:t>COM(2024)0147</w:t>
      </w:r>
      <w:r w:rsidRPr="003235DE">
        <w:t>) și propunerea Comisiei din 27 martie 2024 de recomandare a Consiliului privind carierele atractive și sustenabile în învățământul superior (</w:t>
      </w:r>
      <w:r w:rsidR="003235DE" w:rsidRPr="003235DE">
        <w:t>COM(2024)0145</w:t>
      </w:r>
      <w:r w:rsidRPr="003235DE">
        <w:t>),</w:t>
      </w:r>
    </w:p>
    <w:p w14:paraId="37A8147F" w14:textId="543E85BE" w:rsidR="006473C5" w:rsidRPr="003235DE" w:rsidRDefault="006473C5" w:rsidP="006473C5">
      <w:pPr>
        <w:pStyle w:val="NormalHanging12a"/>
      </w:pPr>
      <w:r w:rsidRPr="003235DE">
        <w:t>–</w:t>
      </w:r>
      <w:r w:rsidRPr="003235DE">
        <w:tab/>
        <w:t>având în vedere documentul de lucru al serviciilor Comisiei din 19 decembrie 2024 intitulat „Raport privind rezultatele finale ale proiectelor Erasmus+ de experimentare în materie de politici: Diplomă europeană (etichetă) și instrumente de cooperare instituționalizate ale UE” (SWD(2024)0291),</w:t>
      </w:r>
    </w:p>
    <w:p w14:paraId="46272D05" w14:textId="36049E53" w:rsidR="006473C5" w:rsidRPr="003235DE" w:rsidRDefault="006473C5" w:rsidP="006473C5">
      <w:pPr>
        <w:pStyle w:val="NormalHanging12a"/>
      </w:pPr>
      <w:r w:rsidRPr="003235DE">
        <w:lastRenderedPageBreak/>
        <w:t>–</w:t>
      </w:r>
      <w:r w:rsidRPr="003235DE">
        <w:tab/>
        <w:t>având în vedere comunicarea Comisiei din 5 martie 2025 intitulată „Uniunea competențelor” (</w:t>
      </w:r>
      <w:r w:rsidR="007227AB" w:rsidRPr="003235DE">
        <w:t>COM(2025)0090</w:t>
      </w:r>
      <w:r w:rsidRPr="003235DE">
        <w:t>),</w:t>
      </w:r>
    </w:p>
    <w:p w14:paraId="67F6ED55" w14:textId="6A3AA6FF" w:rsidR="006473C5" w:rsidRPr="003235DE" w:rsidRDefault="006473C5" w:rsidP="006473C5">
      <w:pPr>
        <w:pStyle w:val="NormalHanging12a"/>
      </w:pPr>
      <w:r w:rsidRPr="003235DE">
        <w:t>–</w:t>
      </w:r>
      <w:r w:rsidRPr="003235DE">
        <w:tab/>
        <w:t>având în vedere comunicarea Comisiei din 5 martie 2025 privind Un plan strategic pentru educația în domeniul STEM: competențe pentru competitivitate și inovare (</w:t>
      </w:r>
      <w:r w:rsidR="007227AB" w:rsidRPr="003235DE">
        <w:t>COM(2025)0089</w:t>
      </w:r>
      <w:r w:rsidRPr="003235DE">
        <w:t>),</w:t>
      </w:r>
    </w:p>
    <w:p w14:paraId="06FBD1E4" w14:textId="77777777" w:rsidR="006473C5" w:rsidRPr="003235DE" w:rsidRDefault="006473C5" w:rsidP="006473C5">
      <w:pPr>
        <w:pStyle w:val="NormalHanging12a"/>
      </w:pPr>
      <w:r w:rsidRPr="003235DE">
        <w:t>–</w:t>
      </w:r>
      <w:r w:rsidRPr="003235DE">
        <w:tab/>
        <w:t>având în vedere evaluarea la jumătatea perioadei a Spațiului european al educației pentru 2023,</w:t>
      </w:r>
    </w:p>
    <w:p w14:paraId="05AFBC8C" w14:textId="77777777" w:rsidR="006473C5" w:rsidRPr="003235DE" w:rsidRDefault="006473C5" w:rsidP="006473C5">
      <w:pPr>
        <w:pStyle w:val="NormalHanging12a"/>
      </w:pPr>
      <w:r w:rsidRPr="003235DE">
        <w:t>–</w:t>
      </w:r>
      <w:r w:rsidRPr="003235DE">
        <w:tab/>
        <w:t>având în vedere Comunicatul ministerial de la Roma adoptat la 19 noiembrie 2020 în cadrul Conferinței ministeriale a Spațiului european al învățământului superior,</w:t>
      </w:r>
    </w:p>
    <w:p w14:paraId="41E0FA7C" w14:textId="77777777" w:rsidR="006473C5" w:rsidRPr="003235DE" w:rsidRDefault="006473C5" w:rsidP="006473C5">
      <w:pPr>
        <w:pStyle w:val="NormalHanging12a"/>
      </w:pPr>
      <w:r w:rsidRPr="003235DE">
        <w:t>–</w:t>
      </w:r>
      <w:r w:rsidRPr="003235DE">
        <w:tab/>
        <w:t>având în vedere principiile, orientările și indicatorii dimensiunii sociale în cadrul învățământului superior din 9 ianuarie 2024 publicați de Grupul de monitorizare privind Procesul de la Bologna, Grupul de lucru privind dimensiunea socială 2021-2024,</w:t>
      </w:r>
    </w:p>
    <w:p w14:paraId="6EF646A7" w14:textId="77777777" w:rsidR="006473C5" w:rsidRPr="003235DE" w:rsidRDefault="006473C5" w:rsidP="006473C5">
      <w:pPr>
        <w:pStyle w:val="NormalHanging12a"/>
      </w:pPr>
      <w:r w:rsidRPr="003235DE">
        <w:t>–</w:t>
      </w:r>
      <w:r w:rsidRPr="003235DE">
        <w:tab/>
        <w:t>având în vedere raportul independent la nivel înalt al lui Enrico Letta privind viitorul pieței unice, intitulat „Mult mai mult decât o piață – viteză, securitate, solidaritate: capacitarea pieței unice pentru a asigura tuturor cetățenilor UE prosperitate și un viitor durabil”, publicat în aprilie 2024,</w:t>
      </w:r>
    </w:p>
    <w:p w14:paraId="79016C2D" w14:textId="77777777" w:rsidR="006473C5" w:rsidRPr="003235DE" w:rsidRDefault="006473C5" w:rsidP="006473C5">
      <w:pPr>
        <w:pStyle w:val="NormalHanging12a"/>
      </w:pPr>
      <w:r w:rsidRPr="003235DE">
        <w:t>–</w:t>
      </w:r>
      <w:r w:rsidRPr="003235DE">
        <w:tab/>
        <w:t>având în vedere raportul lui Mario Draghi privind viitorul competitivității europene, publicat în septembrie 2024,</w:t>
      </w:r>
    </w:p>
    <w:p w14:paraId="469FEFC3" w14:textId="77777777" w:rsidR="006473C5" w:rsidRPr="003235DE" w:rsidRDefault="006473C5" w:rsidP="006473C5">
      <w:pPr>
        <w:pStyle w:val="NormalHanging12a"/>
      </w:pPr>
      <w:r w:rsidRPr="003235DE">
        <w:t>–</w:t>
      </w:r>
      <w:r w:rsidRPr="003235DE">
        <w:tab/>
        <w:t xml:space="preserve">având în vedere raportul privind cercetarea și inovarea elaborat de un grup de experți independenți prezidat de Manuel </w:t>
      </w:r>
      <w:proofErr w:type="spellStart"/>
      <w:r w:rsidRPr="003235DE">
        <w:t>Heitor</w:t>
      </w:r>
      <w:proofErr w:type="spellEnd"/>
      <w:r w:rsidRPr="003235DE">
        <w:t>, intitulat „Aliniere, acțiune, accelerare - Cercetare, tehnologie și inovare pentru stimularea competitivității europene”, publicat în octombrie 2024,</w:t>
      </w:r>
    </w:p>
    <w:p w14:paraId="00BDD799" w14:textId="77777777" w:rsidR="006473C5" w:rsidRPr="003235DE" w:rsidRDefault="006473C5" w:rsidP="006473C5">
      <w:pPr>
        <w:pStyle w:val="NormalHanging12a"/>
      </w:pPr>
      <w:r w:rsidRPr="003235DE">
        <w:t>–</w:t>
      </w:r>
      <w:r w:rsidRPr="003235DE">
        <w:tab/>
        <w:t>având în vedere rezoluția sa din 23 iunie 2022 referitoare la punerea în aplicare a unor măsuri de incluziune în cadrul Erasmus+ 2014-2020</w:t>
      </w:r>
      <w:r w:rsidRPr="003235DE">
        <w:rPr>
          <w:rStyle w:val="FootnoteReference"/>
        </w:rPr>
        <w:footnoteReference w:id="7"/>
      </w:r>
      <w:r w:rsidRPr="003235DE">
        <w:t>,</w:t>
      </w:r>
    </w:p>
    <w:p w14:paraId="0E04AE33" w14:textId="77777777" w:rsidR="006473C5" w:rsidRPr="003235DE" w:rsidRDefault="006473C5" w:rsidP="006473C5">
      <w:pPr>
        <w:pStyle w:val="NormalHanging12a"/>
      </w:pPr>
      <w:r w:rsidRPr="003235DE">
        <w:t>–</w:t>
      </w:r>
      <w:r w:rsidRPr="003235DE">
        <w:tab/>
        <w:t>având în vedere rezoluția sa din 15 septembrie 2020 referitoare la adoptarea unor măsuri eficace pentru conferirea unui caracter ecologic programelor Erasmus+ și Europa Creativă, precum și Corpului european de solidaritate</w:t>
      </w:r>
      <w:r w:rsidRPr="003235DE">
        <w:rPr>
          <w:rStyle w:val="FootnoteReference"/>
        </w:rPr>
        <w:footnoteReference w:id="8"/>
      </w:r>
      <w:r w:rsidRPr="003235DE">
        <w:t>,</w:t>
      </w:r>
    </w:p>
    <w:p w14:paraId="649B950C" w14:textId="77777777" w:rsidR="006473C5" w:rsidRPr="003235DE" w:rsidRDefault="006473C5" w:rsidP="006473C5">
      <w:pPr>
        <w:pStyle w:val="NormalHanging12a"/>
      </w:pPr>
      <w:r w:rsidRPr="003235DE">
        <w:t>–</w:t>
      </w:r>
      <w:r w:rsidRPr="003235DE">
        <w:tab/>
        <w:t>având în vedere rezoluția sa din 19 mai 2022 referitoare la crearea Spațiului european al educației până în 2025 – micro-certificate, conturi individuale de învățare și învățarea în serviciul sustenabilității mediului</w:t>
      </w:r>
      <w:r w:rsidRPr="003235DE">
        <w:rPr>
          <w:rStyle w:val="FootnoteReference"/>
        </w:rPr>
        <w:footnoteReference w:id="9"/>
      </w:r>
      <w:r w:rsidRPr="003235DE">
        <w:t>,</w:t>
      </w:r>
    </w:p>
    <w:p w14:paraId="3FB1CD61" w14:textId="77777777" w:rsidR="006473C5" w:rsidRPr="003235DE" w:rsidRDefault="006473C5" w:rsidP="006473C5">
      <w:pPr>
        <w:pStyle w:val="NormalHanging12a"/>
      </w:pPr>
      <w:r w:rsidRPr="003235DE">
        <w:t>–</w:t>
      </w:r>
      <w:r w:rsidRPr="003235DE">
        <w:tab/>
        <w:t>având în vedere articolul 55 din Regulamentul său de procedură,</w:t>
      </w:r>
    </w:p>
    <w:p w14:paraId="2320E67F" w14:textId="77777777" w:rsidR="006473C5" w:rsidRPr="003235DE" w:rsidRDefault="006473C5" w:rsidP="006473C5">
      <w:pPr>
        <w:pStyle w:val="NormalHanging12a"/>
      </w:pPr>
      <w:r w:rsidRPr="003235DE">
        <w:t>–</w:t>
      </w:r>
      <w:r w:rsidRPr="003235DE">
        <w:tab/>
        <w:t>având în vedere raportul Comisiei pentru cultură și educație (A10-0135/2025),</w:t>
      </w:r>
    </w:p>
    <w:p w14:paraId="40374AF6" w14:textId="77777777" w:rsidR="006473C5" w:rsidRPr="003235DE" w:rsidRDefault="006473C5" w:rsidP="006473C5">
      <w:pPr>
        <w:pStyle w:val="NormalHanging12a"/>
      </w:pPr>
      <w:r w:rsidRPr="003235DE">
        <w:t>A.</w:t>
      </w:r>
      <w:r w:rsidRPr="003235DE">
        <w:tab/>
        <w:t xml:space="preserve">întrucât educația și formarea de calitate, precum și cooperarea academică și științifică sunt condiții prealabile pentru realizarea autonomiei strategice ale Uniunii Europene, </w:t>
      </w:r>
      <w:r w:rsidRPr="003235DE">
        <w:lastRenderedPageBreak/>
        <w:t>promovarea valorilor UE</w:t>
      </w:r>
      <w:r w:rsidRPr="003235DE">
        <w:rPr>
          <w:rStyle w:val="FootnoteReference"/>
        </w:rPr>
        <w:footnoteReference w:id="10"/>
      </w:r>
      <w:r w:rsidRPr="003235DE">
        <w:t>, pentru combaterea deficitului de competențe și pentru stimularea competitivității cu universități de vârf la nivel mondial pe baza dezvoltării capitalului uman, a rezilienței și a bunăstării;</w:t>
      </w:r>
    </w:p>
    <w:p w14:paraId="24439B62" w14:textId="77777777" w:rsidR="006473C5" w:rsidRPr="003235DE" w:rsidRDefault="006473C5" w:rsidP="006473C5">
      <w:pPr>
        <w:pStyle w:val="NormalHanging12a"/>
      </w:pPr>
      <w:r w:rsidRPr="003235DE">
        <w:t>B.</w:t>
      </w:r>
      <w:r w:rsidRPr="003235DE">
        <w:tab/>
        <w:t xml:space="preserve">întrucât importanța mediului academic și a universităților pentru o Uniune Europeană competitivă, </w:t>
      </w:r>
      <w:proofErr w:type="spellStart"/>
      <w:r w:rsidRPr="003235DE">
        <w:t>rezilientă</w:t>
      </w:r>
      <w:proofErr w:type="spellEnd"/>
      <w:r w:rsidRPr="003235DE">
        <w:t xml:space="preserve"> și autonomă este subliniată în raportul lui Mario Draghi privind viitorul competitivității europene, în raportul lui Enrico Letta privind viitorul pieței unice și în raportul lui Manuel </w:t>
      </w:r>
      <w:proofErr w:type="spellStart"/>
      <w:r w:rsidRPr="003235DE">
        <w:t>Heitor</w:t>
      </w:r>
      <w:proofErr w:type="spellEnd"/>
      <w:r w:rsidRPr="003235DE">
        <w:t xml:space="preserve"> referitor la evaluarea intermediară a programului Orizont Europa;</w:t>
      </w:r>
    </w:p>
    <w:p w14:paraId="50ACB42D" w14:textId="77777777" w:rsidR="006473C5" w:rsidRPr="003235DE" w:rsidRDefault="006473C5" w:rsidP="006473C5">
      <w:pPr>
        <w:pStyle w:val="NormalHanging12a"/>
      </w:pPr>
      <w:r w:rsidRPr="003235DE">
        <w:t>C.</w:t>
      </w:r>
      <w:r w:rsidRPr="003235DE">
        <w:tab/>
        <w:t>întrucât fragmentarea învățământului superior și a cercetării europene subminează capacitatea UE de a-și proteja suveranitatea, de a-și promova valorile și de a-și afirma influența la nivel mondial; întrucât o mai mare integrare ar putea consolida poziția strategică a UE;</w:t>
      </w:r>
    </w:p>
    <w:p w14:paraId="0C88F752" w14:textId="77777777" w:rsidR="006473C5" w:rsidRPr="003235DE" w:rsidRDefault="006473C5" w:rsidP="006473C5">
      <w:pPr>
        <w:pStyle w:val="NormalHanging12a"/>
      </w:pPr>
      <w:r w:rsidRPr="003235DE">
        <w:t>D.</w:t>
      </w:r>
      <w:r w:rsidRPr="003235DE">
        <w:tab/>
        <w:t>întrucât Busola pentru competitivitate subliniază importanța educației de înaltă calitate, a formării și a învățării pe tot parcursul vieții pentru a remedia lipsa de personal calificat și deficitele de forță de muncă;</w:t>
      </w:r>
    </w:p>
    <w:p w14:paraId="7D84B783" w14:textId="77777777" w:rsidR="006473C5" w:rsidRPr="003235DE" w:rsidRDefault="006473C5" w:rsidP="006473C5">
      <w:pPr>
        <w:pStyle w:val="NormalHanging12a"/>
      </w:pPr>
      <w:r w:rsidRPr="003235DE">
        <w:t>E.</w:t>
      </w:r>
      <w:r w:rsidRPr="003235DE">
        <w:tab/>
        <w:t>întrucât Erasmus+ este un program emblematic al UE care sprijină educația, formarea, tineretul și sportul în Europa și la nivel internațional, promovând în același timp mobilitatea și cooperarea universitară; întrucât o interacțiune mai strânsă între Erasmus+ și alte programe existente ale UE, cum ar fi Orizont Europa, ar aduce beneficii acestor obiective, promovând în același timp o abordare mai cuprinzătoare a învățământului superior;</w:t>
      </w:r>
    </w:p>
    <w:p w14:paraId="67811BAB" w14:textId="77777777" w:rsidR="006473C5" w:rsidRPr="003235DE" w:rsidRDefault="006473C5" w:rsidP="006473C5">
      <w:pPr>
        <w:pStyle w:val="NormalHanging12a"/>
      </w:pPr>
      <w:r w:rsidRPr="003235DE">
        <w:t>F.</w:t>
      </w:r>
      <w:r w:rsidRPr="003235DE">
        <w:tab/>
        <w:t xml:space="preserve">întrucât alianțele universităților europene au un scop multidimensional, începând cu crearea de programe de învățământ comune și avansând în direcția creării de campusuri </w:t>
      </w:r>
      <w:proofErr w:type="spellStart"/>
      <w:r w:rsidRPr="003235DE">
        <w:t>interuniversitare</w:t>
      </w:r>
      <w:proofErr w:type="spellEnd"/>
      <w:r w:rsidRPr="003235DE">
        <w:t xml:space="preserve"> cu o puternică dimensiune europeană, menite să promoveze mobilitatea studenților, a persoanelor care învață pe tot parcursul vieții și a cercetătorilor, precum și a personalului universitar și neuniversitar, și catalizând alte schimbări și mai transformatoare în peisajele învățământului superior din statele membre și din țările participante pentru un spațiu european al educației cu adevărat competitiv;</w:t>
      </w:r>
    </w:p>
    <w:p w14:paraId="5F0F4B5B" w14:textId="77777777" w:rsidR="006473C5" w:rsidRPr="003235DE" w:rsidRDefault="006473C5" w:rsidP="006473C5">
      <w:pPr>
        <w:pStyle w:val="NormalHanging12a"/>
      </w:pPr>
      <w:r w:rsidRPr="003235DE">
        <w:t>G.</w:t>
      </w:r>
      <w:r w:rsidRPr="003235DE">
        <w:tab/>
        <w:t>întrucât libertatea universitară este un principiu central al misiunilor și activităților universităților, astfel cum este consacrat la articolul 13 din Carta drepturilor fundamentale a UE și în recomandarea UNESCO din 11 noiembrie 1997 privind statutul personalului didactic din învățământul superior; întrucât această libertate este esențială pentru bunăstarea societăților democratice și, prin urmare, trebuie să fie protejată și promovată în continuare;</w:t>
      </w:r>
    </w:p>
    <w:p w14:paraId="68CAD2E6" w14:textId="77777777" w:rsidR="006473C5" w:rsidRPr="003235DE" w:rsidRDefault="006473C5" w:rsidP="006473C5">
      <w:pPr>
        <w:pStyle w:val="NormalHanging12a"/>
      </w:pPr>
      <w:r w:rsidRPr="003235DE">
        <w:t>H.</w:t>
      </w:r>
      <w:r w:rsidRPr="003235DE">
        <w:tab/>
        <w:t>întrucât alianțele universităților europene, prin asigurarea unei mobilități neîntrerupte pentru studenți, cercetători și personalul universitar și neuniversitar din UE și din afara acesteia, joacă un rol în consolidarea cercetării, inovării și educației pe piața unică și, prin urmare, sunt esențiale pentru realizarea „celei de-a cincea libertăți”, astfel cum este descrisă în raportul Letta;</w:t>
      </w:r>
    </w:p>
    <w:p w14:paraId="4809B086" w14:textId="77777777" w:rsidR="006473C5" w:rsidRPr="003235DE" w:rsidRDefault="006473C5" w:rsidP="006473C5">
      <w:pPr>
        <w:pStyle w:val="NormalHanging12a"/>
      </w:pPr>
      <w:r w:rsidRPr="003235DE">
        <w:lastRenderedPageBreak/>
        <w:t>I.</w:t>
      </w:r>
      <w:r w:rsidRPr="003235DE">
        <w:tab/>
        <w:t>întrucât instituțiile de învățământ superior din Europa se confruntă cu provocări legate de colaborarea transnațională, în special în ceea ce privește finanțarea, divergențele semnificative în legislația națională și regională, statutul juridic și structurile de guvernare, precum și barierele contractuale în calea schimbului de cunoștințe;</w:t>
      </w:r>
    </w:p>
    <w:p w14:paraId="36C5DEE5" w14:textId="77777777" w:rsidR="006473C5" w:rsidRPr="003235DE" w:rsidRDefault="006473C5" w:rsidP="006473C5">
      <w:pPr>
        <w:pStyle w:val="NormalHanging12a"/>
      </w:pPr>
      <w:r w:rsidRPr="003235DE">
        <w:t>J.</w:t>
      </w:r>
      <w:r w:rsidRPr="003235DE">
        <w:tab/>
        <w:t>întrucât inițiativa privind universitățile europene a fost încununată de succes, depășind așteptările în ceea ce privește participarea și implicarea; întrucât obiectivul de a crea 20 de alianțe, stabilit în concluziile Consiliului din 2017, a fost depășit, întrucât au fost create 65 de alianțe, care cuprind peste 570 de universități cu peste 2 200 de parteneri externi, fără alocări bugetare suplimentare și fără nicio garanție cu privire la continuitatea proiectelor finanțate;</w:t>
      </w:r>
    </w:p>
    <w:p w14:paraId="6004C557" w14:textId="77777777" w:rsidR="006473C5" w:rsidRPr="003235DE" w:rsidRDefault="006473C5" w:rsidP="006473C5">
      <w:pPr>
        <w:pStyle w:val="NormalHanging12a"/>
      </w:pPr>
      <w:r w:rsidRPr="003235DE">
        <w:t>K.</w:t>
      </w:r>
      <w:r w:rsidRPr="003235DE">
        <w:tab/>
        <w:t>întrucât aceste alianțe au fost selectate prin intermediul a cinci cereri deschise competitive axate pe calitate, excelență, merit academic, includere și acoperire geografică echitabilă;</w:t>
      </w:r>
    </w:p>
    <w:p w14:paraId="321385C1" w14:textId="77777777" w:rsidR="006473C5" w:rsidRPr="003235DE" w:rsidRDefault="006473C5" w:rsidP="006473C5">
      <w:pPr>
        <w:pStyle w:val="NormalHanging12a"/>
      </w:pPr>
      <w:r w:rsidRPr="003235DE">
        <w:t>L.</w:t>
      </w:r>
      <w:r w:rsidRPr="003235DE">
        <w:tab/>
        <w:t>întrucât inițiativa privind universitățile europene este un instrument-cheie pentru construirea unui spațiu european al educației integrat, competitiv și favorabil includerii, capabil să răspundă provocărilor la nivel mondial, precum și pentru întărirea identității, culturii și valorilor europene;</w:t>
      </w:r>
    </w:p>
    <w:p w14:paraId="31FF0D36" w14:textId="77777777" w:rsidR="006473C5" w:rsidRPr="003235DE" w:rsidRDefault="006473C5" w:rsidP="006473C5">
      <w:pPr>
        <w:pStyle w:val="NormalHanging12a"/>
      </w:pPr>
      <w:r w:rsidRPr="003235DE">
        <w:t>M.</w:t>
      </w:r>
      <w:r w:rsidRPr="003235DE">
        <w:tab/>
        <w:t>întrucât alianțele și-au dovedit potențialul transformator de a moderniza sistemele de învățământ superior ale statelor membre, jucând un rol de frunte în educarea unei noi generații de studenți europeni mobili și au contribuit la cercetarea de vârf; întrucât universitățile din mai multe alianțe sunt promotori și factori principali ai schimbărilor legislative din țările lor;</w:t>
      </w:r>
    </w:p>
    <w:p w14:paraId="20AAB121" w14:textId="77777777" w:rsidR="006473C5" w:rsidRPr="003235DE" w:rsidRDefault="006473C5" w:rsidP="006473C5">
      <w:pPr>
        <w:pStyle w:val="NormalHanging12a"/>
      </w:pPr>
      <w:r w:rsidRPr="003235DE">
        <w:t>N.</w:t>
      </w:r>
      <w:r w:rsidRPr="003235DE">
        <w:tab/>
        <w:t>întrucât 23 de state membre cofinanțează în prezent alianțe cu bugetele lor naționale,</w:t>
      </w:r>
    </w:p>
    <w:p w14:paraId="4F59F0AA" w14:textId="77777777" w:rsidR="006473C5" w:rsidRPr="003235DE" w:rsidRDefault="006473C5" w:rsidP="006473C5">
      <w:pPr>
        <w:pStyle w:val="Normal12a24b"/>
        <w:rPr>
          <w:i/>
          <w:iCs/>
        </w:rPr>
      </w:pPr>
      <w:r w:rsidRPr="003235DE">
        <w:rPr>
          <w:rStyle w:val="Bold"/>
          <w:i/>
          <w:iCs/>
        </w:rPr>
        <w:t>Situația actuală, încercări și obstacole</w:t>
      </w:r>
    </w:p>
    <w:p w14:paraId="48729402" w14:textId="77777777" w:rsidR="006473C5" w:rsidRPr="003235DE" w:rsidRDefault="006473C5" w:rsidP="006473C5">
      <w:pPr>
        <w:pStyle w:val="NormalHanging12a"/>
      </w:pPr>
      <w:r w:rsidRPr="003235DE">
        <w:t>1.</w:t>
      </w:r>
      <w:r w:rsidRPr="003235DE">
        <w:tab/>
        <w:t>recunoaște primirea călduroasă și angajamentul oferite inițiativei privind universitățile europene de către instituțiile de învățământ superior, precum și rolul său în facilitarea eforturilor de eliminare a obstacolelor din calea cooperării regionale, transfrontaliere și internaționale în domeniul învățământului superior, cum ar fi finanțarea fragmentată, disparitățile din sistemele de acreditare și barierele juridice;</w:t>
      </w:r>
    </w:p>
    <w:p w14:paraId="6EA4D9EE" w14:textId="77777777" w:rsidR="006473C5" w:rsidRPr="003235DE" w:rsidRDefault="006473C5" w:rsidP="006473C5">
      <w:pPr>
        <w:pStyle w:val="NormalHanging12a"/>
      </w:pPr>
      <w:r w:rsidRPr="003235DE">
        <w:t>2.</w:t>
      </w:r>
      <w:r w:rsidRPr="003235DE">
        <w:tab/>
        <w:t>subliniază că proiectele de mobilitate, crearea de programe de învățământ comune și cooperarea dintre universitățile din Europa sunt esențiale pentru a răspunde nevoilor din domenii strategice și pentru a consolida sentimentul de apartenență la Europa și aderarea la valorile UE, păstrând în același timp diversitatea și bogăția Uniunii Europene;</w:t>
      </w:r>
    </w:p>
    <w:p w14:paraId="45496B0F" w14:textId="77777777" w:rsidR="006473C5" w:rsidRPr="003235DE" w:rsidRDefault="006473C5" w:rsidP="006473C5">
      <w:pPr>
        <w:pStyle w:val="NormalHanging12a"/>
      </w:pPr>
      <w:r w:rsidRPr="003235DE">
        <w:t>3.</w:t>
      </w:r>
      <w:r w:rsidRPr="003235DE">
        <w:tab/>
        <w:t>constată că alianțele reprezintă un instrument puternic pentru punerea în aplicare și progresul Procesului de la Bologna; subliniază efectul de pârghie pe care îl au alianțele asupra proceselor de transformare din peisajul învățământului superior prin dezvoltarea și stimularea unor abordări inovatoare, precum și a unor metode noi de cooperare, crearea de oportunități și accesibilitatea pentru studenți;</w:t>
      </w:r>
    </w:p>
    <w:p w14:paraId="2C9CF1FF" w14:textId="77777777" w:rsidR="006473C5" w:rsidRPr="003235DE" w:rsidRDefault="006473C5" w:rsidP="006473C5">
      <w:pPr>
        <w:pStyle w:val="NormalHanging12a"/>
      </w:pPr>
      <w:r w:rsidRPr="003235DE">
        <w:t>4.</w:t>
      </w:r>
      <w:r w:rsidRPr="003235DE">
        <w:tab/>
        <w:t xml:space="preserve">subliniază diversitatea alianțelor în ceea ce privește guvernanța, subiectele și materiile abordate, precum și dimensiunea și localizarea universităților participante; ia act de </w:t>
      </w:r>
      <w:r w:rsidRPr="003235DE">
        <w:lastRenderedPageBreak/>
        <w:t>participarea de succes a multor universități din orașele mijlocii, din zonele rurale și regiunile ultraperiferice, ceea ce face din aceasta o inițiativă accesibilă și favorabilă includerii; subliniază că o abordare universală nu este adecvată pentru alianțe; constată că reprezentarea geografică la nivel european a universităților în cadrul alianțelor este esențială pentru combaterea exodului creierelor și atragerea de talente internaționale, făcând o contribuție de neprețuit la unitatea și integrarea europene;</w:t>
      </w:r>
    </w:p>
    <w:p w14:paraId="1BFC8B6C" w14:textId="77777777" w:rsidR="006473C5" w:rsidRPr="003235DE" w:rsidRDefault="006473C5" w:rsidP="006473C5">
      <w:pPr>
        <w:pStyle w:val="NormalHanging12a"/>
      </w:pPr>
      <w:r w:rsidRPr="003235DE">
        <w:t>5.</w:t>
      </w:r>
      <w:r w:rsidRPr="003235DE">
        <w:tab/>
        <w:t>salută integrarea studenților în structurile de guvernanță ale alianțelor, permițând tinerilor să aibă un impact real asupra dezvoltării lor, întrucât participarea tinerilor la procesele democratice și de luare a deciziilor contribuie la crearea unor alianțe orientate mai bine spre viitor și abordează încercările practice cu care se confruntă studenții; subliniază că este important să existe coerență între angajamentul studenților și organizațiile studențești, pentru a asigura transparența, echitatea și includerea în implicarea părților interesate;</w:t>
      </w:r>
    </w:p>
    <w:p w14:paraId="427D6229" w14:textId="77777777" w:rsidR="006473C5" w:rsidRPr="003235DE" w:rsidRDefault="006473C5" w:rsidP="006473C5">
      <w:pPr>
        <w:pStyle w:val="NormalHanging12a"/>
      </w:pPr>
      <w:r w:rsidRPr="003235DE">
        <w:t>6.</w:t>
      </w:r>
      <w:r w:rsidRPr="003235DE">
        <w:tab/>
        <w:t>subliniază că alianțele au potențialul și cunoștințele de specialitate necesare pentru a ajuta universitățile să facă față încercărilor socioeconomice; subliniază importanța includerii impactului societal ca element transversal în activitățile alianțelor; solicită strategii clare pentru a asigura și monitoriza accesibilitatea și includerea persoanelor cu mai puține oportunități</w:t>
      </w:r>
      <w:r w:rsidRPr="003235DE">
        <w:rPr>
          <w:rStyle w:val="FootnoteReference"/>
        </w:rPr>
        <w:footnoteReference w:id="11"/>
      </w:r>
      <w:r w:rsidRPr="003235DE">
        <w:t xml:space="preserve"> în toate activitățile alianțelor, în special prin eliminarea barierelor din calea mobilității și prevenirea tuturor formelor de discriminare, în conformitate cu Carta Universitară Erasmus;</w:t>
      </w:r>
    </w:p>
    <w:p w14:paraId="5F2B9403" w14:textId="77777777" w:rsidR="006473C5" w:rsidRPr="003235DE" w:rsidRDefault="006473C5" w:rsidP="006473C5">
      <w:pPr>
        <w:pStyle w:val="NormalHanging12a"/>
      </w:pPr>
      <w:r w:rsidRPr="003235DE">
        <w:t>7.</w:t>
      </w:r>
      <w:r w:rsidRPr="003235DE">
        <w:tab/>
        <w:t>salută proiectele-pilot care vizează crearea unei diplome europene și/sau a unui statut juridic; subliniază, cu toate acestea, că alianțele nu ar trebui să servească drept unic instrument de inovare în învățământul superior; constată că alianțele ar trebui să aibă libertatea de a se specializa și de a fi flexibile în acțiunile lor;</w:t>
      </w:r>
    </w:p>
    <w:p w14:paraId="25DA1E1E" w14:textId="77777777" w:rsidR="006473C5" w:rsidRPr="003235DE" w:rsidRDefault="006473C5" w:rsidP="006473C5">
      <w:pPr>
        <w:pStyle w:val="NormalHanging12a"/>
      </w:pPr>
      <w:r w:rsidRPr="003235DE">
        <w:t>8.</w:t>
      </w:r>
      <w:r w:rsidRPr="003235DE">
        <w:tab/>
        <w:t>salută rezultatele celor șase proiecte Erasmus+ de experimentare a politicilor privind diploma europeană și eticheta de diplomă europeană desfășurate de 21 de alianțe</w:t>
      </w:r>
      <w:r w:rsidRPr="003235DE">
        <w:rPr>
          <w:rStyle w:val="FootnoteReference"/>
        </w:rPr>
        <w:footnoteReference w:id="12"/>
      </w:r>
      <w:r w:rsidRPr="003235DE">
        <w:t>; recunoaște valoarea adăugată clară a unui cadru comun pentru diplomele europene, bazat pe criterii europene, ca un pas în direcția recunoașterii titlurilor și diplomelor la nivelul UE; recunoaște că o astfel de recunoaștere la nivelul UE ar crește mobilitatea și calitatea educației, întărind cadrul de cooperare și încurajând un angajament mai larg în programele universitare transnaționale, precum și consolidând vizibilitatea și competitivitatea globală a învățământului superior european;</w:t>
      </w:r>
    </w:p>
    <w:p w14:paraId="3BC2355F" w14:textId="77777777" w:rsidR="006473C5" w:rsidRPr="003235DE" w:rsidRDefault="006473C5" w:rsidP="006473C5">
      <w:pPr>
        <w:pStyle w:val="NormalHanging12a"/>
      </w:pPr>
      <w:r w:rsidRPr="003235DE">
        <w:t>9.</w:t>
      </w:r>
      <w:r w:rsidRPr="003235DE">
        <w:tab/>
        <w:t>observă că eticheta de diplomă europeană ar trebui să fie accesibilă tuturor celorlalte programe universitare comune și să fie complementară cadrelor naționale de calificare, care ar trebui adaptate atunci când este necesar, fără a crea o sarcină administrativă suplimentară;</w:t>
      </w:r>
    </w:p>
    <w:p w14:paraId="24865A80" w14:textId="77777777" w:rsidR="006473C5" w:rsidRPr="003235DE" w:rsidRDefault="006473C5" w:rsidP="006473C5">
      <w:pPr>
        <w:pStyle w:val="NormalHanging12a"/>
      </w:pPr>
      <w:r w:rsidRPr="003235DE">
        <w:t>10.</w:t>
      </w:r>
      <w:r w:rsidRPr="003235DE">
        <w:tab/>
        <w:t xml:space="preserve">crede cu tărie în potențialul alianțelor de a întări spațiul european al învățământului superior, deschizând calea pentru un spațiu unic de acreditare la nivelul UE; consideră că acesta este un pas necesar pentru autonomia noastră europeană, întrucât numeroase </w:t>
      </w:r>
      <w:r w:rsidRPr="003235DE">
        <w:lastRenderedPageBreak/>
        <w:t>instituții europene de învățământ superior, cum ar fi cele care eliberează diplome de masterat în gestiunea de afaceri, se bazează încă pe agențiile americane de acreditare;</w:t>
      </w:r>
    </w:p>
    <w:p w14:paraId="514AA3EF" w14:textId="77777777" w:rsidR="006473C5" w:rsidRPr="003235DE" w:rsidRDefault="006473C5" w:rsidP="006473C5">
      <w:pPr>
        <w:pStyle w:val="NormalHanging12a"/>
      </w:pPr>
      <w:r w:rsidRPr="003235DE">
        <w:t>11.</w:t>
      </w:r>
      <w:r w:rsidRPr="003235DE">
        <w:tab/>
        <w:t>salută creșterea semnificativă a numărului de proiecte de mobilitate care implică studenți, cursanți implicați în procesul de învățare pe tot parcursul vieții și cercetători, precum și personal universitar și neuniversitar din universitățile care participă la alianțe în comparație cu alte proiecte de mobilitate Erasmus+;</w:t>
      </w:r>
    </w:p>
    <w:p w14:paraId="377FF3F2" w14:textId="77777777" w:rsidR="006473C5" w:rsidRPr="003235DE" w:rsidRDefault="006473C5" w:rsidP="006473C5">
      <w:pPr>
        <w:pStyle w:val="NormalHanging12a"/>
      </w:pPr>
      <w:r w:rsidRPr="003235DE">
        <w:t>12.</w:t>
      </w:r>
      <w:r w:rsidRPr="003235DE">
        <w:tab/>
        <w:t>constată totuși că obiectivul inițial de a realiza o mobilitate fără sincope pentru 50 % dintre studenți în alianțele participante nu a fost încă atins și va rămâne o provocare în absența unor mecanisme de finanțare adecvate; este îngrijorat, în acest sens, de concurența potențială dintre programele de mobilitate ale alianțelor și mobilitatea generală Erasmus + a universităților, care au aceleași dispoziții de finanțare limitate, deoarece obiectivele de mobilitate pentru alianțe sunt mai mari decât cele pentru mobilitatea generală Erasmus +; invită, prin urmare, Comisia să evalueze aceste cerințe;</w:t>
      </w:r>
    </w:p>
    <w:p w14:paraId="42BE68E0" w14:textId="77777777" w:rsidR="006473C5" w:rsidRPr="003235DE" w:rsidRDefault="006473C5" w:rsidP="006473C5">
      <w:pPr>
        <w:pStyle w:val="NormalHanging12a"/>
      </w:pPr>
      <w:r w:rsidRPr="003235DE">
        <w:t>13.</w:t>
      </w:r>
      <w:r w:rsidRPr="003235DE">
        <w:tab/>
        <w:t>este profund îngrijorat de amenințările actuale la adresa libertății universitare în mai multe părți ale lumii, inclusiv în unele state membre și în țările din afara UE care participă la programul Erasmus+;</w:t>
      </w:r>
    </w:p>
    <w:p w14:paraId="1DCA2AAD" w14:textId="77777777" w:rsidR="006473C5" w:rsidRPr="003235DE" w:rsidRDefault="006473C5" w:rsidP="006473C5">
      <w:pPr>
        <w:pStyle w:val="NormalHanging12a"/>
      </w:pPr>
      <w:r w:rsidRPr="003235DE">
        <w:t>14.</w:t>
      </w:r>
      <w:r w:rsidRPr="003235DE">
        <w:tab/>
        <w:t>subliniază nevoia unor alianțe care să sprijine valorile UE, reziliența democratică și autonomia instituțională și care să încurajeze cetățenia activă; subliniază rolul lor de spații de învățare multilaterale și multiculturale;</w:t>
      </w:r>
    </w:p>
    <w:p w14:paraId="6FD3E565" w14:textId="77777777" w:rsidR="006473C5" w:rsidRPr="003235DE" w:rsidRDefault="006473C5" w:rsidP="006473C5">
      <w:pPr>
        <w:pStyle w:val="NormalHanging12a"/>
      </w:pPr>
      <w:r w:rsidRPr="003235DE">
        <w:t>15.</w:t>
      </w:r>
      <w:r w:rsidRPr="003235DE">
        <w:tab/>
        <w:t>salută inițiativele bazate pe valori, cum ar fi cooperarea în solidaritatea cu Ucraina, raza de acțiune globală a alianțelor și rolul alianțelor în pregătirile de aderare a țărilor candidate din vecinătatea estică și din Balcanii de Vest;</w:t>
      </w:r>
    </w:p>
    <w:p w14:paraId="2F143686" w14:textId="77777777" w:rsidR="006473C5" w:rsidRPr="003235DE" w:rsidRDefault="006473C5" w:rsidP="006473C5">
      <w:pPr>
        <w:pStyle w:val="NormalHanging12a"/>
      </w:pPr>
      <w:r w:rsidRPr="003235DE">
        <w:t>16.</w:t>
      </w:r>
      <w:r w:rsidRPr="003235DE">
        <w:tab/>
        <w:t>salută inițiativa Uniunea competențelor, în special viitoarea propunere privind o viitoare traiectorie de investiții și un statut juridic clar pentru alianțe, deoarece aceasta va facilita inițierea și conducerea de către universități a proiectelor europene, punerea în comun a resurselor, consolidarea autonomiei lor, reducerea sarcinilor administrative, atragerea de fonduri și extinderea structurii lor de guvernare, în special în cazul universităților din țările din afara UE, precum și facilitarea instituționalizării cooperării transfrontaliere;</w:t>
      </w:r>
    </w:p>
    <w:p w14:paraId="357C7CA3" w14:textId="77777777" w:rsidR="006473C5" w:rsidRPr="003235DE" w:rsidRDefault="006473C5" w:rsidP="006473C5">
      <w:pPr>
        <w:pStyle w:val="NormalHanging12a"/>
      </w:pPr>
      <w:r w:rsidRPr="003235DE">
        <w:t>17.</w:t>
      </w:r>
      <w:r w:rsidRPr="003235DE">
        <w:tab/>
        <w:t>subliniază rolul esențial pe care îl joacă universitățile, inclusiv alianțele, în protejarea și promovarea științei bazate pe dovezi, în consolidarea încrederii în discursul democratic, în încurajarea cooperării bazate pe valorile UE și în creșterea atractivității lor și a sectorului european al învățământului superior pentru studenții, personalul academic și cercetătorii din afara UE;</w:t>
      </w:r>
    </w:p>
    <w:p w14:paraId="03C63769" w14:textId="67258476" w:rsidR="006473C5" w:rsidRPr="003235DE" w:rsidRDefault="006473C5" w:rsidP="006473C5">
      <w:pPr>
        <w:pStyle w:val="NormalHanging12a"/>
      </w:pPr>
      <w:r w:rsidRPr="003235DE">
        <w:t>18.</w:t>
      </w:r>
      <w:r w:rsidRPr="003235DE">
        <w:tab/>
        <w:t xml:space="preserve">salută crearea FOREU4ALL, o comunitate de practici pentru alianțele universităților europene; subliniază rolul său esențial în diseminarea inovațiilor din alianțe către comunitatea universitară mai largă, întrucât universitățile și instituțiile de învățământ superior care nu fac parte din alianțe nu ar trebui </w:t>
      </w:r>
      <w:r w:rsidR="000A5238" w:rsidRPr="003235DE">
        <w:t>excluse sau dezavantajate</w:t>
      </w:r>
      <w:r w:rsidRPr="003235DE">
        <w:t>; reamintește că politicile și inițiativele ar trebui să aducă beneficii întregului sistem de învățământ superior;</w:t>
      </w:r>
    </w:p>
    <w:p w14:paraId="6648617A" w14:textId="77777777" w:rsidR="006473C5" w:rsidRPr="003235DE" w:rsidRDefault="006473C5" w:rsidP="006473C5">
      <w:pPr>
        <w:pStyle w:val="NormalHanging12a"/>
      </w:pPr>
      <w:r w:rsidRPr="003235DE">
        <w:t>19.</w:t>
      </w:r>
      <w:r w:rsidRPr="003235DE">
        <w:tab/>
        <w:t xml:space="preserve">recunoaște rolul important al altor rețele din sectorul învățământului superior, care reunesc un spectru mai larg de universități europene, indiferent de participarea lor la o </w:t>
      </w:r>
      <w:r w:rsidRPr="003235DE">
        <w:lastRenderedPageBreak/>
        <w:t>alianță; subliniază caracterul complementar al acestor rețele cu alianțele și potențialul acestora de a pregăti terenul pentru modificări legislative la nivel național;</w:t>
      </w:r>
    </w:p>
    <w:p w14:paraId="01D07737" w14:textId="77777777" w:rsidR="006473C5" w:rsidRPr="003235DE" w:rsidRDefault="006473C5" w:rsidP="006473C5">
      <w:pPr>
        <w:pStyle w:val="NormalHanging12a"/>
      </w:pPr>
      <w:r w:rsidRPr="003235DE">
        <w:t>20.</w:t>
      </w:r>
      <w:r w:rsidRPr="003235DE">
        <w:tab/>
        <w:t>subliniază că misiunea universităților include toate cele patru aspecte ale pieței cunoașterii: educație, cercetare, inovare și serviciu pentru societate; subliniază că alianțele trebuie să se adapteze la piața forței de muncă, pentru a aborda lipsa de personal calificat și provocările în materie de competitivitate de la nivelul Europei;</w:t>
      </w:r>
    </w:p>
    <w:p w14:paraId="357A300E" w14:textId="77777777" w:rsidR="006473C5" w:rsidRPr="003235DE" w:rsidRDefault="006473C5" w:rsidP="006473C5">
      <w:pPr>
        <w:pStyle w:val="NormalHanging12a"/>
      </w:pPr>
      <w:r w:rsidRPr="003235DE">
        <w:t>21.</w:t>
      </w:r>
      <w:r w:rsidRPr="003235DE">
        <w:tab/>
        <w:t>este îndeosebi îngrijorat de lipsa pilonilor de cercetare și inovare din cadrul alianțelor, având în vedere cadrul actual, deoarece subminează întregul potențial de cooperare dintre universități în cadrul alianțelor;</w:t>
      </w:r>
    </w:p>
    <w:p w14:paraId="2B924FF9" w14:textId="77777777" w:rsidR="006473C5" w:rsidRPr="003235DE" w:rsidRDefault="006473C5" w:rsidP="006473C5">
      <w:pPr>
        <w:pStyle w:val="Normal12a24b"/>
        <w:rPr>
          <w:i/>
          <w:iCs/>
        </w:rPr>
      </w:pPr>
      <w:r w:rsidRPr="003235DE">
        <w:rPr>
          <w:rStyle w:val="Bold"/>
          <w:i/>
          <w:iCs/>
        </w:rPr>
        <w:t>Recomandări</w:t>
      </w:r>
    </w:p>
    <w:p w14:paraId="2712C77E" w14:textId="77777777" w:rsidR="006473C5" w:rsidRPr="003235DE" w:rsidRDefault="006473C5" w:rsidP="006473C5">
      <w:pPr>
        <w:pStyle w:val="NormalHanging12a"/>
      </w:pPr>
      <w:r w:rsidRPr="003235DE">
        <w:t>22.</w:t>
      </w:r>
      <w:r w:rsidRPr="003235DE">
        <w:tab/>
        <w:t>încurajează alianțele să consolideze legătura dintre educație și cercetare; evidențiază capacitatea semnificativă a alianțelor de a crea rețele transfrontaliere de excelență pentru cercetători și de a împărtăși și disemina cunoștințe la nivelul UE și în afara acesteia, în special în domeniile STEM (știință, tehnologie, inginerie și matematică), inclusiv în domenii strategice pentru UE;</w:t>
      </w:r>
    </w:p>
    <w:p w14:paraId="167C03EB" w14:textId="77777777" w:rsidR="006473C5" w:rsidRPr="003235DE" w:rsidRDefault="006473C5" w:rsidP="006473C5">
      <w:pPr>
        <w:pStyle w:val="NormalHanging12a"/>
      </w:pPr>
      <w:r w:rsidRPr="003235DE">
        <w:t>23.</w:t>
      </w:r>
      <w:r w:rsidRPr="003235DE">
        <w:tab/>
        <w:t>subliniază că viziunea strategică pentru alianțele universitare trebuie să se reflecte în următorul cadru financiar multianual pentru a crește la maximum potențialul și impactul acestora; solicită Comisiei să evalueze fiecare alianță pentru a oferi sprijin și soluții adaptate în ceea ce privește dezvoltarea lor viitoare;</w:t>
      </w:r>
    </w:p>
    <w:p w14:paraId="2EAF0B5D" w14:textId="77777777" w:rsidR="006473C5" w:rsidRPr="003235DE" w:rsidRDefault="006473C5" w:rsidP="006473C5">
      <w:pPr>
        <w:pStyle w:val="NormalHanging12a"/>
      </w:pPr>
      <w:r w:rsidRPr="003235DE">
        <w:t>24.</w:t>
      </w:r>
      <w:r w:rsidRPr="003235DE">
        <w:tab/>
        <w:t>încurajează Comisia, statele membre și alianțele să treacă de la o „logică bazată pe proiecte” la o cooperare transformatoare pe termen lung, prin introducerea unei abordări a finanțării care să permită această tranziție; subliniază că este important ca alianțele să se poată extinde; subliniază necesitatea de a stabili obiective mai degrabă calitative decât cantitative, subliniind impactul transformator asupra spațiului european al educației;</w:t>
      </w:r>
    </w:p>
    <w:p w14:paraId="0C53C315" w14:textId="77777777" w:rsidR="006473C5" w:rsidRPr="003235DE" w:rsidRDefault="006473C5" w:rsidP="006473C5">
      <w:pPr>
        <w:pStyle w:val="NormalHanging12a"/>
      </w:pPr>
      <w:r w:rsidRPr="003235DE">
        <w:t>25.</w:t>
      </w:r>
      <w:r w:rsidRPr="003235DE">
        <w:tab/>
        <w:t>subliniază necesitatea unei finanțări coordonate, sustenabile și previzibile pentru alianțele actuale; solicită Comisiei să ia în considerare rezervarea viitoarelor apeluri pentru continuarea alianțelor încununate de succes, permițându-le să își aprofundeze integrarea și să își valorifice realizările; solicită Comisiei să mențină procesul de depunere a cererilor și de informare cât mai simplu cu putință; încurajează un proces de reînnoire rapidă pentru alianțele încununate de succes pentru a asigura o finanțare continuă fără o sarcină administrativă excesivă;</w:t>
      </w:r>
    </w:p>
    <w:p w14:paraId="046FBD5F" w14:textId="77777777" w:rsidR="006473C5" w:rsidRPr="003235DE" w:rsidRDefault="006473C5" w:rsidP="006473C5">
      <w:pPr>
        <w:pStyle w:val="NormalHanging12a"/>
      </w:pPr>
      <w:r w:rsidRPr="003235DE">
        <w:t>26.</w:t>
      </w:r>
      <w:r w:rsidRPr="003235DE">
        <w:tab/>
        <w:t>recunoaște relevanța ca inițiativa privind universitățile europene să continue să facă parte din programul Erasmus+, ținând seama de cadrul actual; în același timp, invită Comisia să studieze viabilitatea creării unei soluții adaptate pentru finanțarea alianțelor universităților europene în cadrul financiar multianual de după 2027, cu posibilitatea de a crea un program separat pentru a permite alianțelor să planifice strategic, să se implice în inițiative pe termen lung și să stabilească o cooperare durabilă;</w:t>
      </w:r>
    </w:p>
    <w:p w14:paraId="4DC09697" w14:textId="25579E6D" w:rsidR="006473C5" w:rsidRPr="003235DE" w:rsidRDefault="006473C5" w:rsidP="006473C5">
      <w:pPr>
        <w:pStyle w:val="NormalHanging12a"/>
      </w:pPr>
      <w:r w:rsidRPr="003235DE">
        <w:t>27.</w:t>
      </w:r>
      <w:r w:rsidRPr="003235DE">
        <w:tab/>
        <w:t xml:space="preserve">invită statele membre să se angajeze să cofinanțeze alianțele prin intermediul bugetelor naționale și solicită Comisiei să prezinte o strategie cuprinzătoare de investiții pentru alianțe, care să le permită să își îndeplinească misiunea cvadruplă; constată că această strategie ar trebui să includă sinergii cu programe ale UE precum Orizont Europa, </w:t>
      </w:r>
      <w:r w:rsidR="00BD2AE2" w:rsidRPr="003235DE">
        <w:lastRenderedPageBreak/>
        <w:t>Fondul european pentru competitivitate</w:t>
      </w:r>
      <w:r w:rsidRPr="003235DE">
        <w:t>, Fondul social european Plus și Fondul european de dezvoltare regională, pentru a optimiza resursele, a evita suprapunerile, a întări interacțiunea și colaborarea și a păstra caracterul lor competitiv;</w:t>
      </w:r>
    </w:p>
    <w:p w14:paraId="705DF7B8" w14:textId="77777777" w:rsidR="006473C5" w:rsidRPr="003235DE" w:rsidRDefault="006473C5" w:rsidP="006473C5">
      <w:pPr>
        <w:pStyle w:val="NormalHanging12a"/>
      </w:pPr>
      <w:r w:rsidRPr="003235DE">
        <w:t>28.</w:t>
      </w:r>
      <w:r w:rsidRPr="003235DE">
        <w:tab/>
        <w:t>evidențiază că, pentru a obține un succes real și sustenabil care să includă calitatea, excelența și includerea, sprijinul pentru alianțe nu poate proveni numai din bugetul UE, ci ar trebui să provină și din contribuții coordonate din surse naționale, regionale, locale și private, cu condiția ca acestea să poată garanta autonomia instituțiilor de învățământ superior și să protejeze libertatea universitară;</w:t>
      </w:r>
    </w:p>
    <w:p w14:paraId="5FF53804" w14:textId="77777777" w:rsidR="006473C5" w:rsidRPr="003235DE" w:rsidRDefault="006473C5" w:rsidP="006473C5">
      <w:pPr>
        <w:pStyle w:val="NormalHanging12a"/>
      </w:pPr>
      <w:r w:rsidRPr="003235DE">
        <w:t>29.</w:t>
      </w:r>
      <w:r w:rsidRPr="003235DE">
        <w:tab/>
        <w:t>subliniază că o integrare mai strânsă a alianțelor cu sectorul privat poate fi reciproc avantajoasă; încurajează parteneriatele și cooperarea structurată între universități și întreprinderi pentru a crea sisteme integrate care să stimuleze inovarea și formarea tehnică și profesională de nivel înalt și să faciliteze tranziția studenților către piața muncii, precum și recalificarea și perfecționarea profesională a persoanelor din afara învățământului superior;</w:t>
      </w:r>
    </w:p>
    <w:p w14:paraId="5D72DA20" w14:textId="77777777" w:rsidR="006473C5" w:rsidRPr="003235DE" w:rsidRDefault="006473C5" w:rsidP="006473C5">
      <w:pPr>
        <w:pStyle w:val="NormalHanging12a"/>
      </w:pPr>
      <w:r w:rsidRPr="003235DE">
        <w:t>30.</w:t>
      </w:r>
      <w:r w:rsidRPr="003235DE">
        <w:tab/>
        <w:t xml:space="preserve">subliniază necesitatea de a consolida internaționalizarea alianțelor, în conformitate, printre altele, cu strategia „Global Gateway” și cu parteneriatele pentru atragerea de talente; observă că alianțele sunt la nivelul potrivit pentru stabilirea de parteneriate cu țări din afara UE, îndeosebi cu țările candidate și pot întări dimensiunea internațională a programului Erasmus+, de exemplu prin intermediul Erasmus </w:t>
      </w:r>
      <w:proofErr w:type="spellStart"/>
      <w:r w:rsidRPr="003235DE">
        <w:t>Mundus</w:t>
      </w:r>
      <w:proofErr w:type="spellEnd"/>
      <w:r w:rsidRPr="003235DE">
        <w:t>; solicită Comisiei și alianțelor să se asigure că toți partenerii implicați respectă valorile UE și principiul libertății universitare, și aderă la Carta Erasmus pentru învățământul superior;</w:t>
      </w:r>
    </w:p>
    <w:p w14:paraId="1A26F450" w14:textId="77777777" w:rsidR="006473C5" w:rsidRPr="003235DE" w:rsidRDefault="006473C5" w:rsidP="006473C5">
      <w:pPr>
        <w:pStyle w:val="NormalHanging12a"/>
      </w:pPr>
      <w:r w:rsidRPr="003235DE">
        <w:t>31.</w:t>
      </w:r>
      <w:r w:rsidRPr="003235DE">
        <w:tab/>
        <w:t>observă că alianțele testează modalități inovatoare de predare și de dobândire a cunoștințelor, cum ar fi parcursurile de învățare europene, micro-certificatele, mobilitatea mixtă de învățare și recunoașterea automată a calificărilor; subliniază necesitatea de a investi în infrastructuri digitale sigure și de a întări inițiativele existente, cum ar fi cardul european de student;</w:t>
      </w:r>
    </w:p>
    <w:p w14:paraId="6377701C" w14:textId="77777777" w:rsidR="006473C5" w:rsidRPr="003235DE" w:rsidRDefault="006473C5" w:rsidP="006473C5">
      <w:pPr>
        <w:pStyle w:val="NormalHanging12a"/>
      </w:pPr>
      <w:r w:rsidRPr="003235DE">
        <w:t>32.</w:t>
      </w:r>
      <w:r w:rsidRPr="003235DE">
        <w:tab/>
        <w:t xml:space="preserve">subliniază necesitatea de a consolida interoperabilitatea sistemelor informatice și de a armoniza politicile europene și naționale pentru a crea </w:t>
      </w:r>
      <w:proofErr w:type="spellStart"/>
      <w:r w:rsidRPr="003235DE">
        <w:t>intercampusuri</w:t>
      </w:r>
      <w:proofErr w:type="spellEnd"/>
      <w:r w:rsidRPr="003235DE">
        <w:t xml:space="preserve"> europene virtuale autentice; încurajează o colaborare mai strânsă între alianțe pentru a permite identificarea sigură și interoperabilă a studenților, înregistrarea cursurilor și schimbul de experiență universitară, precum și investiții în integrarea de noi tehnologii educaționale;</w:t>
      </w:r>
    </w:p>
    <w:p w14:paraId="7814D436" w14:textId="77777777" w:rsidR="006473C5" w:rsidRPr="003235DE" w:rsidRDefault="006473C5" w:rsidP="006473C5">
      <w:pPr>
        <w:pStyle w:val="NormalHanging12a"/>
      </w:pPr>
      <w:r w:rsidRPr="003235DE">
        <w:t>33.</w:t>
      </w:r>
      <w:r w:rsidRPr="003235DE">
        <w:tab/>
        <w:t>subliniază necesitatea de a extinde utilizarea micro-certificatelor, pe baza celor mai bune practici, pentru a integra alianțele într-un mediu de învățare mai larg, corelând activitatea acestora cu alte instituții de învățare neoficiale; constată că formarea și perfecționarea recunoscute prin intermediul micro-certificatelor pot facilita revizuirea flexibilă, extinderea și modernizarea diplomelor universitare;</w:t>
      </w:r>
    </w:p>
    <w:p w14:paraId="521E06FD" w14:textId="77777777" w:rsidR="006473C5" w:rsidRPr="003235DE" w:rsidRDefault="006473C5" w:rsidP="006473C5">
      <w:pPr>
        <w:pStyle w:val="NormalHanging12a"/>
      </w:pPr>
      <w:r w:rsidRPr="003235DE">
        <w:t>34.</w:t>
      </w:r>
      <w:r w:rsidRPr="003235DE">
        <w:tab/>
        <w:t>solicită Comisiei să ia în considerare adăugarea de criterii la posibilele cereri de propuneri viitoare, în conformitate cu subiecte legate de autonomia strategică și competitivitatea europeană, cum ar fi reziliența, energia, schimbările climatice, tranziția digitală și competențele digitale, precum și apărarea, ținând seama, în același timp, de obiectivele fundamentale de respectare a valorilor UE, de excelență în educație și de inovare;</w:t>
      </w:r>
    </w:p>
    <w:p w14:paraId="64FEFCFD" w14:textId="77777777" w:rsidR="006473C5" w:rsidRPr="003235DE" w:rsidRDefault="006473C5" w:rsidP="006473C5">
      <w:pPr>
        <w:pStyle w:val="NormalHanging12a"/>
      </w:pPr>
      <w:r w:rsidRPr="003235DE">
        <w:lastRenderedPageBreak/>
        <w:t>35.</w:t>
      </w:r>
      <w:r w:rsidRPr="003235DE">
        <w:tab/>
        <w:t>subliniază necesitatea ca alianțele să dispună de structurile și capacitățile adecvate pentru a sprijini transferul de la mediul universitar la mediul de afaceri, pentru a contribui la realizarea ambițiilor UE în materie de autonomie strategică; invită Comisia să elimine barierele care împiedică partajarea și punerea în comun eficientă a resurselor și cunoștințelor comune, prin acțiuni precum facilitarea recrutării în comun a personalului universitar și a cercetătorilor, precum și prin dezvoltarea și utilizarea de facilități partajate;</w:t>
      </w:r>
    </w:p>
    <w:p w14:paraId="253C5106" w14:textId="77777777" w:rsidR="006473C5" w:rsidRPr="003235DE" w:rsidRDefault="006473C5" w:rsidP="006473C5">
      <w:pPr>
        <w:pStyle w:val="NormalHanging12a"/>
      </w:pPr>
      <w:r w:rsidRPr="003235DE">
        <w:t>36.</w:t>
      </w:r>
      <w:r w:rsidRPr="003235DE">
        <w:tab/>
        <w:t>subliniază necesitatea unor campanii eficace și accesibile de sensibilizare și informare cu privire la alianțele universităților europene pentru a promova o mai mare implicare, în special la nivel local și în rândul studenților, deoarece recunoașterea inițiativei este în prezent foarte scăzută;</w:t>
      </w:r>
    </w:p>
    <w:p w14:paraId="0E8965D6" w14:textId="77777777" w:rsidR="009C6384" w:rsidRPr="003235DE" w:rsidRDefault="006473C5" w:rsidP="009C6384">
      <w:pPr>
        <w:pStyle w:val="NormalHanging12a"/>
        <w:rPr>
          <w:szCs w:val="24"/>
        </w:rPr>
      </w:pPr>
      <w:r w:rsidRPr="003235DE">
        <w:t>37.</w:t>
      </w:r>
      <w:r w:rsidRPr="003235DE">
        <w:tab/>
        <w:t>invită guvernul ungar să respecte statul de drept și valorile UE și să pună în aplicare reformele necesare pentru ca studenții, cadrele didactice și cercetătorii maghiari din universitățile finanțate din fonduri publice să poată beneficia de programul Erasmus+, inclusiv de alianțele din cadrul inițiativei privind universitățile europene;</w:t>
      </w:r>
    </w:p>
    <w:p w14:paraId="48146DAD" w14:textId="77777777" w:rsidR="009C6384" w:rsidRPr="003235DE" w:rsidRDefault="009C6384" w:rsidP="009C6384">
      <w:pPr>
        <w:pStyle w:val="NormalHanging12a"/>
        <w:ind w:left="0" w:firstLine="0"/>
        <w:jc w:val="center"/>
        <w:rPr>
          <w:szCs w:val="24"/>
        </w:rPr>
      </w:pPr>
      <w:r w:rsidRPr="003235DE">
        <w:rPr>
          <w:szCs w:val="24"/>
        </w:rPr>
        <w:t>°</w:t>
      </w:r>
    </w:p>
    <w:p w14:paraId="15FD283A" w14:textId="67394486" w:rsidR="006473C5" w:rsidRPr="003235DE" w:rsidRDefault="009C6384" w:rsidP="003235DE">
      <w:pPr>
        <w:pStyle w:val="NormalHanging12a"/>
        <w:ind w:left="0" w:firstLine="0"/>
        <w:jc w:val="center"/>
      </w:pPr>
      <w:r w:rsidRPr="003235DE">
        <w:rPr>
          <w:szCs w:val="24"/>
        </w:rPr>
        <w:t>°         °</w:t>
      </w:r>
    </w:p>
    <w:p w14:paraId="2BFCF2C4" w14:textId="185F8438" w:rsidR="009A4A51" w:rsidRPr="003235DE" w:rsidRDefault="006473C5" w:rsidP="009A4A51">
      <w:pPr>
        <w:pStyle w:val="NormalHanging12a"/>
      </w:pPr>
      <w:r w:rsidRPr="003235DE">
        <w:t>38.</w:t>
      </w:r>
      <w:r w:rsidRPr="003235DE">
        <w:tab/>
        <w:t>încredințează Președintei sarcina de a transmite prezenta rezoluție Consiliului și Comisiei.</w:t>
      </w:r>
    </w:p>
    <w:p w14:paraId="0AC903EA" w14:textId="3E5E063E" w:rsidR="00E365E1" w:rsidRPr="003235DE" w:rsidRDefault="00E365E1" w:rsidP="004A69E8"/>
    <w:sectPr w:rsidR="00E365E1" w:rsidRPr="003235DE" w:rsidSect="009A4A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7639" w14:textId="77777777" w:rsidR="004A69E8" w:rsidRPr="009A4A51" w:rsidRDefault="004A69E8">
      <w:r w:rsidRPr="009A4A51">
        <w:separator/>
      </w:r>
    </w:p>
  </w:endnote>
  <w:endnote w:type="continuationSeparator" w:id="0">
    <w:p w14:paraId="046D1A65" w14:textId="77777777" w:rsidR="004A69E8" w:rsidRPr="009A4A51" w:rsidRDefault="004A69E8">
      <w:r w:rsidRPr="009A4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B7106" w14:textId="77777777" w:rsidR="00064002" w:rsidRPr="009A4A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D6A6" w14:textId="77777777" w:rsidR="00064002" w:rsidRPr="009A4A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DD6E" w14:textId="77777777" w:rsidR="00064002" w:rsidRPr="009A4A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D9066" w14:textId="77777777" w:rsidR="004A69E8" w:rsidRPr="009A4A51" w:rsidRDefault="004A69E8">
      <w:r w:rsidRPr="009A4A51">
        <w:separator/>
      </w:r>
    </w:p>
  </w:footnote>
  <w:footnote w:type="continuationSeparator" w:id="0">
    <w:p w14:paraId="7AB36772" w14:textId="77777777" w:rsidR="004A69E8" w:rsidRPr="009A4A51" w:rsidRDefault="004A69E8">
      <w:r w:rsidRPr="009A4A51">
        <w:continuationSeparator/>
      </w:r>
    </w:p>
  </w:footnote>
  <w:footnote w:id="1">
    <w:p w14:paraId="1355F7B9" w14:textId="74946779"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 xml:space="preserve">JO L 189, 28.5.2021, p. 1, ELI: </w:t>
      </w:r>
      <w:r w:rsidR="008D16F3">
        <w:fldChar w:fldCharType="begin"/>
      </w:r>
      <w:r w:rsidR="008D16F3" w:rsidRPr="008D16F3">
        <w:rPr>
          <w:lang w:val="fi-FI"/>
        </w:rPr>
        <w:instrText>HYPERLINK "http://data.europa.eu/eli/reg/2021/817/oj"</w:instrText>
      </w:r>
      <w:r w:rsidR="008D16F3">
        <w:fldChar w:fldCharType="separate"/>
      </w:r>
      <w:r w:rsidR="007227AB" w:rsidRPr="001E0F01">
        <w:rPr>
          <w:rStyle w:val="Hyperlink"/>
          <w:sz w:val="24"/>
          <w:lang w:val="ro-RO"/>
        </w:rPr>
        <w:t>http://data.europa.eu/eli/reg/2021/817/oj</w:t>
      </w:r>
      <w:r w:rsidR="008D16F3">
        <w:rPr>
          <w:rStyle w:val="Hyperlink"/>
          <w:sz w:val="24"/>
          <w:lang w:val="ro-RO"/>
        </w:rPr>
        <w:fldChar w:fldCharType="end"/>
      </w:r>
      <w:r w:rsidRPr="009A4A51">
        <w:rPr>
          <w:sz w:val="24"/>
          <w:lang w:val="ro-RO"/>
        </w:rPr>
        <w:t>.</w:t>
      </w:r>
    </w:p>
  </w:footnote>
  <w:footnote w:id="2">
    <w:p w14:paraId="640D3B2A" w14:textId="2B9674CA"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JO C 389, 18.11.2019, p. 1.</w:t>
      </w:r>
    </w:p>
  </w:footnote>
  <w:footnote w:id="3">
    <w:p w14:paraId="6AA3949E" w14:textId="362215C8"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JO C 504, 14.12.2021, p. 9.</w:t>
      </w:r>
    </w:p>
  </w:footnote>
  <w:footnote w:id="4">
    <w:p w14:paraId="208973DA" w14:textId="2D65833B"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 xml:space="preserve">JO C, C/2024/3364, 14.6.2024, ELI: </w:t>
      </w:r>
      <w:r w:rsidR="008D16F3">
        <w:fldChar w:fldCharType="begin"/>
      </w:r>
      <w:r w:rsidR="008D16F3" w:rsidRPr="008D16F3">
        <w:rPr>
          <w:lang w:val="fi-FI"/>
        </w:rPr>
        <w:instrText>HYPERLINK "http://data.europa.eu/eli/C/2024/3364/oj"</w:instrText>
      </w:r>
      <w:r w:rsidR="008D16F3">
        <w:fldChar w:fldCharType="separate"/>
      </w:r>
      <w:r w:rsidR="007227AB" w:rsidRPr="001E0F01">
        <w:rPr>
          <w:rStyle w:val="Hyperlink"/>
          <w:sz w:val="24"/>
          <w:lang w:val="ro-RO"/>
        </w:rPr>
        <w:t>http://data.europa.eu/eli/C/2024/3364/o</w:t>
      </w:r>
      <w:r w:rsidR="008D16F3">
        <w:rPr>
          <w:rStyle w:val="Hyperlink"/>
          <w:sz w:val="24"/>
          <w:lang w:val="ro-RO"/>
        </w:rPr>
        <w:fldChar w:fldCharType="end"/>
      </w:r>
      <w:r w:rsidR="007227AB">
        <w:rPr>
          <w:sz w:val="24"/>
          <w:lang w:val="ro-RO"/>
        </w:rPr>
        <w:t xml:space="preserve"> </w:t>
      </w:r>
      <w:r w:rsidRPr="009A4A51">
        <w:rPr>
          <w:sz w:val="24"/>
          <w:lang w:val="ro-RO"/>
        </w:rPr>
        <w:t>.</w:t>
      </w:r>
    </w:p>
  </w:footnote>
  <w:footnote w:id="5">
    <w:p w14:paraId="542E2EBD" w14:textId="14247A5D"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 xml:space="preserve">JO L 431, 2.12.2021, p. 1, ELI: </w:t>
      </w:r>
      <w:r w:rsidR="008D16F3">
        <w:fldChar w:fldCharType="begin"/>
      </w:r>
      <w:r w:rsidR="008D16F3" w:rsidRPr="008D16F3">
        <w:rPr>
          <w:lang w:val="fi-FI"/>
        </w:rPr>
        <w:instrText>HYPERLINK "http://data.europa.eu/eli/reco/2021/2122/oj"</w:instrText>
      </w:r>
      <w:r w:rsidR="008D16F3">
        <w:fldChar w:fldCharType="separate"/>
      </w:r>
      <w:r w:rsidR="007227AB" w:rsidRPr="001E0F01">
        <w:rPr>
          <w:rStyle w:val="Hyperlink"/>
          <w:sz w:val="24"/>
          <w:lang w:val="ro-RO"/>
        </w:rPr>
        <w:t>http://data.europa.eu/eli/reco/2021/2122/oj</w:t>
      </w:r>
      <w:r w:rsidR="008D16F3">
        <w:rPr>
          <w:rStyle w:val="Hyperlink"/>
          <w:sz w:val="24"/>
          <w:lang w:val="ro-RO"/>
        </w:rPr>
        <w:fldChar w:fldCharType="end"/>
      </w:r>
      <w:r w:rsidRPr="009A4A51">
        <w:rPr>
          <w:sz w:val="24"/>
          <w:lang w:val="ro-RO"/>
        </w:rPr>
        <w:t>.</w:t>
      </w:r>
    </w:p>
  </w:footnote>
  <w:footnote w:id="6">
    <w:p w14:paraId="0AC3D983" w14:textId="7BA40E60"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007227AB" w:rsidRPr="003235DE">
        <w:rPr>
          <w:sz w:val="24"/>
          <w:lang w:val="ro-RO"/>
        </w:rPr>
        <w:t>Comisia Europeană:</w:t>
      </w:r>
      <w:r w:rsidRPr="009A4A51">
        <w:rPr>
          <w:sz w:val="24"/>
          <w:lang w:val="ro-RO"/>
        </w:rPr>
        <w:t xml:space="preserve"> </w:t>
      </w:r>
      <w:r w:rsidR="007227AB" w:rsidRPr="003235DE">
        <w:rPr>
          <w:sz w:val="24"/>
          <w:lang w:val="ro-RO"/>
        </w:rPr>
        <w:t xml:space="preserve">Direcția Generală Educație, Tineret, Sport și Cultură et al., Report on </w:t>
      </w:r>
      <w:proofErr w:type="spellStart"/>
      <w:r w:rsidR="007227AB" w:rsidRPr="003235DE">
        <w:rPr>
          <w:sz w:val="24"/>
          <w:lang w:val="ro-RO"/>
        </w:rPr>
        <w:t>the</w:t>
      </w:r>
      <w:proofErr w:type="spellEnd"/>
      <w:r w:rsidR="007227AB" w:rsidRPr="003235DE">
        <w:rPr>
          <w:sz w:val="24"/>
          <w:lang w:val="ro-RO"/>
        </w:rPr>
        <w:t xml:space="preserve"> </w:t>
      </w:r>
      <w:proofErr w:type="spellStart"/>
      <w:r w:rsidR="007227AB" w:rsidRPr="003235DE">
        <w:rPr>
          <w:sz w:val="24"/>
          <w:lang w:val="ro-RO"/>
        </w:rPr>
        <w:t>outcomes</w:t>
      </w:r>
      <w:proofErr w:type="spellEnd"/>
      <w:r w:rsidR="007227AB" w:rsidRPr="003235DE">
        <w:rPr>
          <w:sz w:val="24"/>
          <w:lang w:val="ro-RO"/>
        </w:rPr>
        <w:t xml:space="preserve"> </w:t>
      </w:r>
      <w:proofErr w:type="spellStart"/>
      <w:r w:rsidR="007227AB" w:rsidRPr="003235DE">
        <w:rPr>
          <w:sz w:val="24"/>
          <w:lang w:val="ro-RO"/>
        </w:rPr>
        <w:t>and</w:t>
      </w:r>
      <w:proofErr w:type="spellEnd"/>
      <w:r w:rsidR="007227AB" w:rsidRPr="003235DE">
        <w:rPr>
          <w:sz w:val="24"/>
          <w:lang w:val="ro-RO"/>
        </w:rPr>
        <w:t xml:space="preserve"> </w:t>
      </w:r>
      <w:proofErr w:type="spellStart"/>
      <w:r w:rsidR="007227AB" w:rsidRPr="003235DE">
        <w:rPr>
          <w:sz w:val="24"/>
          <w:lang w:val="ro-RO"/>
        </w:rPr>
        <w:t>transformational</w:t>
      </w:r>
      <w:proofErr w:type="spellEnd"/>
      <w:r w:rsidR="007227AB" w:rsidRPr="003235DE">
        <w:rPr>
          <w:sz w:val="24"/>
          <w:lang w:val="ro-RO"/>
        </w:rPr>
        <w:t xml:space="preserve"> </w:t>
      </w:r>
      <w:proofErr w:type="spellStart"/>
      <w:r w:rsidR="007227AB" w:rsidRPr="003235DE">
        <w:rPr>
          <w:sz w:val="24"/>
          <w:lang w:val="ro-RO"/>
        </w:rPr>
        <w:t>potential</w:t>
      </w:r>
      <w:proofErr w:type="spellEnd"/>
      <w:r w:rsidR="007227AB" w:rsidRPr="003235DE">
        <w:rPr>
          <w:sz w:val="24"/>
          <w:lang w:val="ro-RO"/>
        </w:rPr>
        <w:t xml:space="preserve"> of </w:t>
      </w:r>
      <w:proofErr w:type="spellStart"/>
      <w:r w:rsidR="007227AB" w:rsidRPr="003235DE">
        <w:rPr>
          <w:sz w:val="24"/>
          <w:lang w:val="ro-RO"/>
        </w:rPr>
        <w:t>the</w:t>
      </w:r>
      <w:proofErr w:type="spellEnd"/>
      <w:r w:rsidR="007227AB" w:rsidRPr="003235DE">
        <w:rPr>
          <w:sz w:val="24"/>
          <w:lang w:val="ro-RO"/>
        </w:rPr>
        <w:t xml:space="preserve"> European </w:t>
      </w:r>
      <w:proofErr w:type="spellStart"/>
      <w:r w:rsidR="007227AB" w:rsidRPr="003235DE">
        <w:rPr>
          <w:sz w:val="24"/>
          <w:lang w:val="ro-RO"/>
        </w:rPr>
        <w:t>Universities</w:t>
      </w:r>
      <w:proofErr w:type="spellEnd"/>
      <w:r w:rsidR="007227AB" w:rsidRPr="003235DE">
        <w:rPr>
          <w:sz w:val="24"/>
          <w:lang w:val="ro-RO"/>
        </w:rPr>
        <w:t xml:space="preserve"> </w:t>
      </w:r>
      <w:proofErr w:type="spellStart"/>
      <w:r w:rsidR="007227AB" w:rsidRPr="003235DE">
        <w:rPr>
          <w:sz w:val="24"/>
          <w:lang w:val="ro-RO"/>
        </w:rPr>
        <w:t>initiative</w:t>
      </w:r>
      <w:proofErr w:type="spellEnd"/>
      <w:r w:rsidR="007227AB" w:rsidRPr="003235DE">
        <w:rPr>
          <w:sz w:val="24"/>
          <w:lang w:val="ro-RO"/>
        </w:rPr>
        <w:t xml:space="preserve"> (Raport privind rezultatele și potențialul de transformare al inițiativei privind universitățile europene), Oficiul pentru Publicații al Uniunii Europene, 2025, </w:t>
      </w:r>
      <w:r w:rsidR="008D16F3">
        <w:fldChar w:fldCharType="begin"/>
      </w:r>
      <w:r w:rsidR="008D16F3" w:rsidRPr="008D16F3">
        <w:rPr>
          <w:lang w:val="ro-RO"/>
        </w:rPr>
        <w:instrText>HYPERLINK "https://data.europa.eu/doi/10.2766/32313"</w:instrText>
      </w:r>
      <w:r w:rsidR="008D16F3">
        <w:fldChar w:fldCharType="separate"/>
      </w:r>
      <w:r w:rsidR="007227AB" w:rsidRPr="001E0F01">
        <w:rPr>
          <w:rStyle w:val="Hyperlink"/>
          <w:sz w:val="24"/>
          <w:lang w:val="ro-RO"/>
        </w:rPr>
        <w:t>https://data.europa.eu/doi/10.2766/32313</w:t>
      </w:r>
      <w:r w:rsidR="008D16F3">
        <w:rPr>
          <w:rStyle w:val="Hyperlink"/>
          <w:sz w:val="24"/>
          <w:lang w:val="ro-RO"/>
        </w:rPr>
        <w:fldChar w:fldCharType="end"/>
      </w:r>
      <w:r w:rsidR="007227AB" w:rsidRPr="009A4A51">
        <w:rPr>
          <w:color w:val="0000FF"/>
          <w:sz w:val="24"/>
          <w:u w:val="single" w:color="0000FF"/>
          <w:lang w:val="ro-RO"/>
        </w:rPr>
        <w:t>.</w:t>
      </w:r>
    </w:p>
  </w:footnote>
  <w:footnote w:id="7">
    <w:p w14:paraId="167C29B2" w14:textId="4E58890C"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JO C 32, 27.1.2023, p. 58.</w:t>
      </w:r>
    </w:p>
  </w:footnote>
  <w:footnote w:id="8">
    <w:p w14:paraId="3458407F" w14:textId="364E3732"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JO C 385, 22.9.2021, p. 2.</w:t>
      </w:r>
    </w:p>
  </w:footnote>
  <w:footnote w:id="9">
    <w:p w14:paraId="38AF0FC5" w14:textId="61E6DAA3"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JO C 479, 16.12.2022, p. 65.</w:t>
      </w:r>
    </w:p>
  </w:footnote>
  <w:footnote w:id="10">
    <w:p w14:paraId="2EFCC4EB" w14:textId="5FC88584"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003235DE">
        <w:rPr>
          <w:sz w:val="24"/>
          <w:lang w:val="ro-RO"/>
        </w:rPr>
        <w:t>A</w:t>
      </w:r>
      <w:r w:rsidRPr="009A4A51">
        <w:rPr>
          <w:sz w:val="24"/>
          <w:lang w:val="ro-RO"/>
        </w:rPr>
        <w:t>stfel cum este consacrat la articolul 2 din Tratatul privind Uniunea Europeană și în Carta drepturilor fundamentale a Uniunii Europene.</w:t>
      </w:r>
    </w:p>
  </w:footnote>
  <w:footnote w:id="11">
    <w:p w14:paraId="321B48BC" w14:textId="7C6E2B90"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Astfel cum sunt definite în regulamentul (UE) 2021/817 al Parlamentului European și al Consiliului din 20 mai 2021.</w:t>
      </w:r>
    </w:p>
  </w:footnote>
  <w:footnote w:id="12">
    <w:p w14:paraId="5BC21436" w14:textId="34D32D1E" w:rsidR="006473C5" w:rsidRPr="009A4A51" w:rsidRDefault="006473C5" w:rsidP="009A4A51">
      <w:pPr>
        <w:pStyle w:val="FootnoteText"/>
        <w:ind w:left="567" w:hanging="567"/>
        <w:rPr>
          <w:sz w:val="24"/>
          <w:lang w:val="ro-RO"/>
        </w:rPr>
      </w:pPr>
      <w:r w:rsidRPr="009A4A51">
        <w:rPr>
          <w:rStyle w:val="FootnoteReference"/>
          <w:sz w:val="24"/>
          <w:lang w:val="ro-RO"/>
        </w:rPr>
        <w:footnoteRef/>
      </w:r>
      <w:r w:rsidR="009A4A51" w:rsidRPr="009A4A51">
        <w:rPr>
          <w:sz w:val="24"/>
          <w:lang w:val="ro-RO"/>
        </w:rPr>
        <w:t xml:space="preserve"> </w:t>
      </w:r>
      <w:r w:rsidR="009A4A51" w:rsidRPr="009A4A51">
        <w:rPr>
          <w:sz w:val="24"/>
          <w:lang w:val="ro-RO"/>
        </w:rPr>
        <w:tab/>
      </w:r>
      <w:r w:rsidRPr="009A4A51">
        <w:rPr>
          <w:sz w:val="24"/>
          <w:lang w:val="ro-RO"/>
        </w:rPr>
        <w:t>Documentul de lucru al serviciilor Comisiei,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4707" w14:textId="77777777" w:rsidR="00064002" w:rsidRPr="009A4A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9322" w14:textId="77777777" w:rsidR="00064002" w:rsidRPr="009A4A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B1A4" w14:textId="77777777" w:rsidR="00064002" w:rsidRPr="009A4A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D6BEF432">
      <w:start w:val="1"/>
      <w:numFmt w:val="bullet"/>
      <w:pStyle w:val="Normal12aBullet1"/>
      <w:lvlText w:val=""/>
      <w:lvlJc w:val="left"/>
      <w:pPr>
        <w:ind w:left="720" w:hanging="360"/>
      </w:pPr>
      <w:rPr>
        <w:rFonts w:ascii="Symbol" w:hAnsi="Symbol" w:hint="default"/>
      </w:rPr>
    </w:lvl>
    <w:lvl w:ilvl="1" w:tplc="E042FC26" w:tentative="1">
      <w:start w:val="1"/>
      <w:numFmt w:val="bullet"/>
      <w:lvlText w:val="o"/>
      <w:lvlJc w:val="left"/>
      <w:pPr>
        <w:ind w:left="1440" w:hanging="360"/>
      </w:pPr>
      <w:rPr>
        <w:rFonts w:ascii="Courier New" w:hAnsi="Courier New" w:cs="Courier New" w:hint="default"/>
      </w:rPr>
    </w:lvl>
    <w:lvl w:ilvl="2" w:tplc="D69A91E4" w:tentative="1">
      <w:start w:val="1"/>
      <w:numFmt w:val="bullet"/>
      <w:lvlText w:val=""/>
      <w:lvlJc w:val="left"/>
      <w:pPr>
        <w:ind w:left="2160" w:hanging="360"/>
      </w:pPr>
      <w:rPr>
        <w:rFonts w:ascii="Wingdings" w:hAnsi="Wingdings" w:hint="default"/>
      </w:rPr>
    </w:lvl>
    <w:lvl w:ilvl="3" w:tplc="5BAC50DA" w:tentative="1">
      <w:start w:val="1"/>
      <w:numFmt w:val="bullet"/>
      <w:lvlText w:val=""/>
      <w:lvlJc w:val="left"/>
      <w:pPr>
        <w:ind w:left="2880" w:hanging="360"/>
      </w:pPr>
      <w:rPr>
        <w:rFonts w:ascii="Symbol" w:hAnsi="Symbol" w:hint="default"/>
      </w:rPr>
    </w:lvl>
    <w:lvl w:ilvl="4" w:tplc="251AAB12" w:tentative="1">
      <w:start w:val="1"/>
      <w:numFmt w:val="bullet"/>
      <w:lvlText w:val="o"/>
      <w:lvlJc w:val="left"/>
      <w:pPr>
        <w:ind w:left="3600" w:hanging="360"/>
      </w:pPr>
      <w:rPr>
        <w:rFonts w:ascii="Courier New" w:hAnsi="Courier New" w:cs="Courier New" w:hint="default"/>
      </w:rPr>
    </w:lvl>
    <w:lvl w:ilvl="5" w:tplc="827AF2CA" w:tentative="1">
      <w:start w:val="1"/>
      <w:numFmt w:val="bullet"/>
      <w:lvlText w:val=""/>
      <w:lvlJc w:val="left"/>
      <w:pPr>
        <w:ind w:left="4320" w:hanging="360"/>
      </w:pPr>
      <w:rPr>
        <w:rFonts w:ascii="Wingdings" w:hAnsi="Wingdings" w:hint="default"/>
      </w:rPr>
    </w:lvl>
    <w:lvl w:ilvl="6" w:tplc="B0507AE2" w:tentative="1">
      <w:start w:val="1"/>
      <w:numFmt w:val="bullet"/>
      <w:lvlText w:val=""/>
      <w:lvlJc w:val="left"/>
      <w:pPr>
        <w:ind w:left="5040" w:hanging="360"/>
      </w:pPr>
      <w:rPr>
        <w:rFonts w:ascii="Symbol" w:hAnsi="Symbol" w:hint="default"/>
      </w:rPr>
    </w:lvl>
    <w:lvl w:ilvl="7" w:tplc="CA70DE06" w:tentative="1">
      <w:start w:val="1"/>
      <w:numFmt w:val="bullet"/>
      <w:lvlText w:val="o"/>
      <w:lvlJc w:val="left"/>
      <w:pPr>
        <w:ind w:left="5760" w:hanging="360"/>
      </w:pPr>
      <w:rPr>
        <w:rFonts w:ascii="Courier New" w:hAnsi="Courier New" w:cs="Courier New" w:hint="default"/>
      </w:rPr>
    </w:lvl>
    <w:lvl w:ilvl="8" w:tplc="40EAB202"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C97C3EDC">
      <w:start w:val="1"/>
      <w:numFmt w:val="bullet"/>
      <w:pStyle w:val="Normal12aBullet2"/>
      <w:lvlText w:val="o"/>
      <w:lvlJc w:val="left"/>
      <w:pPr>
        <w:ind w:left="1080" w:hanging="360"/>
      </w:pPr>
      <w:rPr>
        <w:rFonts w:ascii="Courier New" w:hAnsi="Courier New" w:cs="Courier New" w:hint="default"/>
      </w:rPr>
    </w:lvl>
    <w:lvl w:ilvl="1" w:tplc="ECE6DD02" w:tentative="1">
      <w:start w:val="1"/>
      <w:numFmt w:val="bullet"/>
      <w:lvlText w:val="o"/>
      <w:lvlJc w:val="left"/>
      <w:pPr>
        <w:ind w:left="1800" w:hanging="360"/>
      </w:pPr>
      <w:rPr>
        <w:rFonts w:ascii="Courier New" w:hAnsi="Courier New" w:cs="Courier New" w:hint="default"/>
      </w:rPr>
    </w:lvl>
    <w:lvl w:ilvl="2" w:tplc="4A2E1F54" w:tentative="1">
      <w:start w:val="1"/>
      <w:numFmt w:val="bullet"/>
      <w:lvlText w:val=""/>
      <w:lvlJc w:val="left"/>
      <w:pPr>
        <w:ind w:left="2520" w:hanging="360"/>
      </w:pPr>
      <w:rPr>
        <w:rFonts w:ascii="Wingdings" w:hAnsi="Wingdings" w:hint="default"/>
      </w:rPr>
    </w:lvl>
    <w:lvl w:ilvl="3" w:tplc="4E185F20" w:tentative="1">
      <w:start w:val="1"/>
      <w:numFmt w:val="bullet"/>
      <w:lvlText w:val=""/>
      <w:lvlJc w:val="left"/>
      <w:pPr>
        <w:ind w:left="3240" w:hanging="360"/>
      </w:pPr>
      <w:rPr>
        <w:rFonts w:ascii="Symbol" w:hAnsi="Symbol" w:hint="default"/>
      </w:rPr>
    </w:lvl>
    <w:lvl w:ilvl="4" w:tplc="DC4E3560" w:tentative="1">
      <w:start w:val="1"/>
      <w:numFmt w:val="bullet"/>
      <w:lvlText w:val="o"/>
      <w:lvlJc w:val="left"/>
      <w:pPr>
        <w:ind w:left="3960" w:hanging="360"/>
      </w:pPr>
      <w:rPr>
        <w:rFonts w:ascii="Courier New" w:hAnsi="Courier New" w:cs="Courier New" w:hint="default"/>
      </w:rPr>
    </w:lvl>
    <w:lvl w:ilvl="5" w:tplc="F52E8E9C" w:tentative="1">
      <w:start w:val="1"/>
      <w:numFmt w:val="bullet"/>
      <w:lvlText w:val=""/>
      <w:lvlJc w:val="left"/>
      <w:pPr>
        <w:ind w:left="4680" w:hanging="360"/>
      </w:pPr>
      <w:rPr>
        <w:rFonts w:ascii="Wingdings" w:hAnsi="Wingdings" w:hint="default"/>
      </w:rPr>
    </w:lvl>
    <w:lvl w:ilvl="6" w:tplc="824AB05E" w:tentative="1">
      <w:start w:val="1"/>
      <w:numFmt w:val="bullet"/>
      <w:lvlText w:val=""/>
      <w:lvlJc w:val="left"/>
      <w:pPr>
        <w:ind w:left="5400" w:hanging="360"/>
      </w:pPr>
      <w:rPr>
        <w:rFonts w:ascii="Symbol" w:hAnsi="Symbol" w:hint="default"/>
      </w:rPr>
    </w:lvl>
    <w:lvl w:ilvl="7" w:tplc="AA7E5946" w:tentative="1">
      <w:start w:val="1"/>
      <w:numFmt w:val="bullet"/>
      <w:lvlText w:val="o"/>
      <w:lvlJc w:val="left"/>
      <w:pPr>
        <w:ind w:left="6120" w:hanging="360"/>
      </w:pPr>
      <w:rPr>
        <w:rFonts w:ascii="Courier New" w:hAnsi="Courier New" w:cs="Courier New" w:hint="default"/>
      </w:rPr>
    </w:lvl>
    <w:lvl w:ilvl="8" w:tplc="2D209C9E" w:tentative="1">
      <w:start w:val="1"/>
      <w:numFmt w:val="bullet"/>
      <w:lvlText w:val=""/>
      <w:lvlJc w:val="left"/>
      <w:pPr>
        <w:ind w:left="6840" w:hanging="360"/>
      </w:pPr>
      <w:rPr>
        <w:rFonts w:ascii="Wingdings" w:hAnsi="Wingdings" w:hint="default"/>
      </w:rPr>
    </w:lvl>
  </w:abstractNum>
  <w:num w:numId="1" w16cid:durableId="522060305">
    <w:abstractNumId w:val="9"/>
  </w:num>
  <w:num w:numId="2" w16cid:durableId="393703491">
    <w:abstractNumId w:val="9"/>
  </w:num>
  <w:num w:numId="3" w16cid:durableId="1739785130">
    <w:abstractNumId w:val="7"/>
  </w:num>
  <w:num w:numId="4" w16cid:durableId="2064059009">
    <w:abstractNumId w:val="7"/>
  </w:num>
  <w:num w:numId="5" w16cid:durableId="652878850">
    <w:abstractNumId w:val="6"/>
  </w:num>
  <w:num w:numId="6" w16cid:durableId="844176534">
    <w:abstractNumId w:val="6"/>
  </w:num>
  <w:num w:numId="7" w16cid:durableId="1072629677">
    <w:abstractNumId w:val="5"/>
  </w:num>
  <w:num w:numId="8" w16cid:durableId="1992175467">
    <w:abstractNumId w:val="5"/>
  </w:num>
  <w:num w:numId="9" w16cid:durableId="1769697884">
    <w:abstractNumId w:val="4"/>
  </w:num>
  <w:num w:numId="10" w16cid:durableId="1154684858">
    <w:abstractNumId w:val="4"/>
  </w:num>
  <w:num w:numId="11" w16cid:durableId="718015218">
    <w:abstractNumId w:val="8"/>
  </w:num>
  <w:num w:numId="12" w16cid:durableId="70935479">
    <w:abstractNumId w:val="8"/>
  </w:num>
  <w:num w:numId="13" w16cid:durableId="892811834">
    <w:abstractNumId w:val="3"/>
  </w:num>
  <w:num w:numId="14" w16cid:durableId="209851219">
    <w:abstractNumId w:val="3"/>
  </w:num>
  <w:num w:numId="15" w16cid:durableId="2082218252">
    <w:abstractNumId w:val="2"/>
  </w:num>
  <w:num w:numId="16" w16cid:durableId="1887721817">
    <w:abstractNumId w:val="2"/>
  </w:num>
  <w:num w:numId="17" w16cid:durableId="1976712072">
    <w:abstractNumId w:val="1"/>
  </w:num>
  <w:num w:numId="18" w16cid:durableId="286014081">
    <w:abstractNumId w:val="1"/>
  </w:num>
  <w:num w:numId="19" w16cid:durableId="1762722125">
    <w:abstractNumId w:val="0"/>
  </w:num>
  <w:num w:numId="20" w16cid:durableId="736393158">
    <w:abstractNumId w:val="0"/>
  </w:num>
  <w:num w:numId="21" w16cid:durableId="956839675">
    <w:abstractNumId w:val="9"/>
  </w:num>
  <w:num w:numId="22" w16cid:durableId="484123220">
    <w:abstractNumId w:val="7"/>
  </w:num>
  <w:num w:numId="23" w16cid:durableId="215821108">
    <w:abstractNumId w:val="6"/>
  </w:num>
  <w:num w:numId="24" w16cid:durableId="572618872">
    <w:abstractNumId w:val="5"/>
  </w:num>
  <w:num w:numId="25" w16cid:durableId="556822508">
    <w:abstractNumId w:val="4"/>
  </w:num>
  <w:num w:numId="26" w16cid:durableId="1549340037">
    <w:abstractNumId w:val="8"/>
  </w:num>
  <w:num w:numId="27" w16cid:durableId="1999723808">
    <w:abstractNumId w:val="3"/>
  </w:num>
  <w:num w:numId="28" w16cid:durableId="1857770278">
    <w:abstractNumId w:val="2"/>
  </w:num>
  <w:num w:numId="29" w16cid:durableId="1633561359">
    <w:abstractNumId w:val="1"/>
  </w:num>
  <w:num w:numId="30" w16cid:durableId="902527150">
    <w:abstractNumId w:val="0"/>
  </w:num>
  <w:num w:numId="31" w16cid:durableId="1947345391">
    <w:abstractNumId w:val="9"/>
  </w:num>
  <w:num w:numId="32" w16cid:durableId="808016232">
    <w:abstractNumId w:val="7"/>
  </w:num>
  <w:num w:numId="33" w16cid:durableId="730923479">
    <w:abstractNumId w:val="6"/>
  </w:num>
  <w:num w:numId="34" w16cid:durableId="1347486804">
    <w:abstractNumId w:val="5"/>
  </w:num>
  <w:num w:numId="35" w16cid:durableId="320743711">
    <w:abstractNumId w:val="4"/>
  </w:num>
  <w:num w:numId="36" w16cid:durableId="1944026883">
    <w:abstractNumId w:val="8"/>
  </w:num>
  <w:num w:numId="37" w16cid:durableId="551427949">
    <w:abstractNumId w:val="3"/>
  </w:num>
  <w:num w:numId="38" w16cid:durableId="77334929">
    <w:abstractNumId w:val="2"/>
  </w:num>
  <w:num w:numId="39" w16cid:durableId="120657487">
    <w:abstractNumId w:val="1"/>
  </w:num>
  <w:num w:numId="40" w16cid:durableId="712270988">
    <w:abstractNumId w:val="0"/>
  </w:num>
  <w:num w:numId="41" w16cid:durableId="91822171">
    <w:abstractNumId w:val="10"/>
  </w:num>
  <w:num w:numId="42" w16cid:durableId="1318261874">
    <w:abstractNumId w:val="10"/>
  </w:num>
  <w:num w:numId="43" w16cid:durableId="654408057">
    <w:abstractNumId w:val="10"/>
  </w:num>
  <w:num w:numId="44" w16cid:durableId="191958879">
    <w:abstractNumId w:val="11"/>
  </w:num>
  <w:num w:numId="45" w16cid:durableId="1016345666">
    <w:abstractNumId w:val="12"/>
  </w:num>
  <w:num w:numId="46" w16cid:durableId="1477480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RO"/>
    <w:docVar w:name="dvnumam" w:val="0"/>
    <w:docVar w:name="dvpe" w:val="770.272"/>
    <w:docVar w:name="dvrapporteur" w:val="Raportoare: "/>
    <w:docVar w:name="dvtitre" w:val="Rezoluția Parlamentului European din 11 septembrie 2025 referitoare la o nouă viziune pentru alianțele universităților europene(2025/2036(INI))"/>
  </w:docVars>
  <w:rsids>
    <w:rsidRoot w:val="004A69E8"/>
    <w:rsid w:val="00002272"/>
    <w:rsid w:val="00064002"/>
    <w:rsid w:val="000677B9"/>
    <w:rsid w:val="000831BA"/>
    <w:rsid w:val="000A42CC"/>
    <w:rsid w:val="000A5238"/>
    <w:rsid w:val="000D5F6D"/>
    <w:rsid w:val="000E7DD9"/>
    <w:rsid w:val="0010095E"/>
    <w:rsid w:val="00125B37"/>
    <w:rsid w:val="00187494"/>
    <w:rsid w:val="001F32AE"/>
    <w:rsid w:val="00216379"/>
    <w:rsid w:val="002767FF"/>
    <w:rsid w:val="002B18FE"/>
    <w:rsid w:val="002B5493"/>
    <w:rsid w:val="003235DE"/>
    <w:rsid w:val="00325CF2"/>
    <w:rsid w:val="00343214"/>
    <w:rsid w:val="0036062F"/>
    <w:rsid w:val="00361C00"/>
    <w:rsid w:val="00395FA1"/>
    <w:rsid w:val="003E15D4"/>
    <w:rsid w:val="00411CCE"/>
    <w:rsid w:val="0041666E"/>
    <w:rsid w:val="00421060"/>
    <w:rsid w:val="00471C19"/>
    <w:rsid w:val="004867E3"/>
    <w:rsid w:val="00494A28"/>
    <w:rsid w:val="004A0DB6"/>
    <w:rsid w:val="004A69E8"/>
    <w:rsid w:val="004C0004"/>
    <w:rsid w:val="004C5D52"/>
    <w:rsid w:val="0050519A"/>
    <w:rsid w:val="005072A1"/>
    <w:rsid w:val="00514517"/>
    <w:rsid w:val="00545827"/>
    <w:rsid w:val="00560270"/>
    <w:rsid w:val="005C2568"/>
    <w:rsid w:val="005F1B17"/>
    <w:rsid w:val="006037C0"/>
    <w:rsid w:val="006473C5"/>
    <w:rsid w:val="006631B6"/>
    <w:rsid w:val="00680577"/>
    <w:rsid w:val="006F74FA"/>
    <w:rsid w:val="007227A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6F3"/>
    <w:rsid w:val="00930C23"/>
    <w:rsid w:val="0093193B"/>
    <w:rsid w:val="009509D8"/>
    <w:rsid w:val="00950B64"/>
    <w:rsid w:val="00981893"/>
    <w:rsid w:val="009A4A51"/>
    <w:rsid w:val="009C6384"/>
    <w:rsid w:val="00A1687D"/>
    <w:rsid w:val="00A43E52"/>
    <w:rsid w:val="00A4678D"/>
    <w:rsid w:val="00A778C7"/>
    <w:rsid w:val="00AB441E"/>
    <w:rsid w:val="00AB6293"/>
    <w:rsid w:val="00AE0928"/>
    <w:rsid w:val="00AF3B82"/>
    <w:rsid w:val="00B12E95"/>
    <w:rsid w:val="00B22876"/>
    <w:rsid w:val="00B558F0"/>
    <w:rsid w:val="00BD2AE2"/>
    <w:rsid w:val="00BD48FE"/>
    <w:rsid w:val="00BD7BD8"/>
    <w:rsid w:val="00BE6ADC"/>
    <w:rsid w:val="00C05BFE"/>
    <w:rsid w:val="00C23CD4"/>
    <w:rsid w:val="00C61C0C"/>
    <w:rsid w:val="00C941CB"/>
    <w:rsid w:val="00CC2357"/>
    <w:rsid w:val="00CF071A"/>
    <w:rsid w:val="00D058B8"/>
    <w:rsid w:val="00D14C5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3724F"/>
  <w15:chartTrackingRefBased/>
  <w15:docId w15:val="{07B72966-DD4B-4E25-B038-3C3A8AB6E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73C5"/>
    <w:rPr>
      <w:b/>
      <w:kern w:val="28"/>
      <w:sz w:val="28"/>
      <w:lang w:val="fr-FR" w:eastAsia="fr-FR"/>
    </w:rPr>
  </w:style>
  <w:style w:type="character" w:customStyle="1" w:styleId="Heading2Char">
    <w:name w:val="Heading 2 Char"/>
    <w:basedOn w:val="DefaultParagraphFont"/>
    <w:link w:val="Heading2"/>
    <w:semiHidden/>
    <w:rsid w:val="006473C5"/>
    <w:rPr>
      <w:sz w:val="24"/>
      <w:lang w:val="fr-FR" w:eastAsia="fr-FR"/>
    </w:rPr>
  </w:style>
  <w:style w:type="character" w:customStyle="1" w:styleId="Heading3Char">
    <w:name w:val="Heading 3 Char"/>
    <w:basedOn w:val="DefaultParagraphFont"/>
    <w:link w:val="Heading3"/>
    <w:semiHidden/>
    <w:rsid w:val="006473C5"/>
    <w:rPr>
      <w:rFonts w:ascii="Arial" w:hAnsi="Arial"/>
      <w:sz w:val="24"/>
      <w:lang w:val="fr-FR" w:eastAsia="fr-FR"/>
    </w:rPr>
  </w:style>
  <w:style w:type="character" w:customStyle="1" w:styleId="Heading4Char">
    <w:name w:val="Heading 4 Char"/>
    <w:basedOn w:val="DefaultParagraphFont"/>
    <w:link w:val="Heading4"/>
    <w:semiHidden/>
    <w:rsid w:val="006473C5"/>
    <w:rPr>
      <w:sz w:val="24"/>
      <w:lang w:val="en-US" w:eastAsia="fr-FR"/>
    </w:rPr>
  </w:style>
  <w:style w:type="character" w:customStyle="1" w:styleId="Heading5Char">
    <w:name w:val="Heading 5 Char"/>
    <w:basedOn w:val="DefaultParagraphFont"/>
    <w:link w:val="Heading5"/>
    <w:semiHidden/>
    <w:rsid w:val="006473C5"/>
    <w:rPr>
      <w:sz w:val="24"/>
      <w:lang w:val="en-US" w:eastAsia="fr-FR"/>
    </w:rPr>
  </w:style>
  <w:style w:type="character" w:customStyle="1" w:styleId="Heading6Char">
    <w:name w:val="Heading 6 Char"/>
    <w:basedOn w:val="DefaultParagraphFont"/>
    <w:link w:val="Heading6"/>
    <w:semiHidden/>
    <w:rsid w:val="006473C5"/>
    <w:rPr>
      <w:i/>
      <w:sz w:val="22"/>
      <w:lang w:val="ro-RO"/>
    </w:rPr>
  </w:style>
  <w:style w:type="character" w:customStyle="1" w:styleId="Heading7Char">
    <w:name w:val="Heading 7 Char"/>
    <w:basedOn w:val="DefaultParagraphFont"/>
    <w:link w:val="Heading7"/>
    <w:semiHidden/>
    <w:rsid w:val="006473C5"/>
    <w:rPr>
      <w:rFonts w:ascii="Arial" w:hAnsi="Arial"/>
      <w:sz w:val="24"/>
      <w:lang w:val="ro-RO"/>
    </w:rPr>
  </w:style>
  <w:style w:type="character" w:customStyle="1" w:styleId="Heading8Char">
    <w:name w:val="Heading 8 Char"/>
    <w:basedOn w:val="DefaultParagraphFont"/>
    <w:link w:val="Heading8"/>
    <w:semiHidden/>
    <w:rsid w:val="006473C5"/>
    <w:rPr>
      <w:rFonts w:ascii="Arial" w:hAnsi="Arial"/>
      <w:i/>
      <w:sz w:val="24"/>
      <w:lang w:val="ro-RO"/>
    </w:rPr>
  </w:style>
  <w:style w:type="character" w:customStyle="1" w:styleId="Heading9Char">
    <w:name w:val="Heading 9 Char"/>
    <w:basedOn w:val="DefaultParagraphFont"/>
    <w:link w:val="Heading9"/>
    <w:semiHidden/>
    <w:rsid w:val="006473C5"/>
    <w:rPr>
      <w:rFonts w:ascii="Arial" w:hAnsi="Arial"/>
      <w:b/>
      <w:i/>
      <w:sz w:val="18"/>
      <w:lang w:val="ro-RO"/>
    </w:rPr>
  </w:style>
  <w:style w:type="paragraph" w:styleId="TOCHeading">
    <w:name w:val="TOC Heading"/>
    <w:basedOn w:val="Normal"/>
    <w:next w:val="Normal"/>
    <w:unhideWhenUsed/>
    <w:qFormat/>
    <w:rsid w:val="006473C5"/>
    <w:pPr>
      <w:widowControl/>
      <w:spacing w:after="240"/>
    </w:pPr>
    <w:rPr>
      <w:lang w:val="en-GB"/>
    </w:rPr>
  </w:style>
  <w:style w:type="paragraph" w:customStyle="1" w:styleId="EPComma">
    <w:name w:val="EPComma"/>
    <w:basedOn w:val="Normal"/>
    <w:rsid w:val="006473C5"/>
    <w:pPr>
      <w:spacing w:before="480" w:after="240"/>
    </w:pPr>
    <w:rPr>
      <w:snapToGrid w:val="0"/>
      <w:lang w:eastAsia="en-US"/>
    </w:rPr>
  </w:style>
  <w:style w:type="paragraph" w:customStyle="1" w:styleId="CoverNormal">
    <w:name w:val="CoverNormal"/>
    <w:basedOn w:val="Normal"/>
    <w:rsid w:val="006473C5"/>
    <w:pPr>
      <w:ind w:left="1418"/>
    </w:pPr>
    <w:rPr>
      <w:snapToGrid w:val="0"/>
      <w:lang w:eastAsia="en-US"/>
    </w:rPr>
  </w:style>
  <w:style w:type="paragraph" w:customStyle="1" w:styleId="TOCRight">
    <w:name w:val="TOC Right"/>
    <w:basedOn w:val="Normal"/>
    <w:rsid w:val="006473C5"/>
    <w:pPr>
      <w:spacing w:after="240"/>
      <w:jc w:val="right"/>
    </w:pPr>
    <w:rPr>
      <w:snapToGrid w:val="0"/>
      <w:lang w:eastAsia="en-US"/>
    </w:rPr>
  </w:style>
  <w:style w:type="paragraph" w:customStyle="1" w:styleId="CoverDateRefPart">
    <w:name w:val="CoverDateRefPart"/>
    <w:basedOn w:val="Normal"/>
    <w:rsid w:val="006473C5"/>
    <w:pPr>
      <w:spacing w:after="1200"/>
    </w:pPr>
    <w:rPr>
      <w:snapToGrid w:val="0"/>
      <w:lang w:eastAsia="en-US"/>
    </w:rPr>
  </w:style>
  <w:style w:type="paragraph" w:customStyle="1" w:styleId="EPFooter2">
    <w:name w:val="EPFooter2"/>
    <w:basedOn w:val="Normal"/>
    <w:next w:val="Normal"/>
    <w:rsid w:val="006473C5"/>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6473C5"/>
    <w:rPr>
      <w:b/>
      <w:snapToGrid w:val="0"/>
      <w:lang w:eastAsia="en-US"/>
    </w:rPr>
  </w:style>
  <w:style w:type="paragraph" w:customStyle="1" w:styleId="CoverReference">
    <w:name w:val="CoverReference"/>
    <w:basedOn w:val="Normal"/>
    <w:rsid w:val="006473C5"/>
    <w:pPr>
      <w:spacing w:before="1080"/>
      <w:jc w:val="right"/>
    </w:pPr>
    <w:rPr>
      <w:rFonts w:ascii="Arial" w:hAnsi="Arial" w:cs="Arial"/>
      <w:b/>
      <w:snapToGrid w:val="0"/>
      <w:lang w:eastAsia="en-US"/>
    </w:rPr>
  </w:style>
  <w:style w:type="paragraph" w:customStyle="1" w:styleId="CoverNormal24a">
    <w:name w:val="CoverNormal24a"/>
    <w:basedOn w:val="Normal"/>
    <w:rsid w:val="006473C5"/>
    <w:pPr>
      <w:spacing w:after="480"/>
      <w:ind w:left="1417"/>
    </w:pPr>
    <w:rPr>
      <w:snapToGrid w:val="0"/>
      <w:lang w:eastAsia="en-US"/>
    </w:rPr>
  </w:style>
  <w:style w:type="paragraph" w:customStyle="1" w:styleId="TOCPage">
    <w:name w:val="TOC Page"/>
    <w:basedOn w:val="Normal"/>
    <w:next w:val="TOC1"/>
    <w:rsid w:val="006473C5"/>
    <w:pPr>
      <w:keepNext/>
      <w:spacing w:after="240"/>
      <w:jc w:val="right"/>
    </w:pPr>
    <w:rPr>
      <w:rFonts w:ascii="Arial" w:hAnsi="Arial"/>
      <w:b/>
      <w:snapToGrid w:val="0"/>
      <w:lang w:eastAsia="en-US"/>
    </w:rPr>
  </w:style>
  <w:style w:type="paragraph" w:customStyle="1" w:styleId="CoverDocType24a">
    <w:name w:val="CoverDocType24a"/>
    <w:basedOn w:val="Normal"/>
    <w:rsid w:val="006473C5"/>
    <w:pPr>
      <w:spacing w:after="480"/>
      <w:ind w:left="1418"/>
    </w:pPr>
    <w:rPr>
      <w:rFonts w:ascii="Arial" w:hAnsi="Arial"/>
      <w:b/>
      <w:snapToGrid w:val="0"/>
      <w:sz w:val="48"/>
      <w:lang w:eastAsia="en-US"/>
    </w:rPr>
  </w:style>
  <w:style w:type="paragraph" w:customStyle="1" w:styleId="NormalHanging12a">
    <w:name w:val="NormalHanging12a"/>
    <w:basedOn w:val="Normal"/>
    <w:rsid w:val="006473C5"/>
    <w:pPr>
      <w:widowControl/>
      <w:spacing w:after="240"/>
      <w:ind w:left="567" w:hanging="567"/>
    </w:pPr>
    <w:rPr>
      <w:snapToGrid w:val="0"/>
      <w:lang w:eastAsia="en-US"/>
    </w:rPr>
  </w:style>
  <w:style w:type="paragraph" w:styleId="TOC4">
    <w:name w:val="toc 4"/>
    <w:basedOn w:val="Normal"/>
    <w:next w:val="Normal"/>
    <w:autoRedefine/>
    <w:rsid w:val="006473C5"/>
    <w:pPr>
      <w:ind w:left="720"/>
    </w:pPr>
    <w:rPr>
      <w:snapToGrid w:val="0"/>
      <w:lang w:eastAsia="en-US"/>
    </w:rPr>
  </w:style>
  <w:style w:type="paragraph" w:customStyle="1" w:styleId="PageHeading">
    <w:name w:val="PageHeading"/>
    <w:basedOn w:val="Normal"/>
    <w:rsid w:val="006473C5"/>
    <w:pPr>
      <w:keepNext/>
      <w:spacing w:after="480"/>
      <w:jc w:val="center"/>
    </w:pPr>
    <w:rPr>
      <w:rFonts w:ascii="Arial" w:hAnsi="Arial" w:cs="Arial"/>
      <w:b/>
      <w:snapToGrid w:val="0"/>
      <w:lang w:eastAsia="en-US"/>
    </w:rPr>
  </w:style>
  <w:style w:type="paragraph" w:styleId="TOC5">
    <w:name w:val="toc 5"/>
    <w:basedOn w:val="Normal"/>
    <w:next w:val="Normal"/>
    <w:autoRedefine/>
    <w:rsid w:val="006473C5"/>
    <w:pPr>
      <w:ind w:left="960"/>
    </w:pPr>
    <w:rPr>
      <w:snapToGrid w:val="0"/>
      <w:lang w:eastAsia="en-US"/>
    </w:rPr>
  </w:style>
  <w:style w:type="paragraph" w:styleId="TOC6">
    <w:name w:val="toc 6"/>
    <w:basedOn w:val="Normal"/>
    <w:next w:val="Normal"/>
    <w:autoRedefine/>
    <w:rsid w:val="006473C5"/>
    <w:pPr>
      <w:ind w:left="1200"/>
    </w:pPr>
    <w:rPr>
      <w:snapToGrid w:val="0"/>
      <w:lang w:eastAsia="en-US"/>
    </w:rPr>
  </w:style>
  <w:style w:type="paragraph" w:styleId="TOC7">
    <w:name w:val="toc 7"/>
    <w:basedOn w:val="Normal"/>
    <w:next w:val="Normal"/>
    <w:autoRedefine/>
    <w:rsid w:val="006473C5"/>
    <w:pPr>
      <w:ind w:left="1440"/>
    </w:pPr>
    <w:rPr>
      <w:snapToGrid w:val="0"/>
      <w:lang w:eastAsia="en-US"/>
    </w:rPr>
  </w:style>
  <w:style w:type="paragraph" w:styleId="TOC8">
    <w:name w:val="toc 8"/>
    <w:basedOn w:val="Normal"/>
    <w:next w:val="Normal"/>
    <w:autoRedefine/>
    <w:rsid w:val="006473C5"/>
    <w:pPr>
      <w:ind w:left="1680"/>
    </w:pPr>
    <w:rPr>
      <w:snapToGrid w:val="0"/>
      <w:lang w:eastAsia="en-US"/>
    </w:rPr>
  </w:style>
  <w:style w:type="paragraph" w:styleId="TOC9">
    <w:name w:val="toc 9"/>
    <w:basedOn w:val="Normal"/>
    <w:next w:val="Normal"/>
    <w:autoRedefine/>
    <w:rsid w:val="006473C5"/>
    <w:pPr>
      <w:ind w:left="1920"/>
    </w:pPr>
    <w:rPr>
      <w:snapToGrid w:val="0"/>
      <w:lang w:eastAsia="en-US"/>
    </w:rPr>
  </w:style>
  <w:style w:type="paragraph" w:customStyle="1" w:styleId="TOCSubHeading">
    <w:name w:val="TOC SubHeading"/>
    <w:basedOn w:val="Normal"/>
    <w:rsid w:val="006473C5"/>
    <w:pPr>
      <w:spacing w:before="480" w:after="240"/>
    </w:pPr>
    <w:rPr>
      <w:b/>
      <w:snapToGrid w:val="0"/>
      <w:lang w:eastAsia="en-US"/>
    </w:rPr>
  </w:style>
  <w:style w:type="paragraph" w:customStyle="1" w:styleId="TOCTabLeader">
    <w:name w:val="TOC TabLeader"/>
    <w:basedOn w:val="Normal"/>
    <w:rsid w:val="006473C5"/>
    <w:pPr>
      <w:tabs>
        <w:tab w:val="left" w:leader="dot" w:pos="5954"/>
      </w:tabs>
      <w:spacing w:after="240"/>
    </w:pPr>
    <w:rPr>
      <w:snapToGrid w:val="0"/>
      <w:lang w:eastAsia="en-US"/>
    </w:rPr>
  </w:style>
  <w:style w:type="paragraph" w:customStyle="1" w:styleId="CoverNormalHanging">
    <w:name w:val="CoverNormalHanging"/>
    <w:basedOn w:val="Normal"/>
    <w:rsid w:val="006473C5"/>
    <w:pPr>
      <w:ind w:left="3686" w:hanging="2268"/>
    </w:pPr>
    <w:rPr>
      <w:snapToGrid w:val="0"/>
      <w:lang w:eastAsia="en-US"/>
    </w:rPr>
  </w:style>
  <w:style w:type="paragraph" w:customStyle="1" w:styleId="EPBody">
    <w:name w:val="EPBody"/>
    <w:basedOn w:val="Normal"/>
    <w:rsid w:val="006473C5"/>
    <w:pPr>
      <w:jc w:val="center"/>
    </w:pPr>
    <w:rPr>
      <w:rFonts w:ascii="Arial" w:hAnsi="Arial" w:cs="Arial"/>
      <w:i/>
      <w:sz w:val="22"/>
      <w:szCs w:val="22"/>
    </w:rPr>
  </w:style>
  <w:style w:type="paragraph" w:customStyle="1" w:styleId="CoverRefPart">
    <w:name w:val="CoverRefPart"/>
    <w:basedOn w:val="Normal"/>
    <w:rsid w:val="006473C5"/>
    <w:pPr>
      <w:jc w:val="right"/>
    </w:pPr>
    <w:rPr>
      <w:rFonts w:ascii="Arial" w:hAnsi="Arial"/>
      <w:snapToGrid w:val="0"/>
      <w:lang w:eastAsia="en-US"/>
    </w:rPr>
  </w:style>
  <w:style w:type="paragraph" w:customStyle="1" w:styleId="Subheading">
    <w:name w:val="Subheading"/>
    <w:basedOn w:val="Normal"/>
    <w:rsid w:val="006473C5"/>
    <w:pPr>
      <w:spacing w:before="480" w:after="240"/>
    </w:pPr>
    <w:rPr>
      <w:b/>
      <w:bCs/>
      <w:i/>
      <w:iCs/>
      <w:snapToGrid w:val="0"/>
      <w:lang w:eastAsia="en-US"/>
    </w:rPr>
  </w:style>
  <w:style w:type="paragraph" w:customStyle="1" w:styleId="EPFooter">
    <w:name w:val="EPFooter"/>
    <w:basedOn w:val="Normal"/>
    <w:rsid w:val="006473C5"/>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473C5"/>
    <w:pPr>
      <w:tabs>
        <w:tab w:val="center" w:pos="4513"/>
        <w:tab w:val="right" w:pos="9026"/>
      </w:tabs>
    </w:pPr>
    <w:rPr>
      <w:snapToGrid w:val="0"/>
      <w:lang w:eastAsia="en-US"/>
    </w:rPr>
  </w:style>
  <w:style w:type="character" w:customStyle="1" w:styleId="HeaderChar">
    <w:name w:val="Header Char"/>
    <w:basedOn w:val="DefaultParagraphFont"/>
    <w:link w:val="Header"/>
    <w:rsid w:val="006473C5"/>
    <w:rPr>
      <w:snapToGrid w:val="0"/>
      <w:sz w:val="24"/>
      <w:lang w:val="ro-RO" w:eastAsia="en-US"/>
    </w:rPr>
  </w:style>
  <w:style w:type="paragraph" w:customStyle="1" w:styleId="AmColumnHeading">
    <w:name w:val="AmColumnHeading"/>
    <w:basedOn w:val="Normal"/>
    <w:rsid w:val="006473C5"/>
    <w:pPr>
      <w:spacing w:after="240"/>
      <w:jc w:val="center"/>
    </w:pPr>
    <w:rPr>
      <w:i/>
    </w:rPr>
  </w:style>
  <w:style w:type="paragraph" w:customStyle="1" w:styleId="AmCrossRef">
    <w:name w:val="AmCrossRef"/>
    <w:basedOn w:val="Normal"/>
    <w:rsid w:val="006473C5"/>
    <w:pPr>
      <w:spacing w:before="240" w:after="240"/>
      <w:jc w:val="center"/>
    </w:pPr>
    <w:rPr>
      <w:i/>
    </w:rPr>
  </w:style>
  <w:style w:type="paragraph" w:customStyle="1" w:styleId="AmJustText">
    <w:name w:val="AmJustText"/>
    <w:basedOn w:val="Normal"/>
    <w:rsid w:val="006473C5"/>
    <w:pPr>
      <w:spacing w:after="240"/>
    </w:pPr>
    <w:rPr>
      <w:i/>
    </w:rPr>
  </w:style>
  <w:style w:type="paragraph" w:customStyle="1" w:styleId="AmJustTitle">
    <w:name w:val="AmJustTitle"/>
    <w:basedOn w:val="Normal"/>
    <w:next w:val="AmJustText"/>
    <w:rsid w:val="006473C5"/>
    <w:pPr>
      <w:keepNext/>
      <w:spacing w:before="240" w:after="240"/>
      <w:jc w:val="center"/>
    </w:pPr>
    <w:rPr>
      <w:i/>
    </w:rPr>
  </w:style>
  <w:style w:type="paragraph" w:customStyle="1" w:styleId="AmNumberTabs">
    <w:name w:val="AmNumberTabs"/>
    <w:basedOn w:val="Normal"/>
    <w:rsid w:val="006473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6473C5"/>
    <w:pPr>
      <w:spacing w:before="240" w:after="240"/>
      <w:jc w:val="right"/>
    </w:pPr>
  </w:style>
  <w:style w:type="paragraph" w:customStyle="1" w:styleId="AnnexWPDate">
    <w:name w:val="AnnexWPDate"/>
    <w:basedOn w:val="Normal"/>
    <w:rsid w:val="006473C5"/>
    <w:pPr>
      <w:spacing w:before="240" w:after="480"/>
      <w:jc w:val="right"/>
    </w:pPr>
  </w:style>
  <w:style w:type="paragraph" w:customStyle="1" w:styleId="AnnexWPDocType">
    <w:name w:val="AnnexWPDocType"/>
    <w:basedOn w:val="Normal"/>
    <w:rsid w:val="006473C5"/>
    <w:pPr>
      <w:spacing w:after="240"/>
      <w:jc w:val="center"/>
    </w:pPr>
    <w:rPr>
      <w:b/>
    </w:rPr>
  </w:style>
  <w:style w:type="paragraph" w:customStyle="1" w:styleId="AnnexWPLogo">
    <w:name w:val="AnnexWPLogo"/>
    <w:basedOn w:val="Normal"/>
    <w:rsid w:val="006473C5"/>
    <w:pPr>
      <w:spacing w:before="120" w:after="120"/>
    </w:pPr>
  </w:style>
  <w:style w:type="paragraph" w:customStyle="1" w:styleId="AnnexWPSmall">
    <w:name w:val="AnnexWPSmall"/>
    <w:basedOn w:val="Normal"/>
    <w:rsid w:val="006473C5"/>
    <w:rPr>
      <w:smallCaps/>
      <w:sz w:val="20"/>
    </w:rPr>
  </w:style>
  <w:style w:type="paragraph" w:customStyle="1" w:styleId="AnnexWPTabs">
    <w:name w:val="AnnexWPTabs"/>
    <w:basedOn w:val="Normal"/>
    <w:rsid w:val="006473C5"/>
    <w:pPr>
      <w:tabs>
        <w:tab w:val="right" w:pos="3686"/>
        <w:tab w:val="left" w:pos="3827"/>
      </w:tabs>
    </w:pPr>
    <w:rPr>
      <w:b/>
    </w:rPr>
  </w:style>
  <w:style w:type="paragraph" w:customStyle="1" w:styleId="AnnexWPTitle">
    <w:name w:val="AnnexWPTitle"/>
    <w:basedOn w:val="Normal"/>
    <w:rsid w:val="006473C5"/>
    <w:pPr>
      <w:spacing w:before="480"/>
    </w:pPr>
    <w:rPr>
      <w:b/>
    </w:rPr>
  </w:style>
  <w:style w:type="paragraph" w:customStyle="1" w:styleId="AmHeadingConsam">
    <w:name w:val="AmHeadingConsam"/>
    <w:basedOn w:val="Normal"/>
    <w:next w:val="Normal"/>
    <w:rsid w:val="006473C5"/>
    <w:pPr>
      <w:spacing w:before="720" w:after="240"/>
      <w:jc w:val="center"/>
    </w:pPr>
  </w:style>
  <w:style w:type="paragraph" w:customStyle="1" w:styleId="CoverNormal12a">
    <w:name w:val="CoverNormal12a"/>
    <w:basedOn w:val="Normal"/>
    <w:rsid w:val="006473C5"/>
    <w:pPr>
      <w:spacing w:after="240"/>
      <w:ind w:left="1418"/>
    </w:pPr>
  </w:style>
  <w:style w:type="paragraph" w:customStyle="1" w:styleId="Confidential">
    <w:name w:val="Confidential"/>
    <w:basedOn w:val="Normal"/>
    <w:rsid w:val="006473C5"/>
    <w:pPr>
      <w:spacing w:before="120" w:after="120"/>
      <w:jc w:val="center"/>
    </w:pPr>
    <w:rPr>
      <w:rFonts w:ascii="Arial" w:hAnsi="Arial"/>
      <w:caps/>
    </w:rPr>
  </w:style>
  <w:style w:type="paragraph" w:customStyle="1" w:styleId="CoverReferenceIMM">
    <w:name w:val="CoverReferenceIMM"/>
    <w:basedOn w:val="Normal"/>
    <w:rsid w:val="006473C5"/>
    <w:pPr>
      <w:spacing w:before="360"/>
      <w:jc w:val="right"/>
    </w:pPr>
    <w:rPr>
      <w:rFonts w:ascii="Arial" w:hAnsi="Arial"/>
      <w:b/>
    </w:rPr>
  </w:style>
  <w:style w:type="paragraph" w:customStyle="1" w:styleId="CoverDate">
    <w:name w:val="CoverDate"/>
    <w:basedOn w:val="Normal"/>
    <w:rsid w:val="006473C5"/>
    <w:pPr>
      <w:spacing w:before="240" w:after="1200"/>
    </w:pPr>
  </w:style>
  <w:style w:type="paragraph" w:customStyle="1" w:styleId="CoverDocType">
    <w:name w:val="CoverDocType"/>
    <w:basedOn w:val="Normal"/>
    <w:rsid w:val="006473C5"/>
    <w:pPr>
      <w:ind w:left="1418"/>
    </w:pPr>
    <w:rPr>
      <w:rFonts w:ascii="Arial" w:hAnsi="Arial"/>
      <w:b/>
      <w:sz w:val="48"/>
    </w:rPr>
  </w:style>
  <w:style w:type="paragraph" w:customStyle="1" w:styleId="NormalBold12a">
    <w:name w:val="NormalBold12a"/>
    <w:basedOn w:val="Normal"/>
    <w:rsid w:val="006473C5"/>
    <w:pPr>
      <w:spacing w:after="240"/>
    </w:pPr>
    <w:rPr>
      <w:b/>
    </w:rPr>
  </w:style>
  <w:style w:type="paragraph" w:customStyle="1" w:styleId="NormalCenter12a">
    <w:name w:val="NormalCenter12a"/>
    <w:basedOn w:val="Normal"/>
    <w:rsid w:val="006473C5"/>
    <w:pPr>
      <w:spacing w:after="240"/>
      <w:jc w:val="center"/>
    </w:pPr>
  </w:style>
  <w:style w:type="paragraph" w:customStyle="1" w:styleId="Normal6a">
    <w:name w:val="Normal6a"/>
    <w:basedOn w:val="Normal"/>
    <w:rsid w:val="006473C5"/>
    <w:pPr>
      <w:spacing w:after="120"/>
    </w:pPr>
  </w:style>
  <w:style w:type="paragraph" w:customStyle="1" w:styleId="NormalBold12b">
    <w:name w:val="NormalBold12b"/>
    <w:basedOn w:val="Normal"/>
    <w:rsid w:val="006473C5"/>
    <w:pPr>
      <w:spacing w:before="240"/>
    </w:pPr>
    <w:rPr>
      <w:b/>
    </w:rPr>
  </w:style>
  <w:style w:type="paragraph" w:customStyle="1" w:styleId="Arial14CentreBold">
    <w:name w:val="Arial14CentreBold"/>
    <w:basedOn w:val="Normal"/>
    <w:qFormat/>
    <w:rsid w:val="006473C5"/>
    <w:pPr>
      <w:jc w:val="center"/>
    </w:pPr>
    <w:rPr>
      <w:rFonts w:ascii="Arial" w:hAnsi="Arial" w:cs="Arial"/>
      <w:b/>
      <w:sz w:val="28"/>
      <w:szCs w:val="28"/>
    </w:rPr>
  </w:style>
  <w:style w:type="character" w:customStyle="1" w:styleId="Bold">
    <w:name w:val="Bold"/>
    <w:uiPriority w:val="1"/>
    <w:rsid w:val="006473C5"/>
    <w:rPr>
      <w:b/>
    </w:rPr>
  </w:style>
  <w:style w:type="character" w:customStyle="1" w:styleId="BoldItalic">
    <w:name w:val="BoldItalic"/>
    <w:uiPriority w:val="1"/>
    <w:rsid w:val="006473C5"/>
    <w:rPr>
      <w:b/>
      <w:i/>
      <w:u w:val="none"/>
    </w:rPr>
  </w:style>
  <w:style w:type="character" w:customStyle="1" w:styleId="BoldItalicUnderline">
    <w:name w:val="BoldItalicUnderline"/>
    <w:uiPriority w:val="1"/>
    <w:rsid w:val="006473C5"/>
    <w:rPr>
      <w:b/>
      <w:i/>
      <w:u w:val="single"/>
    </w:rPr>
  </w:style>
  <w:style w:type="character" w:customStyle="1" w:styleId="BoldUnderline">
    <w:name w:val="BoldUnderline"/>
    <w:uiPriority w:val="1"/>
    <w:rsid w:val="006473C5"/>
    <w:rPr>
      <w:b/>
      <w:u w:val="single"/>
    </w:rPr>
  </w:style>
  <w:style w:type="paragraph" w:customStyle="1" w:styleId="CoverNormalLeft">
    <w:name w:val="CoverNormalLeft"/>
    <w:basedOn w:val="CoverNormal"/>
    <w:qFormat/>
    <w:rsid w:val="006473C5"/>
    <w:pPr>
      <w:ind w:left="0"/>
    </w:pPr>
    <w:rPr>
      <w:snapToGrid/>
      <w:lang w:eastAsia="en-GB"/>
    </w:rPr>
  </w:style>
  <w:style w:type="paragraph" w:customStyle="1" w:styleId="EPFooter2Landscape">
    <w:name w:val="EPFooter2Landscape"/>
    <w:qFormat/>
    <w:rsid w:val="006473C5"/>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6473C5"/>
    <w:rPr>
      <w:rFonts w:ascii="Arial" w:hAnsi="Arial"/>
      <w:b/>
      <w:i/>
      <w:color w:val="C0C0C0"/>
      <w:sz w:val="22"/>
    </w:rPr>
  </w:style>
  <w:style w:type="paragraph" w:customStyle="1" w:styleId="EPFooterLandscape">
    <w:name w:val="EPFooterLandscape"/>
    <w:qFormat/>
    <w:rsid w:val="006473C5"/>
    <w:pPr>
      <w:tabs>
        <w:tab w:val="center" w:pos="6804"/>
        <w:tab w:val="right" w:pos="15026"/>
      </w:tabs>
    </w:pPr>
    <w:rPr>
      <w:sz w:val="22"/>
      <w:lang w:val="ro-RO"/>
    </w:rPr>
  </w:style>
  <w:style w:type="character" w:customStyle="1" w:styleId="Italic">
    <w:name w:val="Italic"/>
    <w:uiPriority w:val="1"/>
    <w:rsid w:val="006473C5"/>
    <w:rPr>
      <w:i/>
    </w:rPr>
  </w:style>
  <w:style w:type="character" w:customStyle="1" w:styleId="ItalicUnderline">
    <w:name w:val="ItalicUnderline"/>
    <w:uiPriority w:val="1"/>
    <w:rsid w:val="006473C5"/>
    <w:rPr>
      <w:i/>
      <w:u w:val="single"/>
    </w:rPr>
  </w:style>
  <w:style w:type="paragraph" w:customStyle="1" w:styleId="LegendSign">
    <w:name w:val="LegendSign"/>
    <w:basedOn w:val="Normal"/>
    <w:qFormat/>
    <w:rsid w:val="006473C5"/>
    <w:pPr>
      <w:tabs>
        <w:tab w:val="right" w:pos="454"/>
        <w:tab w:val="left" w:pos="737"/>
      </w:tabs>
      <w:ind w:left="737" w:hanging="737"/>
    </w:pPr>
    <w:rPr>
      <w:sz w:val="18"/>
    </w:rPr>
  </w:style>
  <w:style w:type="paragraph" w:customStyle="1" w:styleId="LegendStandard">
    <w:name w:val="LegendStandard"/>
    <w:basedOn w:val="LegendSign"/>
    <w:qFormat/>
    <w:rsid w:val="006473C5"/>
    <w:pPr>
      <w:ind w:left="0" w:firstLine="0"/>
    </w:pPr>
  </w:style>
  <w:style w:type="paragraph" w:customStyle="1" w:styleId="LegendTitle">
    <w:name w:val="LegendTitle"/>
    <w:basedOn w:val="Normal"/>
    <w:qFormat/>
    <w:rsid w:val="006473C5"/>
    <w:pPr>
      <w:spacing w:before="240" w:after="240"/>
    </w:pPr>
    <w:rPr>
      <w:b/>
      <w:i/>
    </w:rPr>
  </w:style>
  <w:style w:type="character" w:customStyle="1" w:styleId="HideTermComment">
    <w:name w:val="HideTermComment"/>
    <w:uiPriority w:val="1"/>
    <w:qFormat/>
    <w:rsid w:val="006473C5"/>
    <w:rPr>
      <w:rFonts w:ascii="Arial" w:hAnsi="Arial"/>
      <w:vanish/>
      <w:color w:val="0066CC"/>
      <w:sz w:val="18"/>
    </w:rPr>
  </w:style>
  <w:style w:type="character" w:customStyle="1" w:styleId="HideTerminTermComment">
    <w:name w:val="HideTerminTermComment"/>
    <w:basedOn w:val="HideTermComment"/>
    <w:uiPriority w:val="1"/>
    <w:qFormat/>
    <w:rsid w:val="006473C5"/>
    <w:rPr>
      <w:rFonts w:ascii="Arial" w:hAnsi="Arial"/>
      <w:vanish/>
      <w:color w:val="538135" w:themeColor="accent6" w:themeShade="BF"/>
      <w:sz w:val="18"/>
    </w:rPr>
  </w:style>
  <w:style w:type="paragraph" w:customStyle="1" w:styleId="Normal12a">
    <w:name w:val="Normal12a"/>
    <w:basedOn w:val="Normal"/>
    <w:rsid w:val="006473C5"/>
    <w:pPr>
      <w:spacing w:after="240"/>
    </w:pPr>
  </w:style>
  <w:style w:type="paragraph" w:customStyle="1" w:styleId="Normal12b">
    <w:name w:val="Normal12b"/>
    <w:basedOn w:val="Normal"/>
    <w:qFormat/>
    <w:rsid w:val="006473C5"/>
    <w:pPr>
      <w:spacing w:before="240"/>
    </w:pPr>
  </w:style>
  <w:style w:type="paragraph" w:customStyle="1" w:styleId="NormalBoldUnderline24b">
    <w:name w:val="NormalBoldUnderline24b"/>
    <w:basedOn w:val="Normal"/>
    <w:qFormat/>
    <w:rsid w:val="006473C5"/>
    <w:pPr>
      <w:spacing w:before="480"/>
    </w:pPr>
    <w:rPr>
      <w:b/>
      <w:u w:val="single"/>
    </w:rPr>
  </w:style>
  <w:style w:type="paragraph" w:customStyle="1" w:styleId="NormalBoldUnderline24b12a">
    <w:name w:val="NormalBoldUnderline24b12a"/>
    <w:basedOn w:val="NormalBoldUnderline24b"/>
    <w:qFormat/>
    <w:rsid w:val="006473C5"/>
    <w:pPr>
      <w:spacing w:after="240"/>
    </w:pPr>
  </w:style>
  <w:style w:type="paragraph" w:customStyle="1" w:styleId="Normal12aBullet1">
    <w:name w:val="Normal12aBullet1"/>
    <w:basedOn w:val="Normal"/>
    <w:qFormat/>
    <w:rsid w:val="006473C5"/>
    <w:pPr>
      <w:widowControl/>
      <w:numPr>
        <w:numId w:val="45"/>
      </w:numPr>
    </w:pPr>
  </w:style>
  <w:style w:type="paragraph" w:customStyle="1" w:styleId="Normal12aBullet2">
    <w:name w:val="Normal12aBullet2"/>
    <w:basedOn w:val="Normal"/>
    <w:qFormat/>
    <w:rsid w:val="006473C5"/>
    <w:pPr>
      <w:numPr>
        <w:numId w:val="46"/>
      </w:numPr>
    </w:pPr>
  </w:style>
  <w:style w:type="paragraph" w:customStyle="1" w:styleId="NormalHanging12a1">
    <w:name w:val="NormalHanging12a1"/>
    <w:basedOn w:val="Normal"/>
    <w:qFormat/>
    <w:rsid w:val="006473C5"/>
    <w:pPr>
      <w:spacing w:after="240"/>
      <w:ind w:left="992" w:hanging="425"/>
    </w:pPr>
  </w:style>
  <w:style w:type="paragraph" w:customStyle="1" w:styleId="NormalHanging12a2">
    <w:name w:val="NormalHanging12a2"/>
    <w:basedOn w:val="NormalHanging12a1"/>
    <w:qFormat/>
    <w:rsid w:val="006473C5"/>
    <w:pPr>
      <w:ind w:left="1417"/>
    </w:pPr>
  </w:style>
  <w:style w:type="paragraph" w:customStyle="1" w:styleId="NormalHanging12a3">
    <w:name w:val="NormalHanging12a3"/>
    <w:basedOn w:val="NormalHanging12a2"/>
    <w:qFormat/>
    <w:rsid w:val="006473C5"/>
    <w:pPr>
      <w:ind w:left="1843"/>
    </w:pPr>
  </w:style>
  <w:style w:type="paragraph" w:customStyle="1" w:styleId="NormalHanging12a4">
    <w:name w:val="NormalHanging12a4"/>
    <w:basedOn w:val="NormalHanging12a3"/>
    <w:qFormat/>
    <w:rsid w:val="006473C5"/>
    <w:pPr>
      <w:ind w:left="2268"/>
    </w:pPr>
  </w:style>
  <w:style w:type="paragraph" w:customStyle="1" w:styleId="NormalHanging12a5">
    <w:name w:val="NormalHanging12a5"/>
    <w:basedOn w:val="NormalHanging12a4"/>
    <w:qFormat/>
    <w:rsid w:val="006473C5"/>
    <w:pPr>
      <w:ind w:left="2693"/>
    </w:pPr>
  </w:style>
  <w:style w:type="paragraph" w:customStyle="1" w:styleId="NormalHanging12a6">
    <w:name w:val="NormalHanging12a6"/>
    <w:basedOn w:val="NormalHanging12a5"/>
    <w:qFormat/>
    <w:rsid w:val="006473C5"/>
    <w:pPr>
      <w:ind w:left="3118"/>
    </w:pPr>
  </w:style>
  <w:style w:type="paragraph" w:customStyle="1" w:styleId="NormalHanging12a7">
    <w:name w:val="NormalHanging12a7"/>
    <w:basedOn w:val="NormalHanging12a6"/>
    <w:qFormat/>
    <w:rsid w:val="006473C5"/>
    <w:pPr>
      <w:ind w:left="3544"/>
    </w:pPr>
  </w:style>
  <w:style w:type="paragraph" w:customStyle="1" w:styleId="NormalHangingCenter">
    <w:name w:val="NormalHangingCenter"/>
    <w:basedOn w:val="Normal"/>
    <w:qFormat/>
    <w:rsid w:val="006473C5"/>
    <w:pPr>
      <w:spacing w:after="240"/>
      <w:ind w:left="567" w:hanging="567"/>
      <w:jc w:val="center"/>
    </w:pPr>
  </w:style>
  <w:style w:type="paragraph" w:customStyle="1" w:styleId="NormalHangingJustified">
    <w:name w:val="NormalHangingJustified"/>
    <w:basedOn w:val="Normal"/>
    <w:qFormat/>
    <w:rsid w:val="006473C5"/>
    <w:pPr>
      <w:spacing w:after="240"/>
      <w:ind w:left="714" w:hanging="357"/>
      <w:jc w:val="both"/>
    </w:pPr>
  </w:style>
  <w:style w:type="paragraph" w:customStyle="1" w:styleId="NormalUnderline24b12a">
    <w:name w:val="NormalUnderline24b12a"/>
    <w:basedOn w:val="EPComma"/>
    <w:qFormat/>
    <w:rsid w:val="006473C5"/>
    <w:rPr>
      <w:snapToGrid/>
      <w:u w:val="single"/>
      <w:lang w:eastAsia="en-GB"/>
    </w:rPr>
  </w:style>
  <w:style w:type="paragraph" w:customStyle="1" w:styleId="Normal2">
    <w:name w:val="Normal2"/>
    <w:next w:val="Normal"/>
    <w:qFormat/>
    <w:rsid w:val="006473C5"/>
    <w:pPr>
      <w:spacing w:line="120" w:lineRule="auto"/>
    </w:pPr>
    <w:rPr>
      <w:color w:val="000000"/>
      <w:sz w:val="4"/>
      <w:szCs w:val="24"/>
      <w:lang w:val="ro-RO"/>
    </w:rPr>
  </w:style>
  <w:style w:type="character" w:customStyle="1" w:styleId="NormalBI">
    <w:name w:val="NormalBI"/>
    <w:basedOn w:val="DefaultParagraphFont"/>
    <w:uiPriority w:val="1"/>
    <w:qFormat/>
    <w:rsid w:val="006473C5"/>
    <w:rPr>
      <w:rFonts w:ascii="Times New Roman" w:hAnsi="Times New Roman"/>
      <w:b/>
      <w:i/>
      <w:sz w:val="24"/>
    </w:rPr>
  </w:style>
  <w:style w:type="paragraph" w:customStyle="1" w:styleId="NormalBoldItalic6a">
    <w:name w:val="NormalBoldItalic6a"/>
    <w:basedOn w:val="Normal6a"/>
    <w:qFormat/>
    <w:rsid w:val="006473C5"/>
    <w:rPr>
      <w:b/>
      <w:i/>
    </w:rPr>
  </w:style>
  <w:style w:type="paragraph" w:customStyle="1" w:styleId="NormalBoldItalicCenter6a">
    <w:name w:val="NormalBoldItalicCenter6a"/>
    <w:basedOn w:val="Normal6a"/>
    <w:qFormat/>
    <w:rsid w:val="006473C5"/>
    <w:pPr>
      <w:jc w:val="center"/>
    </w:pPr>
    <w:rPr>
      <w:b/>
      <w:i/>
    </w:rPr>
  </w:style>
  <w:style w:type="paragraph" w:customStyle="1" w:styleId="NormalItalic6a">
    <w:name w:val="NormalItalic6a"/>
    <w:basedOn w:val="Normal6a"/>
    <w:qFormat/>
    <w:rsid w:val="006473C5"/>
    <w:rPr>
      <w:i/>
    </w:rPr>
  </w:style>
  <w:style w:type="paragraph" w:customStyle="1" w:styleId="PageHeadingNotTOC">
    <w:name w:val="PageHeadingNotTOC"/>
    <w:basedOn w:val="PageHeading"/>
    <w:rsid w:val="006473C5"/>
    <w:rPr>
      <w:rFonts w:cs="Times New Roman"/>
      <w:snapToGrid/>
      <w:lang w:eastAsia="en-GB"/>
    </w:rPr>
  </w:style>
  <w:style w:type="character" w:customStyle="1" w:styleId="Sub">
    <w:name w:val="Sub"/>
    <w:uiPriority w:val="1"/>
    <w:qFormat/>
    <w:rsid w:val="006473C5"/>
    <w:rPr>
      <w:vertAlign w:val="subscript"/>
    </w:rPr>
  </w:style>
  <w:style w:type="character" w:customStyle="1" w:styleId="SubBold">
    <w:name w:val="SubBold"/>
    <w:uiPriority w:val="1"/>
    <w:qFormat/>
    <w:rsid w:val="006473C5"/>
    <w:rPr>
      <w:b/>
      <w:vertAlign w:val="subscript"/>
    </w:rPr>
  </w:style>
  <w:style w:type="character" w:customStyle="1" w:styleId="SubBoldItalic">
    <w:name w:val="SubBoldItalic"/>
    <w:uiPriority w:val="1"/>
    <w:rsid w:val="006473C5"/>
    <w:rPr>
      <w:b/>
      <w:i/>
      <w:vertAlign w:val="subscript"/>
    </w:rPr>
  </w:style>
  <w:style w:type="character" w:customStyle="1" w:styleId="SubItalic">
    <w:name w:val="SubItalic"/>
    <w:uiPriority w:val="1"/>
    <w:qFormat/>
    <w:rsid w:val="006473C5"/>
    <w:rPr>
      <w:b/>
      <w:i/>
      <w:vertAlign w:val="subscript"/>
    </w:rPr>
  </w:style>
  <w:style w:type="character" w:customStyle="1" w:styleId="Sup">
    <w:name w:val="Sup"/>
    <w:uiPriority w:val="1"/>
    <w:rsid w:val="006473C5"/>
    <w:rPr>
      <w:vertAlign w:val="superscript"/>
    </w:rPr>
  </w:style>
  <w:style w:type="character" w:customStyle="1" w:styleId="SupBoldItalic">
    <w:name w:val="SupBoldItalic"/>
    <w:uiPriority w:val="1"/>
    <w:qFormat/>
    <w:rsid w:val="006473C5"/>
    <w:rPr>
      <w:b/>
      <w:i/>
      <w:vertAlign w:val="superscript"/>
    </w:rPr>
  </w:style>
  <w:style w:type="character" w:customStyle="1" w:styleId="Underline">
    <w:name w:val="Underline"/>
    <w:uiPriority w:val="1"/>
    <w:rsid w:val="006473C5"/>
    <w:rPr>
      <w:u w:val="single"/>
    </w:rPr>
  </w:style>
  <w:style w:type="paragraph" w:customStyle="1" w:styleId="NormalBoldCenter">
    <w:name w:val="NormalBoldCenter"/>
    <w:basedOn w:val="Normal"/>
    <w:rsid w:val="006473C5"/>
    <w:pPr>
      <w:jc w:val="center"/>
    </w:pPr>
    <w:rPr>
      <w:b/>
    </w:rPr>
  </w:style>
  <w:style w:type="paragraph" w:customStyle="1" w:styleId="ProcedureTable">
    <w:name w:val="ProcedureTable"/>
    <w:basedOn w:val="Normal"/>
    <w:rsid w:val="006473C5"/>
    <w:rPr>
      <w:sz w:val="20"/>
    </w:rPr>
  </w:style>
  <w:style w:type="paragraph" w:customStyle="1" w:styleId="ProcedureTableBold">
    <w:name w:val="ProcedureTableBold"/>
    <w:basedOn w:val="Normal"/>
    <w:rsid w:val="006473C5"/>
    <w:rPr>
      <w:b/>
      <w:sz w:val="20"/>
    </w:rPr>
  </w:style>
  <w:style w:type="paragraph" w:customStyle="1" w:styleId="NormalCenter">
    <w:name w:val="NormalCenter"/>
    <w:basedOn w:val="Normal"/>
    <w:rsid w:val="006473C5"/>
    <w:pPr>
      <w:jc w:val="center"/>
    </w:pPr>
  </w:style>
  <w:style w:type="character" w:customStyle="1" w:styleId="SubBoldItalicUnderline">
    <w:name w:val="SubBoldItalicUnderline"/>
    <w:uiPriority w:val="1"/>
    <w:rsid w:val="006473C5"/>
    <w:rPr>
      <w:b/>
      <w:i/>
      <w:u w:val="single"/>
      <w:vertAlign w:val="subscript"/>
    </w:rPr>
  </w:style>
  <w:style w:type="character" w:customStyle="1" w:styleId="SubBoldUnderline">
    <w:name w:val="SubBoldUnderline"/>
    <w:uiPriority w:val="1"/>
    <w:rsid w:val="006473C5"/>
    <w:rPr>
      <w:b/>
      <w:u w:val="single"/>
      <w:vertAlign w:val="subscript"/>
    </w:rPr>
  </w:style>
  <w:style w:type="character" w:customStyle="1" w:styleId="SubItalicUnderline">
    <w:name w:val="SubItalicUnderline"/>
    <w:uiPriority w:val="1"/>
    <w:rsid w:val="006473C5"/>
    <w:rPr>
      <w:i/>
      <w:u w:val="single"/>
      <w:vertAlign w:val="subscript"/>
    </w:rPr>
  </w:style>
  <w:style w:type="character" w:customStyle="1" w:styleId="SubUnderline">
    <w:name w:val="SubUnderline"/>
    <w:uiPriority w:val="1"/>
    <w:rsid w:val="006473C5"/>
    <w:rPr>
      <w:u w:val="single"/>
      <w:vertAlign w:val="subscript"/>
    </w:rPr>
  </w:style>
  <w:style w:type="character" w:customStyle="1" w:styleId="SupBold">
    <w:name w:val="SupBold"/>
    <w:uiPriority w:val="1"/>
    <w:rsid w:val="006473C5"/>
    <w:rPr>
      <w:b/>
      <w:vertAlign w:val="superscript"/>
    </w:rPr>
  </w:style>
  <w:style w:type="character" w:customStyle="1" w:styleId="SupBoldItalicUnderline">
    <w:name w:val="SupBoldItalicUnderline"/>
    <w:uiPriority w:val="1"/>
    <w:rsid w:val="006473C5"/>
    <w:rPr>
      <w:b/>
      <w:i/>
      <w:u w:val="single"/>
      <w:vertAlign w:val="superscript"/>
    </w:rPr>
  </w:style>
  <w:style w:type="character" w:customStyle="1" w:styleId="SupBoldUnderline">
    <w:name w:val="SupBoldUnderline"/>
    <w:uiPriority w:val="1"/>
    <w:rsid w:val="006473C5"/>
    <w:rPr>
      <w:b/>
      <w:u w:val="single"/>
      <w:vertAlign w:val="superscript"/>
    </w:rPr>
  </w:style>
  <w:style w:type="character" w:customStyle="1" w:styleId="SupItalic">
    <w:name w:val="SupItalic"/>
    <w:uiPriority w:val="1"/>
    <w:rsid w:val="006473C5"/>
    <w:rPr>
      <w:i/>
      <w:vertAlign w:val="superscript"/>
    </w:rPr>
  </w:style>
  <w:style w:type="character" w:customStyle="1" w:styleId="SupItalicUnderline">
    <w:name w:val="SupItalicUnderline"/>
    <w:uiPriority w:val="1"/>
    <w:rsid w:val="006473C5"/>
    <w:rPr>
      <w:i/>
      <w:u w:val="single"/>
      <w:vertAlign w:val="superscript"/>
    </w:rPr>
  </w:style>
  <w:style w:type="character" w:customStyle="1" w:styleId="SupUnderline">
    <w:name w:val="SupUnderline"/>
    <w:uiPriority w:val="1"/>
    <w:rsid w:val="006473C5"/>
    <w:rPr>
      <w:u w:val="single"/>
      <w:vertAlign w:val="superscript"/>
    </w:rPr>
  </w:style>
  <w:style w:type="paragraph" w:customStyle="1" w:styleId="Normal24a">
    <w:name w:val="Normal24a"/>
    <w:basedOn w:val="Normal"/>
    <w:rsid w:val="006473C5"/>
    <w:pPr>
      <w:spacing w:after="480"/>
    </w:pPr>
  </w:style>
  <w:style w:type="paragraph" w:customStyle="1" w:styleId="Normal12a24b">
    <w:name w:val="Normal12a24b"/>
    <w:basedOn w:val="Normal"/>
    <w:rsid w:val="006473C5"/>
    <w:pPr>
      <w:spacing w:before="360" w:after="240"/>
    </w:pPr>
    <w:rPr>
      <w:snapToGrid w:val="0"/>
      <w:lang w:eastAsia="en-US"/>
    </w:rPr>
  </w:style>
  <w:style w:type="paragraph" w:customStyle="1" w:styleId="NormalTab">
    <w:name w:val="NormalTab"/>
    <w:basedOn w:val="Normal"/>
    <w:rsid w:val="006473C5"/>
    <w:pPr>
      <w:tabs>
        <w:tab w:val="center" w:pos="284"/>
        <w:tab w:val="left" w:pos="425"/>
      </w:tabs>
    </w:pPr>
  </w:style>
  <w:style w:type="character" w:styleId="Hyperlink">
    <w:name w:val="Hyperlink"/>
    <w:basedOn w:val="DefaultParagraphFont"/>
    <w:rsid w:val="006473C5"/>
    <w:rPr>
      <w:color w:val="0000FF"/>
      <w:u w:val="single"/>
    </w:rPr>
  </w:style>
  <w:style w:type="paragraph" w:styleId="Footer">
    <w:name w:val="footer"/>
    <w:basedOn w:val="Normal"/>
    <w:link w:val="FooterChar"/>
    <w:unhideWhenUsed/>
    <w:rsid w:val="006473C5"/>
    <w:pPr>
      <w:tabs>
        <w:tab w:val="center" w:pos="4513"/>
        <w:tab w:val="right" w:pos="9026"/>
      </w:tabs>
    </w:pPr>
    <w:rPr>
      <w:snapToGrid w:val="0"/>
      <w:lang w:eastAsia="en-US"/>
    </w:rPr>
  </w:style>
  <w:style w:type="character" w:customStyle="1" w:styleId="FooterChar">
    <w:name w:val="Footer Char"/>
    <w:basedOn w:val="DefaultParagraphFont"/>
    <w:link w:val="Footer"/>
    <w:rsid w:val="006473C5"/>
    <w:rPr>
      <w:snapToGrid w:val="0"/>
      <w:sz w:val="24"/>
      <w:lang w:val="ro-RO" w:eastAsia="en-US"/>
    </w:rPr>
  </w:style>
  <w:style w:type="paragraph" w:styleId="BalloonText">
    <w:name w:val="Balloon Text"/>
    <w:basedOn w:val="Normal"/>
    <w:link w:val="BalloonTextChar"/>
    <w:unhideWhenUsed/>
    <w:rsid w:val="006473C5"/>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6473C5"/>
    <w:rPr>
      <w:rFonts w:ascii="Segoe UI" w:hAnsi="Segoe UI" w:cs="Segoe UI"/>
      <w:snapToGrid w:val="0"/>
      <w:sz w:val="18"/>
      <w:szCs w:val="18"/>
      <w:lang w:val="ro-RO" w:eastAsia="en-US"/>
    </w:rPr>
  </w:style>
  <w:style w:type="paragraph" w:customStyle="1" w:styleId="Footprint12b">
    <w:name w:val="Footprint12b"/>
    <w:basedOn w:val="Normal"/>
    <w:rsid w:val="006473C5"/>
    <w:pPr>
      <w:spacing w:before="240"/>
    </w:pPr>
    <w:rPr>
      <w:szCs w:val="24"/>
    </w:rPr>
  </w:style>
  <w:style w:type="paragraph" w:customStyle="1" w:styleId="NormalSingle">
    <w:name w:val="NormalSingle"/>
    <w:basedOn w:val="Normal"/>
    <w:qFormat/>
    <w:rsid w:val="006473C5"/>
    <w:rPr>
      <w:szCs w:val="24"/>
    </w:rPr>
  </w:style>
  <w:style w:type="paragraph" w:customStyle="1" w:styleId="Normal12">
    <w:name w:val="Normal12"/>
    <w:basedOn w:val="Normal"/>
    <w:rsid w:val="006473C5"/>
    <w:pPr>
      <w:widowControl/>
      <w:snapToGrid w:val="0"/>
      <w:spacing w:after="240"/>
    </w:pPr>
    <w:rPr>
      <w:rFonts w:eastAsiaTheme="minorHAnsi"/>
      <w:szCs w:val="24"/>
      <w:lang w:eastAsia="en-US"/>
    </w:rPr>
  </w:style>
  <w:style w:type="character" w:styleId="UnresolvedMention">
    <w:name w:val="Unresolved Mention"/>
    <w:basedOn w:val="DefaultParagraphFont"/>
    <w:uiPriority w:val="99"/>
    <w:semiHidden/>
    <w:unhideWhenUsed/>
    <w:rsid w:val="006473C5"/>
    <w:rPr>
      <w:color w:val="605E5C"/>
      <w:shd w:val="clear" w:color="auto" w:fill="E1DFDD"/>
    </w:rPr>
  </w:style>
  <w:style w:type="paragraph" w:styleId="Revision">
    <w:name w:val="Revision"/>
    <w:hidden/>
    <w:uiPriority w:val="99"/>
    <w:semiHidden/>
    <w:rsid w:val="00325CF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3732</Words>
  <Characters>23617</Characters>
  <Application>Microsoft Office Word</Application>
  <DocSecurity>0</DocSecurity>
  <Lines>400</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2025-10-17T09:23:00Z</dcterms:created>
  <dcterms:modified xsi:type="dcterms:W3CDTF">2025-10-17T09:23:00Z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A10-0135/2025</vt:lpwstr>
  </property>
  <property fmtid="{D5CDD505-2E9C-101B-9397-08002B2CF9AE}" pid="4" name="&lt;Type&gt;">
    <vt:lpwstr>RR</vt:lpwstr>
  </property>
</Properties>
</file>