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278A" w14:paraId="5CF377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C7758F" w14:textId="77777777" w:rsidR="00751A4A" w:rsidRPr="0071278A" w:rsidRDefault="0051530F" w:rsidP="0010095E">
            <w:pPr>
              <w:pStyle w:val="EPName"/>
            </w:pPr>
            <w:r w:rsidRPr="0071278A">
              <w:t>Európsky parlament</w:t>
            </w:r>
          </w:p>
          <w:p w14:paraId="09F59A43" w14:textId="77777777" w:rsidR="00751A4A" w:rsidRPr="007127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278A">
              <w:t>2024</w:t>
            </w:r>
            <w:r w:rsidR="00817416" w:rsidRPr="0071278A">
              <w:t>-202</w:t>
            </w:r>
            <w:r w:rsidRPr="0071278A">
              <w:t>9</w:t>
            </w:r>
          </w:p>
        </w:tc>
        <w:tc>
          <w:tcPr>
            <w:tcW w:w="2268" w:type="dxa"/>
            <w:shd w:val="clear" w:color="auto" w:fill="auto"/>
          </w:tcPr>
          <w:p w14:paraId="2E2BAF5E" w14:textId="77777777" w:rsidR="00751A4A" w:rsidRPr="0071278A" w:rsidRDefault="00187494" w:rsidP="0010095E">
            <w:pPr>
              <w:pStyle w:val="EPLogo"/>
            </w:pPr>
            <w:r w:rsidRPr="0071278A">
              <w:rPr>
                <w:noProof/>
                <w:lang w:val="en-GB"/>
              </w:rPr>
              <w:drawing>
                <wp:inline distT="0" distB="0" distL="0" distR="0" wp14:anchorId="412002DC" wp14:editId="041A82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3769A2" w14:textId="77777777" w:rsidR="00D058B8" w:rsidRPr="0071278A" w:rsidRDefault="00D058B8" w:rsidP="004C5D52">
      <w:pPr>
        <w:pStyle w:val="LineTop"/>
      </w:pPr>
    </w:p>
    <w:p w14:paraId="7FDC1176" w14:textId="77777777" w:rsidR="00680577" w:rsidRPr="0071278A" w:rsidRDefault="0051530F" w:rsidP="00680577">
      <w:pPr>
        <w:pStyle w:val="EPBodyTA1"/>
      </w:pPr>
      <w:r w:rsidRPr="0071278A">
        <w:t>PRIJATÉ TEXTY</w:t>
      </w:r>
    </w:p>
    <w:p w14:paraId="3896E31E" w14:textId="77777777" w:rsidR="00D058B8" w:rsidRPr="0071278A" w:rsidRDefault="00D058B8" w:rsidP="00D058B8">
      <w:pPr>
        <w:pStyle w:val="LineBottom"/>
      </w:pPr>
    </w:p>
    <w:p w14:paraId="0F93BB0F" w14:textId="4A0B2741" w:rsidR="0051530F" w:rsidRPr="0071278A" w:rsidRDefault="0051530F" w:rsidP="0051530F">
      <w:pPr>
        <w:pStyle w:val="ATHeading1"/>
      </w:pPr>
      <w:bookmarkStart w:id="0" w:name="TANumber"/>
      <w:r w:rsidRPr="0071278A">
        <w:t>P10_TA(2025)0</w:t>
      </w:r>
      <w:r w:rsidR="0071278A" w:rsidRPr="0071278A">
        <w:t>196</w:t>
      </w:r>
      <w:bookmarkEnd w:id="0"/>
    </w:p>
    <w:p w14:paraId="317BFB07" w14:textId="77777777" w:rsidR="0051530F" w:rsidRPr="0071278A" w:rsidRDefault="0051530F" w:rsidP="0051530F">
      <w:pPr>
        <w:pStyle w:val="ATHeading2"/>
      </w:pPr>
      <w:bookmarkStart w:id="1" w:name="title"/>
      <w:r w:rsidRPr="0071278A">
        <w:t>Nová vízia pre aliancie európskych univerzít</w:t>
      </w:r>
      <w:bookmarkEnd w:id="1"/>
    </w:p>
    <w:p w14:paraId="7C5A0771" w14:textId="77777777" w:rsidR="0051530F" w:rsidRPr="0071278A" w:rsidRDefault="0051530F" w:rsidP="0051530F">
      <w:pPr>
        <w:rPr>
          <w:i/>
          <w:vanish/>
        </w:rPr>
      </w:pPr>
      <w:r w:rsidRPr="0071278A">
        <w:rPr>
          <w:i/>
        </w:rPr>
        <w:fldChar w:fldCharType="begin"/>
      </w:r>
      <w:r w:rsidRPr="0071278A">
        <w:rPr>
          <w:i/>
        </w:rPr>
        <w:instrText xml:space="preserve"> TC"(</w:instrText>
      </w:r>
      <w:bookmarkStart w:id="2" w:name="DocNumber"/>
      <w:r w:rsidRPr="0071278A">
        <w:rPr>
          <w:i/>
        </w:rPr>
        <w:instrText>A10-0135/2025</w:instrText>
      </w:r>
      <w:bookmarkEnd w:id="2"/>
      <w:r w:rsidRPr="0071278A">
        <w:rPr>
          <w:i/>
        </w:rPr>
        <w:instrText xml:space="preserve"> - Spravodajkyňa: Laurence Farreng)"\l3 \n&gt; \* MERGEFORMAT </w:instrText>
      </w:r>
      <w:r w:rsidRPr="0071278A">
        <w:rPr>
          <w:i/>
        </w:rPr>
        <w:fldChar w:fldCharType="end"/>
      </w:r>
    </w:p>
    <w:p w14:paraId="24DC7A54" w14:textId="77777777" w:rsidR="0051530F" w:rsidRPr="0071278A" w:rsidRDefault="0051530F" w:rsidP="0051530F">
      <w:pPr>
        <w:rPr>
          <w:vanish/>
        </w:rPr>
      </w:pPr>
      <w:bookmarkStart w:id="3" w:name="Commission"/>
      <w:r w:rsidRPr="0071278A">
        <w:rPr>
          <w:vanish/>
        </w:rPr>
        <w:t>Výbor pre kultúru a vzdelávanie</w:t>
      </w:r>
      <w:bookmarkEnd w:id="3"/>
    </w:p>
    <w:p w14:paraId="394DC128" w14:textId="77777777" w:rsidR="0051530F" w:rsidRPr="0071278A" w:rsidRDefault="0051530F" w:rsidP="0051530F">
      <w:pPr>
        <w:rPr>
          <w:vanish/>
        </w:rPr>
      </w:pPr>
      <w:bookmarkStart w:id="4" w:name="PE"/>
      <w:r w:rsidRPr="0071278A">
        <w:rPr>
          <w:vanish/>
        </w:rPr>
        <w:t>PE770.272</w:t>
      </w:r>
      <w:bookmarkEnd w:id="4"/>
    </w:p>
    <w:p w14:paraId="76F7F0CC" w14:textId="14CE4240" w:rsidR="0051530F" w:rsidRPr="0071278A" w:rsidRDefault="0051530F" w:rsidP="0051530F">
      <w:pPr>
        <w:pStyle w:val="ATHeading3"/>
      </w:pPr>
      <w:bookmarkStart w:id="5" w:name="Sujet"/>
      <w:r w:rsidRPr="0071278A">
        <w:t>Uznesenie Európskeho parlamentu z</w:t>
      </w:r>
      <w:r w:rsidR="00B800E1" w:rsidRPr="0071278A">
        <w:t> 11</w:t>
      </w:r>
      <w:r w:rsidRPr="0071278A">
        <w:t>. septembra 2025 o novej vízii pre aliancie európskych univerzít</w:t>
      </w:r>
      <w:bookmarkEnd w:id="5"/>
      <w:r w:rsidRPr="0071278A">
        <w:t xml:space="preserve"> </w:t>
      </w:r>
      <w:bookmarkStart w:id="6" w:name="References"/>
      <w:r w:rsidRPr="0071278A">
        <w:t>(2025/2036(INI))</w:t>
      </w:r>
      <w:bookmarkEnd w:id="6"/>
    </w:p>
    <w:p w14:paraId="341EA646" w14:textId="77777777" w:rsidR="00182896" w:rsidRPr="0071278A" w:rsidRDefault="00182896" w:rsidP="00182896">
      <w:pPr>
        <w:pStyle w:val="EPComma"/>
      </w:pPr>
      <w:r w:rsidRPr="0071278A">
        <w:rPr>
          <w:rStyle w:val="Italic"/>
        </w:rPr>
        <w:t>Európsky parlament</w:t>
      </w:r>
      <w:r w:rsidRPr="0071278A">
        <w:t>,</w:t>
      </w:r>
    </w:p>
    <w:p w14:paraId="16DD8D5F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Chartu základných práv Európskej únie, najmä na jej články 13 a 14 o slobode umenia a vedeckého bádania a práve na vzdelanie,</w:t>
      </w:r>
    </w:p>
    <w:p w14:paraId="4C8522FE" w14:textId="33A44890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nariadenie Európskeho parlamentu a Rady (EÚ) 2021/817 z</w:t>
      </w:r>
      <w:r w:rsidR="00C10192" w:rsidRPr="0071278A">
        <w:t xml:space="preserve"> 20. </w:t>
      </w:r>
      <w:r w:rsidRPr="0071278A">
        <w:t>mája 2021, ktorým sa zriaďuje Erasmus+: program Únie pre vzdelávanie a odbornú prípravu, mládež a šport a ktorým sa zrušuje nariadenie (EÚ) č. 1288/2013</w:t>
      </w:r>
      <w:r w:rsidRPr="0071278A">
        <w:rPr>
          <w:rStyle w:val="FootnoteReference"/>
        </w:rPr>
        <w:footnoteReference w:id="1"/>
      </w:r>
      <w:r w:rsidRPr="0071278A">
        <w:t>,</w:t>
      </w:r>
    </w:p>
    <w:p w14:paraId="2A9C4DEE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 xml:space="preserve">so zreteľom na štúdiu z 11. septembra 2023 vypracovanú pre Výbor pre kultúru a vzdelávanie s názvom EU </w:t>
      </w:r>
      <w:proofErr w:type="spellStart"/>
      <w:r w:rsidRPr="0071278A">
        <w:t>funding</w:t>
      </w:r>
      <w:proofErr w:type="spellEnd"/>
      <w:r w:rsidRPr="0071278A">
        <w:t xml:space="preserve"> </w:t>
      </w:r>
      <w:proofErr w:type="spellStart"/>
      <w:r w:rsidRPr="0071278A">
        <w:t>programmes</w:t>
      </w:r>
      <w:proofErr w:type="spellEnd"/>
      <w:r w:rsidRPr="0071278A">
        <w:t xml:space="preserve"> 2021-2027 in </w:t>
      </w:r>
      <w:proofErr w:type="spellStart"/>
      <w:r w:rsidRPr="0071278A">
        <w:t>culture</w:t>
      </w:r>
      <w:proofErr w:type="spellEnd"/>
      <w:r w:rsidRPr="0071278A">
        <w:t xml:space="preserve">, </w:t>
      </w:r>
      <w:proofErr w:type="spellStart"/>
      <w:r w:rsidRPr="0071278A">
        <w:t>media</w:t>
      </w:r>
      <w:proofErr w:type="spellEnd"/>
      <w:r w:rsidRPr="0071278A">
        <w:t xml:space="preserve">, </w:t>
      </w:r>
      <w:proofErr w:type="spellStart"/>
      <w:r w:rsidRPr="0071278A">
        <w:t>education</w:t>
      </w:r>
      <w:proofErr w:type="spellEnd"/>
      <w:r w:rsidRPr="0071278A">
        <w:t xml:space="preserve">, </w:t>
      </w:r>
      <w:proofErr w:type="spellStart"/>
      <w:r w:rsidRPr="0071278A">
        <w:t>youth</w:t>
      </w:r>
      <w:proofErr w:type="spellEnd"/>
      <w:r w:rsidRPr="0071278A">
        <w:t xml:space="preserve"> and </w:t>
      </w:r>
      <w:proofErr w:type="spellStart"/>
      <w:r w:rsidRPr="0071278A">
        <w:t>sports</w:t>
      </w:r>
      <w:proofErr w:type="spellEnd"/>
      <w:r w:rsidRPr="0071278A">
        <w:t xml:space="preserve">: </w:t>
      </w:r>
      <w:proofErr w:type="spellStart"/>
      <w:r w:rsidRPr="0071278A">
        <w:t>first</w:t>
      </w:r>
      <w:proofErr w:type="spellEnd"/>
      <w:r w:rsidRPr="0071278A">
        <w:t xml:space="preserve"> </w:t>
      </w:r>
      <w:proofErr w:type="spellStart"/>
      <w:r w:rsidRPr="0071278A">
        <w:t>lessons</w:t>
      </w:r>
      <w:proofErr w:type="spellEnd"/>
      <w:r w:rsidRPr="0071278A">
        <w:t xml:space="preserve">, </w:t>
      </w:r>
      <w:proofErr w:type="spellStart"/>
      <w:r w:rsidRPr="0071278A">
        <w:t>challenges</w:t>
      </w:r>
      <w:proofErr w:type="spellEnd"/>
      <w:r w:rsidRPr="0071278A">
        <w:t xml:space="preserve"> and </w:t>
      </w:r>
      <w:proofErr w:type="spellStart"/>
      <w:r w:rsidRPr="0071278A">
        <w:t>future</w:t>
      </w:r>
      <w:proofErr w:type="spellEnd"/>
      <w:r w:rsidRPr="0071278A">
        <w:t xml:space="preserve"> </w:t>
      </w:r>
      <w:proofErr w:type="spellStart"/>
      <w:r w:rsidRPr="0071278A">
        <w:t>perspectives</w:t>
      </w:r>
      <w:proofErr w:type="spellEnd"/>
      <w:r w:rsidRPr="0071278A">
        <w:t xml:space="preserve"> – Erasmus+ (Programy financovania EÚ na roky 2021 – 2027 v oblasti kultúry, médií, vzdelávania, mládeže a športu: prvé skúsenosti, výzvy a perspektívy do budúcnosti – Erasmus+),</w:t>
      </w:r>
    </w:p>
    <w:p w14:paraId="49666D44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 xml:space="preserve">so zreteľom na štúdiu z 20. júla 2023 vypracovanú pre Výbor pre kultúru a vzdelávanie s názvom </w:t>
      </w:r>
      <w:proofErr w:type="spellStart"/>
      <w:r w:rsidRPr="0071278A">
        <w:t>Early</w:t>
      </w:r>
      <w:proofErr w:type="spellEnd"/>
      <w:r w:rsidRPr="0071278A">
        <w:t xml:space="preserve"> </w:t>
      </w:r>
      <w:proofErr w:type="spellStart"/>
      <w:r w:rsidRPr="0071278A">
        <w:t>implementation</w:t>
      </w:r>
      <w:proofErr w:type="spellEnd"/>
      <w:r w:rsidRPr="0071278A">
        <w:t xml:space="preserve"> of </w:t>
      </w:r>
      <w:proofErr w:type="spellStart"/>
      <w:r w:rsidRPr="0071278A">
        <w:t>four</w:t>
      </w:r>
      <w:proofErr w:type="spellEnd"/>
      <w:r w:rsidRPr="0071278A">
        <w:t xml:space="preserve"> 2021-2027 EU </w:t>
      </w:r>
      <w:proofErr w:type="spellStart"/>
      <w:r w:rsidRPr="0071278A">
        <w:t>programmes</w:t>
      </w:r>
      <w:proofErr w:type="spellEnd"/>
      <w:r w:rsidRPr="0071278A">
        <w:t xml:space="preserve">: Erasmus+, </w:t>
      </w:r>
      <w:proofErr w:type="spellStart"/>
      <w:r w:rsidRPr="0071278A">
        <w:t>Creative</w:t>
      </w:r>
      <w:proofErr w:type="spellEnd"/>
      <w:r w:rsidRPr="0071278A">
        <w:t xml:space="preserve"> </w:t>
      </w:r>
      <w:proofErr w:type="spellStart"/>
      <w:r w:rsidRPr="0071278A">
        <w:t>Europe</w:t>
      </w:r>
      <w:proofErr w:type="spellEnd"/>
      <w:r w:rsidRPr="0071278A">
        <w:t xml:space="preserve">, </w:t>
      </w:r>
      <w:proofErr w:type="spellStart"/>
      <w:r w:rsidRPr="0071278A">
        <w:t>European</w:t>
      </w:r>
      <w:proofErr w:type="spellEnd"/>
      <w:r w:rsidRPr="0071278A">
        <w:t xml:space="preserve"> Solidarity </w:t>
      </w:r>
      <w:proofErr w:type="spellStart"/>
      <w:r w:rsidRPr="0071278A">
        <w:t>Corps</w:t>
      </w:r>
      <w:proofErr w:type="spellEnd"/>
      <w:r w:rsidRPr="0071278A">
        <w:t xml:space="preserve"> and </w:t>
      </w:r>
      <w:proofErr w:type="spellStart"/>
      <w:r w:rsidRPr="0071278A">
        <w:t>Citizens</w:t>
      </w:r>
      <w:proofErr w:type="spellEnd"/>
      <w:r w:rsidRPr="0071278A">
        <w:t xml:space="preserve">, </w:t>
      </w:r>
      <w:proofErr w:type="spellStart"/>
      <w:r w:rsidRPr="0071278A">
        <w:t>Equality</w:t>
      </w:r>
      <w:proofErr w:type="spellEnd"/>
      <w:r w:rsidRPr="0071278A">
        <w:t xml:space="preserve">, </w:t>
      </w:r>
      <w:proofErr w:type="spellStart"/>
      <w:r w:rsidRPr="0071278A">
        <w:t>Rights</w:t>
      </w:r>
      <w:proofErr w:type="spellEnd"/>
      <w:r w:rsidRPr="0071278A">
        <w:t xml:space="preserve"> and </w:t>
      </w:r>
      <w:proofErr w:type="spellStart"/>
      <w:r w:rsidRPr="0071278A">
        <w:t>Values</w:t>
      </w:r>
      <w:proofErr w:type="spellEnd"/>
      <w:r w:rsidRPr="0071278A">
        <w:t xml:space="preserve"> (</w:t>
      </w:r>
      <w:proofErr w:type="spellStart"/>
      <w:r w:rsidRPr="0071278A">
        <w:t>Strand</w:t>
      </w:r>
      <w:proofErr w:type="spellEnd"/>
      <w:r w:rsidRPr="0071278A">
        <w:t xml:space="preserve"> 3) (Včasné vykonávanie štyroch programov EÚ na roky 2021 – 2027: Erasmus+, Kreatívna Európa, Európsky zbor solidarity a Občania, rovnosť, práva a hodnoty (podprogram 3),</w:t>
      </w:r>
    </w:p>
    <w:p w14:paraId="797AA051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závery Rady zo 17. mája 2021 o iniciatíve „Európske univerzity“ – prepojenie vysokoškolského vzdelávania, výskumu, inovácie a spoločnosti: príprava podmienok pre nový rozmer európskeho vysokoškolského vzdelávania,</w:t>
      </w:r>
    </w:p>
    <w:p w14:paraId="706542BA" w14:textId="2ECC8EF5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závery Rady zo 14. a 15. decembra 2017,</w:t>
      </w:r>
    </w:p>
    <w:p w14:paraId="77BDCAC9" w14:textId="77777777" w:rsidR="00182896" w:rsidRPr="0071278A" w:rsidRDefault="00182896" w:rsidP="00182896">
      <w:pPr>
        <w:pStyle w:val="NormalHanging12a"/>
      </w:pPr>
      <w:r w:rsidRPr="0071278A">
        <w:lastRenderedPageBreak/>
        <w:t>–</w:t>
      </w:r>
      <w:r w:rsidRPr="0071278A">
        <w:tab/>
        <w:t>so zreteľom na závery Rady zo 7. júna 2018 o formovaní vízie európskeho vzdelávacieho priestoru,</w:t>
      </w:r>
    </w:p>
    <w:p w14:paraId="47196C8B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uznesenie Rady z 18. novembra 2019 o ďalšom rozvoji európskeho vzdelávacieho priestoru v záujme podpory systémov vzdelávania a odbornej prípravy orientovaných na budúcnosť</w:t>
      </w:r>
      <w:r w:rsidRPr="0071278A">
        <w:rPr>
          <w:rStyle w:val="FootnoteReference"/>
        </w:rPr>
        <w:footnoteReference w:id="2"/>
      </w:r>
      <w:r w:rsidRPr="0071278A">
        <w:t>,</w:t>
      </w:r>
    </w:p>
    <w:p w14:paraId="3565DD26" w14:textId="2A36E962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uznesenie Rady</w:t>
      </w:r>
      <w:r w:rsidR="00484B2C">
        <w:t xml:space="preserve"> z 29. novembra 2021</w:t>
      </w:r>
      <w:r w:rsidRPr="0071278A">
        <w:t xml:space="preserve"> o novom európskom programe vzdelávania dospelých na roky 2021 – 2030</w:t>
      </w:r>
      <w:r w:rsidRPr="0071278A">
        <w:rPr>
          <w:rStyle w:val="FootnoteReference"/>
        </w:rPr>
        <w:footnoteReference w:id="3"/>
      </w:r>
      <w:r w:rsidRPr="0071278A">
        <w:t>,</w:t>
      </w:r>
    </w:p>
    <w:p w14:paraId="1FE1CDAD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odporúčanie Rady z 13. mája 2024 s názvom Európa v pohybe – príležitosti vzdelávacej mobility pre všetkých</w:t>
      </w:r>
      <w:r w:rsidRPr="0071278A">
        <w:rPr>
          <w:rStyle w:val="FootnoteReference"/>
        </w:rPr>
        <w:footnoteReference w:id="4"/>
      </w:r>
      <w:r w:rsidRPr="0071278A">
        <w:t>,</w:t>
      </w:r>
    </w:p>
    <w:p w14:paraId="349C3BA4" w14:textId="50BEE312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návrh Komisie z 28. februára 2025 na odporúčanie Rady týkajúce sa politického programu európskeho výskumného priestoru na roky 2025 – 2027</w:t>
      </w:r>
      <w:r w:rsidR="006805D4">
        <w:t xml:space="preserve"> </w:t>
      </w:r>
      <w:r w:rsidRPr="0071278A">
        <w:t>(COM(2025)0062),</w:t>
      </w:r>
    </w:p>
    <w:p w14:paraId="68A8DB97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odporúčanie Rady (EÚ) 2021/2122 z 26. novembra 2021 o Pakte pre výskum a inováciu v Európe</w:t>
      </w:r>
      <w:r w:rsidRPr="0071278A">
        <w:rPr>
          <w:rStyle w:val="FootnoteReference"/>
        </w:rPr>
        <w:footnoteReference w:id="5"/>
      </w:r>
      <w:r w:rsidRPr="0071278A">
        <w:t>,</w:t>
      </w:r>
    </w:p>
    <w:p w14:paraId="30FD27F7" w14:textId="161A022F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oznámenie Komisie z 18. januára 2022 o európskej stratégii pre univerzity (COM(2022)0016),</w:t>
      </w:r>
    </w:p>
    <w:p w14:paraId="7AF30F16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správu Komisie z 15. apríla 2024 o osvedčených postupoch z projektov aliancií európskych univerzít (Pilot II),</w:t>
      </w:r>
    </w:p>
    <w:p w14:paraId="5996AF75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správu Komisie o výsledkoch a transformačnom potenciáli iniciatívy Európske univerzity</w:t>
      </w:r>
      <w:r w:rsidRPr="0071278A">
        <w:rPr>
          <w:rStyle w:val="FootnoteReference"/>
        </w:rPr>
        <w:footnoteReference w:id="6"/>
      </w:r>
      <w:r w:rsidRPr="0071278A">
        <w:t>,</w:t>
      </w:r>
    </w:p>
    <w:p w14:paraId="04D60E13" w14:textId="6F97BAA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oznámenie Komisie z 27. marca 2024 s názvom Oznámenie o koncepcii európskeho diplomu (COM(2024)0144),</w:t>
      </w:r>
    </w:p>
    <w:p w14:paraId="22E697F7" w14:textId="7E2C91B5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 xml:space="preserve">so zreteľom na pracovný dokument útvarov Komisie z 27. marca 2024 </w:t>
      </w:r>
      <w:r w:rsidR="00891011" w:rsidRPr="0071278A">
        <w:t>(</w:t>
      </w:r>
      <w:r w:rsidRPr="0071278A">
        <w:t>SWD(2024)0074</w:t>
      </w:r>
      <w:r w:rsidR="00891011" w:rsidRPr="0071278A">
        <w:t>)</w:t>
      </w:r>
      <w:r w:rsidRPr="0071278A">
        <w:t xml:space="preserve">, ktorý je sprievodným dokumentom k oznámeniu Komisie </w:t>
      </w:r>
      <w:r w:rsidR="00B800E1" w:rsidRPr="0071278A">
        <w:t>(</w:t>
      </w:r>
      <w:r w:rsidRPr="0071278A">
        <w:t>COM(2024)0144</w:t>
      </w:r>
      <w:r w:rsidR="00B800E1" w:rsidRPr="0071278A">
        <w:t>)</w:t>
      </w:r>
      <w:r w:rsidRPr="0071278A">
        <w:t>, návrhu Komisie z 27. marca 2024 na odporúčanie Rady týkajúce sa európskeho systému zabezpečovania kvality a uznávania vo vysokoškolskom vzdelávaní (COM(2024)0147) a návrhu Komisie z 27. marca 2024 na odporúčania Rady týkajúceho sa atraktívnej a udržateľnej kariéry vo vysokoškolskom vzdelávaní (COM(2024)0145),</w:t>
      </w:r>
    </w:p>
    <w:p w14:paraId="0360A6E4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 xml:space="preserve">so zreteľom na pracovný dokument útvarov Komisie z 19. decembra 2024 s názvom Správa o konečných výsledkoch experimentálnych projektov politiky v rámci programu </w:t>
      </w:r>
      <w:r w:rsidRPr="0071278A">
        <w:lastRenderedPageBreak/>
        <w:t>Erasmus+: Európsky diplom (značka) a inštitucionalizované nástroje spolupráce EÚ (SWD(2024)0291),</w:t>
      </w:r>
    </w:p>
    <w:p w14:paraId="2DEF293C" w14:textId="1B6CEC4D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oznámenie Komisie z 5. marca 2025 s názvom Únia zručností (COM(2025)0090),</w:t>
      </w:r>
    </w:p>
    <w:p w14:paraId="4B0DA34F" w14:textId="16A3D572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oznámenie Komisie z 5. marca 2025 s názvom Strategický plán vzdelávania v oblasti STEM: zručnosti pre konkurencieschopnosť a inovácie (COM(2025)0089),</w:t>
      </w:r>
    </w:p>
    <w:p w14:paraId="653EF699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preskúmanie európskeho vzdelávacieho priestoru v polovici trvania z roku 2023,</w:t>
      </w:r>
    </w:p>
    <w:p w14:paraId="3B8730D0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rímske ministerské komuniké prijaté 19. novembra 2020 na ministerskej konferencii o európskom priestore vysokoškolského vzdelávania,</w:t>
      </w:r>
    </w:p>
    <w:p w14:paraId="4C685E40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zásady, usmernenia a ukazovatele sociálneho rozmeru vysokoškolského vzdelávania z 9. januára 2024, ktoré uverejnila bolonská odborná skupina, pracovná skupina pre sociálny rozmer na roky 2021 – 2024,</w:t>
      </w:r>
    </w:p>
    <w:p w14:paraId="5AF48A0D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 xml:space="preserve">so zreteľom na nezávislú správu na vysokej úrovni o budúcnosti jednotného trhu, ktorú vypracoval </w:t>
      </w:r>
      <w:proofErr w:type="spellStart"/>
      <w:r w:rsidRPr="0071278A">
        <w:t>Enrico</w:t>
      </w:r>
      <w:proofErr w:type="spellEnd"/>
      <w:r w:rsidRPr="0071278A">
        <w:t xml:space="preserve"> </w:t>
      </w:r>
      <w:proofErr w:type="spellStart"/>
      <w:r w:rsidRPr="0071278A">
        <w:t>Letta</w:t>
      </w:r>
      <w:proofErr w:type="spellEnd"/>
      <w:r w:rsidRPr="0071278A">
        <w:t xml:space="preserve"> s názvom Oveľa viac než len trh – rýchlosť, bezpečnosť, solidarita: posilnenie jednotného trhu s cieľom zabezpečiť udržateľnú budúcnosť a prosperitu pre všetkých občanov EÚ, ktorá bola uverejnená v apríli 2024,</w:t>
      </w:r>
    </w:p>
    <w:p w14:paraId="7260F587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 xml:space="preserve">so zreteľom na správu Maria </w:t>
      </w:r>
      <w:proofErr w:type="spellStart"/>
      <w:r w:rsidRPr="0071278A">
        <w:t>Draghiho</w:t>
      </w:r>
      <w:proofErr w:type="spellEnd"/>
      <w:r w:rsidRPr="0071278A">
        <w:t xml:space="preserve"> o budúcnosti európskej konkurencieschopnosti, ktorá bola uverejnená v septembri 2024,</w:t>
      </w:r>
    </w:p>
    <w:p w14:paraId="0CB82FF6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 xml:space="preserve">so zreteľom na správu o výskume a inováciách, ktorú vypracovala skupina nezávislých expertov, ktorej predsedal Manuel </w:t>
      </w:r>
      <w:proofErr w:type="spellStart"/>
      <w:r w:rsidRPr="0071278A">
        <w:t>Heitor</w:t>
      </w:r>
      <w:proofErr w:type="spellEnd"/>
      <w:r w:rsidRPr="0071278A">
        <w:t xml:space="preserve">, s názvom </w:t>
      </w:r>
      <w:proofErr w:type="spellStart"/>
      <w:r w:rsidRPr="0071278A">
        <w:t>Align</w:t>
      </w:r>
      <w:proofErr w:type="spellEnd"/>
      <w:r w:rsidRPr="0071278A">
        <w:t xml:space="preserve">, </w:t>
      </w:r>
      <w:proofErr w:type="spellStart"/>
      <w:r w:rsidRPr="0071278A">
        <w:t>act</w:t>
      </w:r>
      <w:proofErr w:type="spellEnd"/>
      <w:r w:rsidRPr="0071278A">
        <w:t xml:space="preserve">, </w:t>
      </w:r>
      <w:proofErr w:type="spellStart"/>
      <w:r w:rsidRPr="0071278A">
        <w:t>accelerate</w:t>
      </w:r>
      <w:proofErr w:type="spellEnd"/>
      <w:r w:rsidRPr="0071278A">
        <w:t xml:space="preserve"> – </w:t>
      </w:r>
      <w:proofErr w:type="spellStart"/>
      <w:r w:rsidRPr="0071278A">
        <w:t>Research</w:t>
      </w:r>
      <w:proofErr w:type="spellEnd"/>
      <w:r w:rsidRPr="0071278A">
        <w:t xml:space="preserve">, </w:t>
      </w:r>
      <w:proofErr w:type="spellStart"/>
      <w:r w:rsidRPr="0071278A">
        <w:t>technology</w:t>
      </w:r>
      <w:proofErr w:type="spellEnd"/>
      <w:r w:rsidRPr="0071278A">
        <w:t xml:space="preserve"> and </w:t>
      </w:r>
      <w:proofErr w:type="spellStart"/>
      <w:r w:rsidRPr="0071278A">
        <w:t>innovation</w:t>
      </w:r>
      <w:proofErr w:type="spellEnd"/>
      <w:r w:rsidRPr="0071278A">
        <w:t xml:space="preserve"> to </w:t>
      </w:r>
      <w:proofErr w:type="spellStart"/>
      <w:r w:rsidRPr="0071278A">
        <w:t>boost</w:t>
      </w:r>
      <w:proofErr w:type="spellEnd"/>
      <w:r w:rsidRPr="0071278A">
        <w:t xml:space="preserve"> </w:t>
      </w:r>
      <w:proofErr w:type="spellStart"/>
      <w:r w:rsidRPr="0071278A">
        <w:t>European</w:t>
      </w:r>
      <w:proofErr w:type="spellEnd"/>
      <w:r w:rsidRPr="0071278A">
        <w:t xml:space="preserve"> </w:t>
      </w:r>
      <w:proofErr w:type="spellStart"/>
      <w:r w:rsidRPr="0071278A">
        <w:t>competitiveness</w:t>
      </w:r>
      <w:proofErr w:type="spellEnd"/>
      <w:r w:rsidRPr="0071278A">
        <w:t xml:space="preserve"> (Zosúladiť, zakročiť, zrýchliť – Výskum, technológie a inovácie na posilnenie konkurencieschopnosti Európy), ktorá bola uverejnená v októbri 2024,</w:t>
      </w:r>
    </w:p>
    <w:p w14:paraId="1114A3D9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svoje uznesenie z 23. júna 2022 o vykonávaní opatrení zameraných na začleňovanie v rámci programu Erasmus+ na roky 2014 – 2020</w:t>
      </w:r>
      <w:r w:rsidRPr="0071278A">
        <w:rPr>
          <w:rStyle w:val="FootnoteReference"/>
        </w:rPr>
        <w:footnoteReference w:id="7"/>
      </w:r>
      <w:r w:rsidRPr="0071278A">
        <w:t>,</w:t>
      </w:r>
    </w:p>
    <w:p w14:paraId="5FDE6724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svoje uznesenie z 15. septembra 2020 o účinných opatreniach na zvýšenie ekologickosti programov Erasmus+ a Kreatívna Európa a Európskeho zboru solidarity</w:t>
      </w:r>
      <w:r w:rsidRPr="0071278A">
        <w:rPr>
          <w:rStyle w:val="FootnoteReference"/>
        </w:rPr>
        <w:footnoteReference w:id="8"/>
      </w:r>
      <w:r w:rsidRPr="0071278A">
        <w:t>,</w:t>
      </w:r>
    </w:p>
    <w:p w14:paraId="7227A977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 xml:space="preserve">so zreteľom na svoje uznesenie z 19. mája 2022 o zriadení európskeho vzdelávacieho priestoru do roku 2025 – </w:t>
      </w:r>
      <w:proofErr w:type="spellStart"/>
      <w:r w:rsidRPr="0071278A">
        <w:t>mikrocertifikáty</w:t>
      </w:r>
      <w:proofErr w:type="spellEnd"/>
      <w:r w:rsidRPr="0071278A">
        <w:t>, individuálne vzdelávacie účty a vzdelávanie v záujme udržateľného životného prostredia</w:t>
      </w:r>
      <w:r w:rsidRPr="0071278A">
        <w:rPr>
          <w:rStyle w:val="FootnoteReference"/>
        </w:rPr>
        <w:footnoteReference w:id="9"/>
      </w:r>
      <w:r w:rsidRPr="0071278A">
        <w:t>,</w:t>
      </w:r>
    </w:p>
    <w:p w14:paraId="769D2ED1" w14:textId="77777777" w:rsidR="00182896" w:rsidRPr="0071278A" w:rsidRDefault="00182896" w:rsidP="00182896">
      <w:pPr>
        <w:pStyle w:val="NormalHanging12a"/>
      </w:pPr>
      <w:r w:rsidRPr="0071278A">
        <w:t>–</w:t>
      </w:r>
      <w:r w:rsidRPr="0071278A">
        <w:tab/>
        <w:t>so zreteľom na článok 55 rokovacieho poriadku,</w:t>
      </w:r>
    </w:p>
    <w:p w14:paraId="0719FA0C" w14:textId="77777777" w:rsidR="00182896" w:rsidRPr="0071278A" w:rsidRDefault="00182896" w:rsidP="00182896">
      <w:pPr>
        <w:pStyle w:val="NormalHanging12a"/>
      </w:pPr>
      <w:r w:rsidRPr="0071278A">
        <w:lastRenderedPageBreak/>
        <w:t>–</w:t>
      </w:r>
      <w:r w:rsidRPr="0071278A">
        <w:tab/>
        <w:t>so zreteľom na správu Výboru pre kultúru a vzdelávanie (A10-0135/2025),</w:t>
      </w:r>
    </w:p>
    <w:p w14:paraId="0A9A440D" w14:textId="77777777" w:rsidR="00182896" w:rsidRPr="0071278A" w:rsidRDefault="00182896" w:rsidP="00182896">
      <w:pPr>
        <w:pStyle w:val="NormalHanging12a"/>
      </w:pPr>
      <w:r w:rsidRPr="0071278A">
        <w:t>A.</w:t>
      </w:r>
      <w:r w:rsidRPr="0071278A">
        <w:tab/>
        <w:t>keďže kvalitné vzdelávanie a odborná príprava, ako aj akademická spolupráca sú predpokladom na dosiahnutie strategickej autonómie Európskej únie, presadzovanie hodnôt EÚ</w:t>
      </w:r>
      <w:r w:rsidRPr="0071278A">
        <w:rPr>
          <w:rStyle w:val="FootnoteReference"/>
        </w:rPr>
        <w:footnoteReference w:id="10"/>
      </w:r>
      <w:r w:rsidRPr="0071278A">
        <w:t>, boj proti nedostatku zručností prostredníctvom prilákania a udržania talentov a posilňovanie konkurencieschopnosti s poprednými svetovými univerzitami na základe rozvoja ľudského kapitálu, odolnosti a blahobytu;</w:t>
      </w:r>
    </w:p>
    <w:p w14:paraId="5B316835" w14:textId="77777777" w:rsidR="00182896" w:rsidRPr="0071278A" w:rsidRDefault="00182896" w:rsidP="00182896">
      <w:pPr>
        <w:pStyle w:val="NormalHanging12a"/>
      </w:pPr>
      <w:r w:rsidRPr="0071278A">
        <w:t>B.</w:t>
      </w:r>
      <w:r w:rsidRPr="0071278A">
        <w:tab/>
        <w:t xml:space="preserve">keďže význam akademickej obce a univerzít pre konkurencieschopnú, odolnú a autonómnu Európsku úniu sa zdôrazňuje v správe Maria </w:t>
      </w:r>
      <w:proofErr w:type="spellStart"/>
      <w:r w:rsidRPr="0071278A">
        <w:t>Draghiho</w:t>
      </w:r>
      <w:proofErr w:type="spellEnd"/>
      <w:r w:rsidRPr="0071278A">
        <w:t xml:space="preserve"> o budúcnosti európskej konkurencieschopnosti, v správe </w:t>
      </w:r>
      <w:proofErr w:type="spellStart"/>
      <w:r w:rsidRPr="0071278A">
        <w:t>Enrica</w:t>
      </w:r>
      <w:proofErr w:type="spellEnd"/>
      <w:r w:rsidRPr="0071278A">
        <w:t xml:space="preserve"> </w:t>
      </w:r>
      <w:proofErr w:type="spellStart"/>
      <w:r w:rsidRPr="0071278A">
        <w:t>Lettu</w:t>
      </w:r>
      <w:proofErr w:type="spellEnd"/>
      <w:r w:rsidRPr="0071278A">
        <w:t xml:space="preserve"> o budúcnosti jednotného trhu a v správe Manuela </w:t>
      </w:r>
      <w:proofErr w:type="spellStart"/>
      <w:r w:rsidRPr="0071278A">
        <w:t>Heitora</w:t>
      </w:r>
      <w:proofErr w:type="spellEnd"/>
      <w:r w:rsidRPr="0071278A">
        <w:t xml:space="preserve"> o priebežnom hodnotení programu Horizont Európa;</w:t>
      </w:r>
    </w:p>
    <w:p w14:paraId="1177B005" w14:textId="77777777" w:rsidR="00182896" w:rsidRPr="0071278A" w:rsidRDefault="00182896" w:rsidP="00182896">
      <w:pPr>
        <w:pStyle w:val="NormalHanging12a"/>
      </w:pPr>
      <w:r w:rsidRPr="0071278A">
        <w:t>C.</w:t>
      </w:r>
      <w:r w:rsidRPr="0071278A">
        <w:tab/>
        <w:t>keďže fragmentácia vysokoškolského vzdelávania a výskumu EÚ oslabuje schopnosť EÚ chrániť svoju suverenitu, presadzovať svoje hodnoty a uplatňovať globálny vplyv; keďže väčšia integrácia by mohla posilniť strategickú pozíciu EÚ;</w:t>
      </w:r>
    </w:p>
    <w:p w14:paraId="37A85F79" w14:textId="77777777" w:rsidR="00182896" w:rsidRPr="0071278A" w:rsidRDefault="00182896" w:rsidP="00182896">
      <w:pPr>
        <w:pStyle w:val="NormalHanging12a"/>
      </w:pPr>
      <w:r w:rsidRPr="0071278A">
        <w:t>D.</w:t>
      </w:r>
      <w:r w:rsidRPr="0071278A">
        <w:tab/>
        <w:t>keďže Kompas konkurencieschopnosti zdôrazňuje význam vysokokvalitného vzdelávania, odbornej prípravy a celoživotného vzdelávania s cieľom riešiť problém nedostatku zručností a pracovnej sily;</w:t>
      </w:r>
    </w:p>
    <w:p w14:paraId="51636C83" w14:textId="77777777" w:rsidR="00182896" w:rsidRPr="0071278A" w:rsidRDefault="00182896" w:rsidP="00182896">
      <w:pPr>
        <w:pStyle w:val="NormalHanging12a"/>
      </w:pPr>
      <w:r w:rsidRPr="0071278A">
        <w:t>E.</w:t>
      </w:r>
      <w:r w:rsidRPr="0071278A">
        <w:tab/>
        <w:t>keďže Erasmus+ je hlavným programom EÚ na podporu vzdelávania, odbornej prípravy, mládeže a športu v Európe a na medzinárodnej úrovni, ktorý zároveň podporuje mobilitu a akademickú spoluprácu; keďže silnejšia interakcia medzi programom Erasmus+ a inými existujúcimi programami EÚ, ako je Horizont Európa, by bola prínosom pre tieto ciele a zároveň by podporila komplexnejší prístup k vysokoškolskému vzdelávaniu;</w:t>
      </w:r>
    </w:p>
    <w:p w14:paraId="6E46C956" w14:textId="77777777" w:rsidR="00182896" w:rsidRPr="0071278A" w:rsidRDefault="00182896" w:rsidP="00182896">
      <w:pPr>
        <w:pStyle w:val="NormalHanging12a"/>
      </w:pPr>
      <w:r w:rsidRPr="0071278A">
        <w:t>F.</w:t>
      </w:r>
      <w:r w:rsidRPr="0071278A">
        <w:tab/>
        <w:t xml:space="preserve">keďže aliancie európskych univerzít majú viacrozmerný účel, počnúc vytvorením spoločných študijných programov, cez vytvorenie medziuniverzitných kampusov so silným európskym rozmerom, ktoré podporujú mobilitu študentov, účastníkov celoživotného vzdelávania a výskumných pracovníkov, ako aj akademických a neakademických zamestnancov, až po urýchlenie ďalších ešte </w:t>
      </w:r>
      <w:proofErr w:type="spellStart"/>
      <w:r w:rsidRPr="0071278A">
        <w:t>transformačnejších</w:t>
      </w:r>
      <w:proofErr w:type="spellEnd"/>
      <w:r w:rsidRPr="0071278A">
        <w:t xml:space="preserve"> zmien v oblasti vysokoškolského vzdelávania v členských štátoch a zúčastnených krajinách s cieľom vytvoriť skutočne konkurencieschopný európsky vzdelávací priestor;</w:t>
      </w:r>
    </w:p>
    <w:p w14:paraId="2CA6C9BA" w14:textId="77777777" w:rsidR="00182896" w:rsidRPr="0071278A" w:rsidRDefault="00182896" w:rsidP="00182896">
      <w:pPr>
        <w:pStyle w:val="NormalHanging12a"/>
      </w:pPr>
      <w:r w:rsidRPr="0071278A">
        <w:t>G.</w:t>
      </w:r>
      <w:r w:rsidRPr="0071278A">
        <w:tab/>
        <w:t>keďže akademická sloboda je ústrednou zásadou misií a činností univerzít, ako je zakotvená v článku 13 Charty základných práv EÚ a v odporúčaní UNESCO z 11. novembra 1997 o statuse pedagogického personálu v oblasti vysokoškolského vzdelávania; keďže takáto sloboda má zásadný význam pre blaho demokratických spoločností, a preto ju treba ďalej chrániť a podporovať;</w:t>
      </w:r>
    </w:p>
    <w:p w14:paraId="1595A430" w14:textId="77777777" w:rsidR="00182896" w:rsidRPr="0071278A" w:rsidRDefault="00182896" w:rsidP="00182896">
      <w:pPr>
        <w:pStyle w:val="NormalHanging12a"/>
      </w:pPr>
      <w:r w:rsidRPr="0071278A">
        <w:t>H.</w:t>
      </w:r>
      <w:r w:rsidRPr="0071278A">
        <w:tab/>
        <w:t xml:space="preserve">keďže aliancie európskych univerzít tým, že poskytujú plynulú mobilitu študentom, výskumným pracovníkom a akademickým a neakademickým pracovníkom v rámci EÚ aj mimo nej, zohrávajú úlohu pri posilňovaní výskumu, inovácií a vzdelávania na jednotnom trhu, a preto sú kľúčové pre realizáciu tzv. piatej slobody, ako sa uvádza v správe </w:t>
      </w:r>
      <w:proofErr w:type="spellStart"/>
      <w:r w:rsidRPr="0071278A">
        <w:t>Enrica</w:t>
      </w:r>
      <w:proofErr w:type="spellEnd"/>
      <w:r w:rsidRPr="0071278A">
        <w:t xml:space="preserve"> </w:t>
      </w:r>
      <w:proofErr w:type="spellStart"/>
      <w:r w:rsidRPr="0071278A">
        <w:t>Lettu</w:t>
      </w:r>
      <w:proofErr w:type="spellEnd"/>
      <w:r w:rsidRPr="0071278A">
        <w:t>.</w:t>
      </w:r>
    </w:p>
    <w:p w14:paraId="28C88115" w14:textId="77777777" w:rsidR="00182896" w:rsidRPr="0071278A" w:rsidRDefault="00182896" w:rsidP="00182896">
      <w:pPr>
        <w:pStyle w:val="NormalHanging12a"/>
      </w:pPr>
      <w:r w:rsidRPr="0071278A">
        <w:lastRenderedPageBreak/>
        <w:t>I.</w:t>
      </w:r>
      <w:r w:rsidRPr="0071278A">
        <w:tab/>
        <w:t>keďže inštitúcie vysokoškolského vzdelávania v Európe čelia výzvam v oblasti nadnárodnej spolupráce, najmä pokiaľ ide o financovanie, výrazné rozdiely vo vnútroštátnych a regionálnych právnych predpisoch, právne postavenie a štruktúry riadenia a zmluvné prekážky výmeny poznatkov;</w:t>
      </w:r>
    </w:p>
    <w:p w14:paraId="2F0CCC96" w14:textId="77777777" w:rsidR="00182896" w:rsidRPr="0071278A" w:rsidRDefault="00182896" w:rsidP="00182896">
      <w:pPr>
        <w:pStyle w:val="NormalHanging12a"/>
      </w:pPr>
      <w:r w:rsidRPr="0071278A">
        <w:t>J.</w:t>
      </w:r>
      <w:r w:rsidRPr="0071278A">
        <w:tab/>
        <w:t>keďže iniciatíva Európske univerzity bola úspešná a prekonala očakávania, pokiaľ ide o účasť a angažovanosť; keďže cieľ vytvoriť 20 aliancií stanovený v záveroch Rady z roku 2017 bol prekročený, pretože bolo vytvorených 65 aliancií, ktoré zahŕňajú viac ako 570 univerzít s viac ako 2 200 externými partnermi bez akýchkoľvek dodatočných rozpočtových prostriedkov a bez akejkoľvek záruky kontinuity financovaných projektov;</w:t>
      </w:r>
    </w:p>
    <w:p w14:paraId="191154AF" w14:textId="77777777" w:rsidR="00182896" w:rsidRPr="0071278A" w:rsidRDefault="00182896" w:rsidP="00182896">
      <w:pPr>
        <w:pStyle w:val="NormalHanging12a"/>
      </w:pPr>
      <w:r w:rsidRPr="0071278A">
        <w:t>K.</w:t>
      </w:r>
      <w:r w:rsidRPr="0071278A">
        <w:tab/>
        <w:t xml:space="preserve">keďže tieto súčasné aliancie boli vybrané prostredníctvom piatich konkurenčných verejných súťaží s dôrazom na kvalitu, </w:t>
      </w:r>
      <w:proofErr w:type="spellStart"/>
      <w:r w:rsidRPr="0071278A">
        <w:t>excelentnosť</w:t>
      </w:r>
      <w:proofErr w:type="spellEnd"/>
      <w:r w:rsidRPr="0071278A">
        <w:t xml:space="preserve">, akademické výsledky, </w:t>
      </w:r>
      <w:proofErr w:type="spellStart"/>
      <w:r w:rsidRPr="0071278A">
        <w:t>inkluzívnosť</w:t>
      </w:r>
      <w:proofErr w:type="spellEnd"/>
      <w:r w:rsidRPr="0071278A">
        <w:t xml:space="preserve"> a spravodlivé geografické pokrytie;</w:t>
      </w:r>
    </w:p>
    <w:p w14:paraId="48EA8E46" w14:textId="77777777" w:rsidR="00182896" w:rsidRPr="0071278A" w:rsidRDefault="00182896" w:rsidP="00182896">
      <w:pPr>
        <w:pStyle w:val="NormalHanging12a"/>
      </w:pPr>
      <w:r w:rsidRPr="0071278A">
        <w:t>L.</w:t>
      </w:r>
      <w:r w:rsidRPr="0071278A">
        <w:tab/>
        <w:t>keďže iniciatíva Európske univerzity je kľúčovým nástrojom na budovanie integrovaného, konkurencieschopného a inkluzívneho európskeho vzdelávacieho priestoru, ktorý je schopný reagovať na globálne výzvy a posilňovať európsku identitu, kultúru a hodnoty;</w:t>
      </w:r>
    </w:p>
    <w:p w14:paraId="6960DEF5" w14:textId="77777777" w:rsidR="00182896" w:rsidRPr="0071278A" w:rsidRDefault="00182896" w:rsidP="00182896">
      <w:pPr>
        <w:pStyle w:val="NormalHanging12a"/>
      </w:pPr>
      <w:r w:rsidRPr="0071278A">
        <w:t>M.</w:t>
      </w:r>
      <w:r w:rsidRPr="0071278A">
        <w:tab/>
        <w:t>keďže aliancie preukázali svoj transformačný potenciál modernizovať systémy vysokoškolského vzdelávania členských štátov, zohrávajú vedúcu úlohu pri vzdelávaní novej generácie mobilných európskych študentov a prispievajú k špičkovému výskumu; keďže univerzity z viacerých aliancií sú kľúčovými zástancami a hnacou silou legislatívnych zmien vo svojich krajinách;</w:t>
      </w:r>
    </w:p>
    <w:p w14:paraId="44563A71" w14:textId="77777777" w:rsidR="00182896" w:rsidRPr="0071278A" w:rsidRDefault="00182896" w:rsidP="00182896">
      <w:pPr>
        <w:pStyle w:val="NormalHanging12a"/>
      </w:pPr>
      <w:r w:rsidRPr="0071278A">
        <w:t>N.</w:t>
      </w:r>
      <w:r w:rsidRPr="0071278A">
        <w:tab/>
        <w:t>keďže 23 členských štátov v súčasnosti financuje aliancie zo svojich vnútroštátnych rozpočtov;</w:t>
      </w:r>
    </w:p>
    <w:p w14:paraId="3B0CC7EF" w14:textId="77777777" w:rsidR="00182896" w:rsidRPr="0071278A" w:rsidRDefault="00182896" w:rsidP="00182896">
      <w:pPr>
        <w:pStyle w:val="Normal12a24b"/>
        <w:rPr>
          <w:i/>
          <w:iCs/>
        </w:rPr>
      </w:pPr>
      <w:r w:rsidRPr="0071278A">
        <w:rPr>
          <w:rStyle w:val="Bold"/>
          <w:i/>
          <w:iCs/>
        </w:rPr>
        <w:t>Súčasný stav, výzvy a prekážky</w:t>
      </w:r>
    </w:p>
    <w:p w14:paraId="745EEF37" w14:textId="77777777" w:rsidR="00182896" w:rsidRPr="0071278A" w:rsidRDefault="00182896" w:rsidP="00182896">
      <w:pPr>
        <w:pStyle w:val="NormalHanging12a"/>
      </w:pPr>
      <w:r w:rsidRPr="0071278A">
        <w:t>1.</w:t>
      </w:r>
      <w:r w:rsidRPr="0071278A">
        <w:tab/>
        <w:t>uznáva vrelé prijatie a odhodlanie, s akým vysoké školy prijali iniciatívu Európske univerzity, a úlohu tejto iniciatívy pri uľahčovaní úsilia o odstránenie prekážok regionálnej, cezhraničnej a medzinárodnej spolupráce v oblasti vysokoškolského vzdelávania, ako sú roztrieštené financovanie, rozdiely v akreditačných systémoch a právne prekážky;</w:t>
      </w:r>
    </w:p>
    <w:p w14:paraId="790C178C" w14:textId="77777777" w:rsidR="00182896" w:rsidRPr="0071278A" w:rsidRDefault="00182896" w:rsidP="00182896">
      <w:pPr>
        <w:pStyle w:val="NormalHanging12a"/>
      </w:pPr>
      <w:r w:rsidRPr="0071278A">
        <w:t>2.</w:t>
      </w:r>
      <w:r w:rsidRPr="0071278A">
        <w:tab/>
        <w:t>zdôrazňuje skutočnosť, že projekty mobility, vytváranie spoločných učebných plánov a spolupráca medzi univerzitami v Európe zohrávajú kľúčovú úlohu pri riešení potrieb v strategických oblastiach a posilňovaní pocitu spolupatričnosti k Európe a dodržiavania hodnôt EÚ pri súčasnom zachovaní rozmanitosti a bohatstva Európskej únie;</w:t>
      </w:r>
    </w:p>
    <w:p w14:paraId="5FF05EC0" w14:textId="77777777" w:rsidR="00182896" w:rsidRPr="0071278A" w:rsidRDefault="00182896" w:rsidP="00182896">
      <w:pPr>
        <w:pStyle w:val="NormalHanging12a"/>
      </w:pPr>
      <w:r w:rsidRPr="0071278A">
        <w:t>3.</w:t>
      </w:r>
      <w:r w:rsidRPr="0071278A">
        <w:tab/>
        <w:t>konštatuje, že aliancie sú silným nástrojom na vykonávanie a rozvoj bolonského procesu; zdôrazňuje pákový efekt, ktorý majú aliancie na transformačné procesy v oblasti vysokoškolského vzdelávania prostredníctvom zavádzania a podpory inovatívnych prístupov, ako aj nových metód spolupráce, vytvárania príležitostí a dostupnosti pre študentov;</w:t>
      </w:r>
    </w:p>
    <w:p w14:paraId="236FE68F" w14:textId="77777777" w:rsidR="00182896" w:rsidRPr="0071278A" w:rsidRDefault="00182896" w:rsidP="00182896">
      <w:pPr>
        <w:pStyle w:val="NormalHanging12a"/>
      </w:pPr>
      <w:r w:rsidRPr="0071278A">
        <w:t>4.</w:t>
      </w:r>
      <w:r w:rsidRPr="0071278A">
        <w:tab/>
        <w:t xml:space="preserve">zdôrazňuje rozmanitosť aliancií, pokiaľ ide o riadenie, témy a podnety, ktorými sa zaoberajú, a veľkosť a polohu zúčastnených univerzít; berie na vedomie úspešnú účasť </w:t>
      </w:r>
      <w:r w:rsidRPr="0071278A">
        <w:lastRenderedPageBreak/>
        <w:t>mnohých univerzít zo stredne veľkých miest, vidieckych oblastí a najvzdialenejších regiónov, vďaka čomu je táto iniciatíva prístupnou a inkluzívnou; zdôrazňuje, že univerzálny prístup nie je pre aliancie vhodný; konštatuje, že celoeurópske geografické zastúpenie univerzít v alianciách je kľúčové pre riešenie úniku mozgov a prilákanie medzinárodných talentov, pričom zároveň neoceniteľným spôsobom prispieva k európskej jednote a integrácii;</w:t>
      </w:r>
    </w:p>
    <w:p w14:paraId="16ECCAA0" w14:textId="77777777" w:rsidR="00182896" w:rsidRPr="0071278A" w:rsidRDefault="00182896" w:rsidP="00182896">
      <w:pPr>
        <w:pStyle w:val="NormalHanging12a"/>
      </w:pPr>
      <w:r w:rsidRPr="0071278A">
        <w:t>5.</w:t>
      </w:r>
      <w:r w:rsidRPr="0071278A">
        <w:tab/>
        <w:t xml:space="preserve">víta začlenenie študentov do riadiacich štruktúr aliancií, čo mladým ľuďom umožňuje mať podstatný a skutočný vplyv na ich rozvoj, keďže účasť mládeže na demokratických rozhodovacích procesoch prispieva k tomu, aby sa aliancie viac orientovali na budúcnosť, a rieši praktické výzvy, ktorým čelia študenti; zdôrazňuje, že je dôležité zosúladiť zapojenie študentov so študentskými organizáciami s cieľom zabezpečiť transparentnosť, spravodlivosť a </w:t>
      </w:r>
      <w:proofErr w:type="spellStart"/>
      <w:r w:rsidRPr="0071278A">
        <w:t>inkluzívnosť</w:t>
      </w:r>
      <w:proofErr w:type="spellEnd"/>
      <w:r w:rsidRPr="0071278A">
        <w:t xml:space="preserve"> pri zapojení zainteresovaných strán;</w:t>
      </w:r>
    </w:p>
    <w:p w14:paraId="15262B54" w14:textId="77777777" w:rsidR="00182896" w:rsidRPr="0071278A" w:rsidRDefault="00182896" w:rsidP="00182896">
      <w:pPr>
        <w:pStyle w:val="NormalHanging12a"/>
      </w:pPr>
      <w:r w:rsidRPr="0071278A">
        <w:t>6.</w:t>
      </w:r>
      <w:r w:rsidRPr="0071278A">
        <w:tab/>
        <w:t>zdôrazňuje skutočnosť, že aliancie majú potenciál a odborné znalosti na pomoc univerzitám pri riešení sociálno-ekonomických výziev; zdôrazňuje význam začlenenia spoločenského vplyvu ako prierezového prvku do činností aliancií; požaduje jasné stratégie na zabezpečenie a monitorovanie prístupnosti a začleňovania ľudí s nedostatkom príležitostí</w:t>
      </w:r>
      <w:r w:rsidRPr="0071278A">
        <w:rPr>
          <w:rStyle w:val="FootnoteReference"/>
        </w:rPr>
        <w:footnoteReference w:id="11"/>
      </w:r>
      <w:r w:rsidRPr="0071278A">
        <w:t xml:space="preserve"> do všetkých činností aliancií, najmä odstránením prekážok mobility a predchádzaním všetkým formám diskriminácie v súlade s Chartou Erasmus pre vysokoškolské vzdelávanie;</w:t>
      </w:r>
    </w:p>
    <w:p w14:paraId="7458E8C4" w14:textId="77777777" w:rsidR="00182896" w:rsidRPr="0071278A" w:rsidRDefault="00182896" w:rsidP="00182896">
      <w:pPr>
        <w:pStyle w:val="NormalHanging12a"/>
      </w:pPr>
      <w:r w:rsidRPr="0071278A">
        <w:t>7.</w:t>
      </w:r>
      <w:r w:rsidRPr="0071278A">
        <w:tab/>
        <w:t>víta pilotné projekty zamerané na vytvorenie európskeho diplomu a/alebo právneho postavenia; zdôrazňuje však, že aliancie by nemali slúžiť ako jediný nástroj inovácie vo vysokoškolskom vzdelávaní; konštatuje, že aliancie by mali mať slobodu špecializovať sa a byť vo svojich počinoch flexibilné;</w:t>
      </w:r>
    </w:p>
    <w:p w14:paraId="11E68A56" w14:textId="77777777" w:rsidR="00182896" w:rsidRPr="0071278A" w:rsidRDefault="00182896" w:rsidP="00182896">
      <w:pPr>
        <w:pStyle w:val="NormalHanging12a"/>
      </w:pPr>
      <w:r w:rsidRPr="0071278A">
        <w:t>8.</w:t>
      </w:r>
      <w:r w:rsidRPr="0071278A">
        <w:tab/>
        <w:t>víta výsledky šiestich experimentálnych projektov v oblasti politiky programu Erasmus+ týkajúcich sa európskeho diplomu a značky Európsky diplom, ktoré uskutočnilo 21 aliancií</w:t>
      </w:r>
      <w:r w:rsidRPr="0071278A">
        <w:rPr>
          <w:rStyle w:val="FootnoteReference"/>
        </w:rPr>
        <w:footnoteReference w:id="12"/>
      </w:r>
      <w:r w:rsidRPr="0071278A">
        <w:t>; uznáva jasnú pridanú hodnotu spoločného rámca pre európske diplomy založeného na európskych kritériách ako kroku smerom k uznávaniu titulov a diplomov na úrovni EÚ; uznáva, že takéto uznávanie na úrovni EÚ by zvýšilo mobilitu a kvalitu vzdelávania, posilnilo rámec spolupráce a podporilo širšie zapojenie do nadnárodných akademických programov, ako aj posilnilo globálnu viditeľnosť a konkurencieschopnosť európskeho vysokoškolského vzdelávania;</w:t>
      </w:r>
    </w:p>
    <w:p w14:paraId="5455C4B5" w14:textId="77777777" w:rsidR="00182896" w:rsidRPr="0071278A" w:rsidRDefault="00182896" w:rsidP="00182896">
      <w:pPr>
        <w:pStyle w:val="NormalHanging12a"/>
      </w:pPr>
      <w:r w:rsidRPr="0071278A">
        <w:t>9.</w:t>
      </w:r>
      <w:r w:rsidRPr="0071278A">
        <w:tab/>
        <w:t>konštatuje, že značka Európsky diplom by mala byť dostupná pre všetky ostatné spoločné univerzitné programy a mala by dopĺňať vnútroštátne kvalifikačné rámce, ktoré by sa mali v prípade potreby upraviť bez toho, aby sa vytvárala dodatočná administratívna záťaž;</w:t>
      </w:r>
    </w:p>
    <w:p w14:paraId="796827D2" w14:textId="77777777" w:rsidR="00182896" w:rsidRPr="0071278A" w:rsidRDefault="00182896" w:rsidP="00182896">
      <w:pPr>
        <w:pStyle w:val="NormalHanging12a"/>
      </w:pPr>
      <w:r w:rsidRPr="0071278A">
        <w:t>10.</w:t>
      </w:r>
      <w:r w:rsidRPr="0071278A">
        <w:tab/>
        <w:t>je pevne presvedčený o potenciáli aliancií posilniť európsky priestor vysokoškolského vzdelávania a pripraviť tak cestu pre jednotný priestor akreditácie na úrovni EÚ;; domnieva sa, že je to nevyhnutný krok pre našu európsku autonómiu, keďže mnohé európske inštitúcie vysokoškolského vzdelávania, napríklad tie, ktoré vydávajú tituly MBA, sa stále spoliehajú na americké akreditačné agentúry;</w:t>
      </w:r>
    </w:p>
    <w:p w14:paraId="2BCC9BDA" w14:textId="77777777" w:rsidR="00182896" w:rsidRPr="0071278A" w:rsidRDefault="00182896" w:rsidP="00182896">
      <w:pPr>
        <w:pStyle w:val="NormalHanging12a"/>
      </w:pPr>
      <w:r w:rsidRPr="0071278A">
        <w:lastRenderedPageBreak/>
        <w:t>11.</w:t>
      </w:r>
      <w:r w:rsidRPr="0071278A">
        <w:tab/>
        <w:t>víta výrazný nárast počtu projektov mobility zahŕňajúcich študentov, účastníkov celoživotného vzdelávania a výskumníkov, ako aj akademických a neakademických pracovníkov na univerzitách, ktoré sa zúčastňujú na alianciách, v porovnaní s inými projektmi mobility v rámci programu Erasmus+;</w:t>
      </w:r>
    </w:p>
    <w:p w14:paraId="6383B7B6" w14:textId="77777777" w:rsidR="00182896" w:rsidRPr="0071278A" w:rsidRDefault="00182896" w:rsidP="00182896">
      <w:pPr>
        <w:pStyle w:val="NormalHanging12a"/>
      </w:pPr>
      <w:r w:rsidRPr="0071278A">
        <w:t>12.</w:t>
      </w:r>
      <w:r w:rsidRPr="0071278A">
        <w:tab/>
        <w:t>konštatuje však, že pôvodný cieľ dosiahnuť bezproblémovú mobilitu pre 50 % študentov v zúčastnených alianciách sa ešte nedosiahol a bez vhodných mechanizmov financovania zostane dosiahnutie tohto cieľa aj naďalej náročnou úlohou; v tejto súvislosti vyjadruje znepokojenie nad potenciálnou konkurenciou medzi programami mobility aliancií a všeobecnou mobilitou univerzít v rámci programu Erasmus+, ktoré majú rovnaké obmedzené finančné prostriedky, keďže ciele mobility pre aliancie sú vyššie ako ciele všeobecnej mobility v rámci programu Erasmus+; vyzýva preto Komisiu, aby posúdila tieto požiadavky;</w:t>
      </w:r>
    </w:p>
    <w:p w14:paraId="4F2B9FD3" w14:textId="77777777" w:rsidR="00182896" w:rsidRPr="0071278A" w:rsidRDefault="00182896" w:rsidP="00182896">
      <w:pPr>
        <w:pStyle w:val="NormalHanging12a"/>
      </w:pPr>
      <w:r w:rsidRPr="0071278A">
        <w:t>13.</w:t>
      </w:r>
      <w:r w:rsidRPr="0071278A">
        <w:tab/>
        <w:t>vyjadruje hlboké znepokojenie nad súčasným ohrozovaním akademickej slobody vo viacerých častiach sveta vrátane niektorých členských štátov a krajín mimo EÚ, ktoré sa zúčastňujú programu Erasmus+;</w:t>
      </w:r>
    </w:p>
    <w:p w14:paraId="579F5245" w14:textId="77777777" w:rsidR="00182896" w:rsidRPr="0071278A" w:rsidRDefault="00182896" w:rsidP="00182896">
      <w:pPr>
        <w:pStyle w:val="NormalHanging12a"/>
      </w:pPr>
      <w:r w:rsidRPr="0071278A">
        <w:t>14.</w:t>
      </w:r>
      <w:r w:rsidRPr="0071278A">
        <w:tab/>
        <w:t>zdôrazňuje, že je potrebné, aby aliancie presadzovali hodnoty EÚ, demokratickú odolnosť a inštitucionálnu autonómiu a podporovali aktívne občianstvo; zdôrazňuje ich úlohu ako mnohostranných a multikultúrnych vzdelávacích priestorov;</w:t>
      </w:r>
    </w:p>
    <w:p w14:paraId="1623FB22" w14:textId="77777777" w:rsidR="00182896" w:rsidRPr="0071278A" w:rsidRDefault="00182896" w:rsidP="00182896">
      <w:pPr>
        <w:pStyle w:val="NormalHanging12a"/>
      </w:pPr>
      <w:r w:rsidRPr="0071278A">
        <w:t>15.</w:t>
      </w:r>
      <w:r w:rsidRPr="0071278A">
        <w:tab/>
        <w:t>víta iniciatívy založené na hodnotách, ako je spolupráca v oblasti solidarity s Ukrajinou, globálny dosah aliancií a úloha aliancií pri príprave kandidátskych krajín z východného susedstva a západného Balkánu na pristúpenie;</w:t>
      </w:r>
    </w:p>
    <w:p w14:paraId="7D660790" w14:textId="77777777" w:rsidR="00182896" w:rsidRPr="0071278A" w:rsidRDefault="00182896" w:rsidP="00182896">
      <w:pPr>
        <w:pStyle w:val="NormalHanging12a"/>
      </w:pPr>
      <w:r w:rsidRPr="0071278A">
        <w:t>16.</w:t>
      </w:r>
      <w:r w:rsidRPr="0071278A">
        <w:tab/>
        <w:t xml:space="preserve">víta iniciatívu Únia zručností, a najmä pripravovaný návrh budúceho investičného plánu a jasného právneho postavenia aliancií, keďže to univerzitám uľahčí iniciovať a viesť európske projekty, združovať zdroje, posilňovať svoju autonómiu, znižovať administratívnu záťaž, priťahovať financovanie a rozširovať svoju riadiacu štruktúru, najmä v prípade univerzít z krajín mimo EÚ, a uľahčí aj </w:t>
      </w:r>
      <w:proofErr w:type="spellStart"/>
      <w:r w:rsidRPr="0071278A">
        <w:t>inštitucionalizáciu</w:t>
      </w:r>
      <w:proofErr w:type="spellEnd"/>
      <w:r w:rsidRPr="0071278A">
        <w:t xml:space="preserve"> cezhraničnej spolupráce;</w:t>
      </w:r>
    </w:p>
    <w:p w14:paraId="4E3D12B4" w14:textId="77777777" w:rsidR="00182896" w:rsidRPr="0071278A" w:rsidRDefault="00182896" w:rsidP="00182896">
      <w:pPr>
        <w:pStyle w:val="NormalHanging12a"/>
      </w:pPr>
      <w:r w:rsidRPr="0071278A">
        <w:t>17.</w:t>
      </w:r>
      <w:r w:rsidRPr="0071278A">
        <w:tab/>
        <w:t>zdôrazňuje kľúčovú úlohu, ktorú zohrávajú univerzity vrátane aliancií pri ochrane a podpore vedy založenej na dôkazoch, budovaní dôvery v demokratickú diskusiu, posilňovaní spolupráce založenej na hodnotách EÚ a zatraktívnení samých seba a európskeho sektora vysokoškolského vzdelávania pre študentov, akademických pracovníkov a výskumných pracovníkov z krajín mimo EÚ;</w:t>
      </w:r>
    </w:p>
    <w:p w14:paraId="180352BE" w14:textId="77777777" w:rsidR="00182896" w:rsidRPr="0071278A" w:rsidRDefault="00182896" w:rsidP="00182896">
      <w:pPr>
        <w:pStyle w:val="NormalHanging12a"/>
      </w:pPr>
      <w:r w:rsidRPr="0071278A">
        <w:t>18.</w:t>
      </w:r>
      <w:r w:rsidRPr="0071278A">
        <w:tab/>
        <w:t>víta vytvorenie projektu FOREU4ALL – komunity na výmenu postupov pre aliancie európskych univerzít; zdôrazňuje jeho kľúčovú úlohu pri šírení inovácií od aliancií k širšej akademickej obci, keďže by sa nemalo zabudnúť na univerzity a inštitúcie vysokoškolského vzdelávania, ktoré nie sú súčasťou aliancií; pripomína, že politiky a iniciatívy by mali byť prospešné pre celý systém vysokoškolského vzdelávania;</w:t>
      </w:r>
    </w:p>
    <w:p w14:paraId="528A0436" w14:textId="77777777" w:rsidR="00182896" w:rsidRPr="0071278A" w:rsidRDefault="00182896" w:rsidP="00182896">
      <w:pPr>
        <w:pStyle w:val="NormalHanging12a"/>
      </w:pPr>
      <w:r w:rsidRPr="0071278A">
        <w:t>19.</w:t>
      </w:r>
      <w:r w:rsidRPr="0071278A">
        <w:tab/>
        <w:t>uznáva dôležitú úlohu ďalších sietí v sektore vysokoškolského vzdelávania, ktoré spájajú širšie spektrum európskych univerzít bez ohľadu na ich účasť v aliancii; zdôrazňuje komplementárny charakter týchto sietí vo vzťahu k alianciám a ich potenciál pri príprave legislatívnych zmien na vnútroštátnej úrovni;</w:t>
      </w:r>
    </w:p>
    <w:p w14:paraId="13D06682" w14:textId="77777777" w:rsidR="00182896" w:rsidRPr="0071278A" w:rsidRDefault="00182896" w:rsidP="00182896">
      <w:pPr>
        <w:pStyle w:val="NormalHanging12a"/>
      </w:pPr>
      <w:r w:rsidRPr="0071278A">
        <w:lastRenderedPageBreak/>
        <w:t>20.</w:t>
      </w:r>
      <w:r w:rsidRPr="0071278A">
        <w:tab/>
        <w:t>zdôrazňuje, že poslanie univerzít zahŕňa všetky štyri aspekty vedomostného štvorca: vzdelávanie, výskum, inovácie a službu spoločnosti; zdôrazňuje, že aliancie musia byť úzko prepojené s trhom práce s cieľom riešiť nedostatok požadovaných zručností a výzvy v oblasti konkurencieschopnosti v Európe;</w:t>
      </w:r>
    </w:p>
    <w:p w14:paraId="3CF9495E" w14:textId="77777777" w:rsidR="00182896" w:rsidRPr="0071278A" w:rsidRDefault="00182896" w:rsidP="00182896">
      <w:pPr>
        <w:pStyle w:val="NormalHanging12a"/>
      </w:pPr>
      <w:r w:rsidRPr="0071278A">
        <w:t>21.</w:t>
      </w:r>
      <w:r w:rsidRPr="0071278A">
        <w:tab/>
        <w:t>je obzvlášť znepokojený nedostatkom pilierov výskumu a inovácie v rámci aliancií vzhľadom na súčasný rámec, keďže to oslabuje plný potenciál spolupráce medzi univerzitami v rámci aliancií;</w:t>
      </w:r>
    </w:p>
    <w:p w14:paraId="42806135" w14:textId="77777777" w:rsidR="00182896" w:rsidRPr="0071278A" w:rsidRDefault="00182896" w:rsidP="00182896">
      <w:pPr>
        <w:pStyle w:val="Normal12a24b"/>
        <w:rPr>
          <w:i/>
          <w:iCs/>
        </w:rPr>
      </w:pPr>
      <w:r w:rsidRPr="0071278A">
        <w:rPr>
          <w:rStyle w:val="Bold"/>
          <w:i/>
          <w:iCs/>
        </w:rPr>
        <w:t>Odporúčania</w:t>
      </w:r>
    </w:p>
    <w:p w14:paraId="521E01B9" w14:textId="77777777" w:rsidR="00182896" w:rsidRPr="0071278A" w:rsidRDefault="00182896" w:rsidP="00182896">
      <w:pPr>
        <w:pStyle w:val="NormalHanging12a"/>
      </w:pPr>
      <w:r w:rsidRPr="0071278A">
        <w:t>22.</w:t>
      </w:r>
      <w:r w:rsidRPr="0071278A">
        <w:tab/>
        <w:t xml:space="preserve">nabáda aliancie, aby prehĺbili prepojenie medzi vzdelávaním a výskumom; zdôrazňuje významnú schopnosť aliancií budovať cezhraničné siete </w:t>
      </w:r>
      <w:proofErr w:type="spellStart"/>
      <w:r w:rsidRPr="0071278A">
        <w:t>excelentnosti</w:t>
      </w:r>
      <w:proofErr w:type="spellEnd"/>
      <w:r w:rsidRPr="0071278A">
        <w:t xml:space="preserve"> pre výskumných pracovníkov a vymieňať si a šíriť vedomosti na úrovni EÚ aj mimo nej, najmä v oblasti STEM (veda, technológia, inžinierstvo a matematika), vrátane strategických oblastí pre EÚ;</w:t>
      </w:r>
    </w:p>
    <w:p w14:paraId="6434FD62" w14:textId="77777777" w:rsidR="00182896" w:rsidRPr="0071278A" w:rsidRDefault="00182896" w:rsidP="00182896">
      <w:pPr>
        <w:pStyle w:val="NormalHanging12a"/>
      </w:pPr>
      <w:r w:rsidRPr="0071278A">
        <w:t>23.</w:t>
      </w:r>
      <w:r w:rsidRPr="0071278A">
        <w:tab/>
        <w:t>zdôrazňuje, že strategická vízia pre aliancie univerzít sa musí zohľadniť v budúcom viacročnom finančnom rámci, aby sa maximalizoval ich potenciál a vplyv; žiada Komisiu, aby vyhodnotila každú alianciu s cieľom poskytnúť podporu a prispôsobené riešenia, pokiaľ ide o ich budúci rozvoj;</w:t>
      </w:r>
    </w:p>
    <w:p w14:paraId="5FE97702" w14:textId="77777777" w:rsidR="00182896" w:rsidRPr="0071278A" w:rsidRDefault="00182896" w:rsidP="00182896">
      <w:pPr>
        <w:pStyle w:val="NormalHanging12a"/>
      </w:pPr>
      <w:r w:rsidRPr="0071278A">
        <w:t>24.</w:t>
      </w:r>
      <w:r w:rsidRPr="0071278A">
        <w:tab/>
        <w:t>žiada Komisiu, členské štáty a aliancie, aby prešli od tzv. logiky založenej na projektoch k dlhodobej transformačnej spolupráci zavedením prístupu k financovaniu, ktorý tento prechod umožní; zdôrazňuje, že je dôležité, aby aliancie mohli rásť; zdôrazňuje, že je potrebné stanoviť skôr kvalitatívne než kvantitatívne ciele s dôrazom na transformačný vplyv na európsky vzdelávací priestor;</w:t>
      </w:r>
    </w:p>
    <w:p w14:paraId="1A8782D6" w14:textId="77777777" w:rsidR="00182896" w:rsidRPr="0071278A" w:rsidRDefault="00182896" w:rsidP="00182896">
      <w:pPr>
        <w:pStyle w:val="NormalHanging12a"/>
      </w:pPr>
      <w:r w:rsidRPr="0071278A">
        <w:t>25.</w:t>
      </w:r>
      <w:r w:rsidRPr="0071278A">
        <w:tab/>
        <w:t>zdôrazňuje potrebu koordinovaného, udržateľného a predvídateľného financovania pre súčasné aliancie; žiada Komisiu, aby zvážila vyhradenie budúcich výziev na pokračovanie úspešných aliancií, čím im umožní prehĺbiť integráciu a nadviazať na doterajšie úspechy; žiada Komisiu, aby zachovávala čo najjednoduchší postup podávania žiadostí a správ; podporuje zrýchlený postup obnovy úspešných aliancií s cieľom zabezpečiť pokračovanie financovania bez nadmernej administratívnej záťaže;</w:t>
      </w:r>
    </w:p>
    <w:p w14:paraId="5BB30FED" w14:textId="77777777" w:rsidR="00182896" w:rsidRPr="0071278A" w:rsidRDefault="00182896" w:rsidP="00182896">
      <w:pPr>
        <w:pStyle w:val="NormalHanging12a"/>
      </w:pPr>
      <w:r w:rsidRPr="0071278A">
        <w:t>26.</w:t>
      </w:r>
      <w:r w:rsidRPr="0071278A">
        <w:tab/>
        <w:t>uznáva význam iniciatívy Európske univerzity, ktorá naďalej zostáva súčasťou programu Erasmus+, s prihliadnutím na súčasný rámec; zároveň vyzýva Komisiu, aby preskúmala realizáciu vytvorenia riešenia prispôsobeného na mieru na financovanie aliancií európskych univerzít vo viacročnom finančnom rámci na obdobie po roku 2027, s možnosťou vytvorenia samostatného programu s cieľom umožniť alianciám strategicky plánovať, zapájať sa do dlhodobých iniciatív a nadviazať trvalú spoluprácu;</w:t>
      </w:r>
    </w:p>
    <w:p w14:paraId="7F76DC2C" w14:textId="68B9A713" w:rsidR="00182896" w:rsidRPr="0071278A" w:rsidRDefault="00182896" w:rsidP="00182896">
      <w:pPr>
        <w:pStyle w:val="NormalHanging12a"/>
      </w:pPr>
      <w:r w:rsidRPr="0071278A">
        <w:t>27.</w:t>
      </w:r>
      <w:r w:rsidRPr="0071278A">
        <w:tab/>
        <w:t xml:space="preserve">vyzýva členské štáty, aby sa zaviazali k spolufinancovaniu aliancií prostredníctvom vnútroštátnych rozpočtov, a žiada Komisiu, aby predložila komplexnú investičnú stratégiu pre aliancie, ktorá im umožní plniť ich štvornásobné poslanie; konštatuje, že táto stratégia by mala zahŕňať synergie s programami EÚ, ako sú Horizont Európa, </w:t>
      </w:r>
      <w:r w:rsidR="002D29AE" w:rsidRPr="002D29AE">
        <w:t>Európsky fond pre konkurencieschopnosť</w:t>
      </w:r>
      <w:r w:rsidRPr="0071278A">
        <w:t>, Európsky sociálny fond plus a Európsky fond regionálneho rozvoja, s cieľom optimalizovať zdroje, zabrániť duplicite, posilniť interakciu a spoluprácu a zachovať ich konkurencieschopnosť;</w:t>
      </w:r>
    </w:p>
    <w:p w14:paraId="0DE98577" w14:textId="77777777" w:rsidR="00182896" w:rsidRPr="0071278A" w:rsidRDefault="00182896" w:rsidP="00182896">
      <w:pPr>
        <w:pStyle w:val="NormalHanging12a"/>
      </w:pPr>
      <w:r w:rsidRPr="0071278A">
        <w:lastRenderedPageBreak/>
        <w:t>28.</w:t>
      </w:r>
      <w:r w:rsidRPr="0071278A">
        <w:tab/>
        <w:t xml:space="preserve">zdôrazňuje, že na dosiahnutie skutočného a udržateľného úspechu zahŕňajúceho kvalitu, </w:t>
      </w:r>
      <w:proofErr w:type="spellStart"/>
      <w:r w:rsidRPr="0071278A">
        <w:t>excelentnosť</w:t>
      </w:r>
      <w:proofErr w:type="spellEnd"/>
      <w:r w:rsidRPr="0071278A">
        <w:t xml:space="preserve"> a </w:t>
      </w:r>
      <w:proofErr w:type="spellStart"/>
      <w:r w:rsidRPr="0071278A">
        <w:t>inkluzívnosť</w:t>
      </w:r>
      <w:proofErr w:type="spellEnd"/>
      <w:r w:rsidRPr="0071278A">
        <w:t xml:space="preserve"> nemôže podpora aliancií pochádzať len z rozpočtu EÚ, ale mala by pochádzať aj z koordinovaných príspevkov z vnútroštátnych, regionálnych, miestnych a súkromných zdrojov, za predpokladu, že môžu zaručiť autonómiu inštitúcií vysokoškolského vzdelávania a chrániť akademickú slobodu;</w:t>
      </w:r>
    </w:p>
    <w:p w14:paraId="52B1D4E9" w14:textId="77777777" w:rsidR="00182896" w:rsidRPr="0071278A" w:rsidRDefault="00182896" w:rsidP="00182896">
      <w:pPr>
        <w:pStyle w:val="NormalHanging12a"/>
      </w:pPr>
      <w:r w:rsidRPr="0071278A">
        <w:t>29.</w:t>
      </w:r>
      <w:r w:rsidRPr="0071278A">
        <w:tab/>
        <w:t>zdôrazňuje, že užšia integrácia aliancií so súkromným sektorom môže byť vzájomne prospešná; podporuje partnerstvá a štruktúrovanú spoluprácu medzi univerzitami a podnikmi s cieľom vytvoriť integrované systémy, ktoré podporujú inovácie a technickú a odbornú prípravu na vysokej úrovni a uľahčujú prechod študentov na trh práce, ako aj rekvalifikáciu a zvyšovanie úrovne zručností ľudí mimo vysokoškolského vzdelávania;</w:t>
      </w:r>
    </w:p>
    <w:p w14:paraId="0B41CEB5" w14:textId="77777777" w:rsidR="00182896" w:rsidRPr="0071278A" w:rsidRDefault="00182896" w:rsidP="00182896">
      <w:pPr>
        <w:pStyle w:val="NormalHanging12a"/>
      </w:pPr>
      <w:r w:rsidRPr="0071278A">
        <w:t>30.</w:t>
      </w:r>
      <w:r w:rsidRPr="0071278A">
        <w:tab/>
        <w:t xml:space="preserve">zdôrazňuje potrebu posilniť internacionalizáciu aliancií, okrem iného v súlade so stratégiou </w:t>
      </w:r>
      <w:proofErr w:type="spellStart"/>
      <w:r w:rsidRPr="0071278A">
        <w:t>Global</w:t>
      </w:r>
      <w:proofErr w:type="spellEnd"/>
      <w:r w:rsidRPr="0071278A">
        <w:t xml:space="preserve"> </w:t>
      </w:r>
      <w:proofErr w:type="spellStart"/>
      <w:r w:rsidRPr="0071278A">
        <w:t>Gateway</w:t>
      </w:r>
      <w:proofErr w:type="spellEnd"/>
      <w:r w:rsidRPr="0071278A">
        <w:t xml:space="preserve"> a partnerstvami zameranými na talenty; konštatuje, že aliancie sú na správnej úrovni, pokiaľ ide o vytváranie partnerstiev s krajinami mimo EÚ, najmä s kandidátskymi krajinami, a môžu posilniť medzinárodný rozmer programu Erasmus+, napríklad prostredníctvom programu Erasmus </w:t>
      </w:r>
      <w:proofErr w:type="spellStart"/>
      <w:r w:rsidRPr="0071278A">
        <w:t>Mundus</w:t>
      </w:r>
      <w:proofErr w:type="spellEnd"/>
      <w:r w:rsidRPr="0071278A">
        <w:t>; žiada Komisiu a aliancie, aby zabezpečili, že všetci zúčastnení partneri budú dodržiavať hodnoty EÚ a zásadu akademickej slobody a budú dodržiavať Chartu Erasmus pre vysokoškolské vzdelávanie;</w:t>
      </w:r>
    </w:p>
    <w:p w14:paraId="76A3A3FB" w14:textId="77777777" w:rsidR="00182896" w:rsidRPr="0071278A" w:rsidRDefault="00182896" w:rsidP="00182896">
      <w:pPr>
        <w:pStyle w:val="NormalHanging12a"/>
      </w:pPr>
      <w:r w:rsidRPr="0071278A">
        <w:t>31.</w:t>
      </w:r>
      <w:r w:rsidRPr="0071278A">
        <w:tab/>
        <w:t xml:space="preserve">konštatuje, že aliancie testujú inovatívne spôsoby výučby a získavania poznatkov, ako sú európske študijné dráhy, </w:t>
      </w:r>
      <w:proofErr w:type="spellStart"/>
      <w:r w:rsidRPr="0071278A">
        <w:t>mikrocertifikáty</w:t>
      </w:r>
      <w:proofErr w:type="spellEnd"/>
      <w:r w:rsidRPr="0071278A">
        <w:t>, mobilita v rámci kombinovaného vzdelávania a automatické uznávanie kvalifikácií; zdôrazňuje potrebu investovať do bezpečnej digitálnej infraštruktúry a posilniť existujúce iniciatívy, ako je európska študentská karta;</w:t>
      </w:r>
    </w:p>
    <w:p w14:paraId="7ED6D728" w14:textId="77777777" w:rsidR="00182896" w:rsidRPr="0071278A" w:rsidRDefault="00182896" w:rsidP="00182896">
      <w:pPr>
        <w:pStyle w:val="NormalHanging12a"/>
      </w:pPr>
      <w:r w:rsidRPr="0071278A">
        <w:t>32.</w:t>
      </w:r>
      <w:r w:rsidRPr="0071278A">
        <w:tab/>
        <w:t xml:space="preserve">zdôrazňuje, že treba upevniť </w:t>
      </w:r>
      <w:proofErr w:type="spellStart"/>
      <w:r w:rsidRPr="0071278A">
        <w:t>interoperabilitu</w:t>
      </w:r>
      <w:proofErr w:type="spellEnd"/>
      <w:r w:rsidRPr="0071278A">
        <w:t xml:space="preserve"> počítačových systémov a zosúladiť európske a vnútroštátne politiky s cieľom vytvoriť skutočné virtuálne európske medziuniverzitné kampusy; nabáda na intenzívnejšiu spoluprácu medzi alianciami s cieľom umožniť bezpečnú a </w:t>
      </w:r>
      <w:proofErr w:type="spellStart"/>
      <w:r w:rsidRPr="0071278A">
        <w:t>interoperabilnú</w:t>
      </w:r>
      <w:proofErr w:type="spellEnd"/>
      <w:r w:rsidRPr="0071278A">
        <w:t xml:space="preserve"> identifikáciu študentov, registráciu kurzov a výmenu akademických záznamov, ako aj investície do integrácie nových vzdelávacích technológií;</w:t>
      </w:r>
    </w:p>
    <w:p w14:paraId="130906DB" w14:textId="77777777" w:rsidR="00182896" w:rsidRPr="0071278A" w:rsidRDefault="00182896" w:rsidP="00182896">
      <w:pPr>
        <w:pStyle w:val="NormalHanging12a"/>
      </w:pPr>
      <w:r w:rsidRPr="0071278A">
        <w:t>33.</w:t>
      </w:r>
      <w:r w:rsidRPr="0071278A">
        <w:tab/>
        <w:t xml:space="preserve">zdôrazňuje, že je potrebné rozšíriť využívanie </w:t>
      </w:r>
      <w:proofErr w:type="spellStart"/>
      <w:r w:rsidRPr="0071278A">
        <w:t>mikrocertifikátov</w:t>
      </w:r>
      <w:proofErr w:type="spellEnd"/>
      <w:r w:rsidRPr="0071278A">
        <w:t xml:space="preserve"> na základe najlepších postupov s cieľom integrovať aliancie do širšieho vzdelávacieho prostredia a prepojiť ich činnosť s inými inštitúciami neformálneho vzdelávania; konštatuje, že odborná príprava a zvyšovanie úrovne zručností uznávané prostredníctvom </w:t>
      </w:r>
      <w:proofErr w:type="spellStart"/>
      <w:r w:rsidRPr="0071278A">
        <w:t>mikrocertifikátov</w:t>
      </w:r>
      <w:proofErr w:type="spellEnd"/>
      <w:r w:rsidRPr="0071278A">
        <w:t xml:space="preserve"> môžu uľahčiť flexibilnú revíziu, rozšírenie a modernizáciu univerzitných titulov;</w:t>
      </w:r>
    </w:p>
    <w:p w14:paraId="5C58B3A2" w14:textId="77777777" w:rsidR="00182896" w:rsidRPr="0071278A" w:rsidRDefault="00182896" w:rsidP="00182896">
      <w:pPr>
        <w:pStyle w:val="NormalHanging12a"/>
      </w:pPr>
      <w:r w:rsidRPr="0071278A">
        <w:t>34.</w:t>
      </w:r>
      <w:r w:rsidRPr="0071278A">
        <w:tab/>
        <w:t xml:space="preserve">žiada Komisiu, aby zvážila doplnenie kritérií do možných budúcich výziev v súlade s témami súvisiacimi s európskou strategickou autonómiou a konkurencieschopnosťou, ako sú odolnosť, energetika, zmena klímy, digitálna transformácia a digitálne zručnosti a obrana, pričom by sa mali zohľadniť základné ciele dodržiavania hodnôt EÚ, </w:t>
      </w:r>
      <w:proofErr w:type="spellStart"/>
      <w:r w:rsidRPr="0071278A">
        <w:t>excelentnosti</w:t>
      </w:r>
      <w:proofErr w:type="spellEnd"/>
      <w:r w:rsidRPr="0071278A">
        <w:t xml:space="preserve"> vzdelávania a inovácie;</w:t>
      </w:r>
    </w:p>
    <w:p w14:paraId="51F030E8" w14:textId="77777777" w:rsidR="00182896" w:rsidRPr="0071278A" w:rsidRDefault="00182896" w:rsidP="00182896">
      <w:pPr>
        <w:pStyle w:val="NormalHanging12a"/>
      </w:pPr>
      <w:r w:rsidRPr="0071278A">
        <w:t>35.</w:t>
      </w:r>
      <w:r w:rsidRPr="0071278A">
        <w:tab/>
        <w:t xml:space="preserve">zdôrazňuje, že aliancie musia mať vhodné štruktúry a kapacity na podporu transferu z akademickej sféry do podnikateľského sektora, s cieľom prispieť k realizácii ambícií EÚ v oblasti strategickej autonómie; vyzýva Komisiu, aby odstránila prekážky, ktoré bránia účinnému spoločnému využívaniu a združovaniu spoločných zdrojov a poznatkov, a to prostredníctvom opatrení, ako je uľahčenie spoločného náboru </w:t>
      </w:r>
      <w:r w:rsidRPr="0071278A">
        <w:lastRenderedPageBreak/>
        <w:t>akademických pracovníkov a výskumných pracovníkov, ako aj rozvoj a využívanie spoločných zariadení;</w:t>
      </w:r>
    </w:p>
    <w:p w14:paraId="06911312" w14:textId="77777777" w:rsidR="00182896" w:rsidRPr="0071278A" w:rsidRDefault="00182896" w:rsidP="00182896">
      <w:pPr>
        <w:pStyle w:val="NormalHanging12a"/>
      </w:pPr>
      <w:r w:rsidRPr="0071278A">
        <w:t>36.</w:t>
      </w:r>
      <w:r w:rsidRPr="0071278A">
        <w:tab/>
        <w:t>zdôrazňuje potrebu účinného a dostupného zvyšovania informovanosti a informačných kampaní o alianciách európskych univerzít s cieľom podporiť väčšiu angažovanosť, najmä na miestnej úrovni a medzi študentmi, keďže táto iniciatíva je v súčasnosti veľmi málo známa;</w:t>
      </w:r>
    </w:p>
    <w:p w14:paraId="06954467" w14:textId="77777777" w:rsidR="00182896" w:rsidRPr="0071278A" w:rsidRDefault="00182896" w:rsidP="00182896">
      <w:pPr>
        <w:pStyle w:val="NormalHanging12a"/>
      </w:pPr>
      <w:r w:rsidRPr="0071278A">
        <w:t>37.</w:t>
      </w:r>
      <w:r w:rsidRPr="0071278A">
        <w:tab/>
        <w:t>vyzýva maďarskú vládu, aby dodržiavala zásady právneho štátu a rešpektovala hodnoty EÚ a aby zaviedla nevyhnutné reformy, aby maďarskí študenti, učitelia a výskumní pracovníci z univerzít financovaných z verejných zdrojov mohli využívať program Erasmus+, vrátane aliancií v rámci iniciatívy Európske univerzity;</w:t>
      </w:r>
    </w:p>
    <w:p w14:paraId="67F89AED" w14:textId="475C53D5" w:rsidR="00C10192" w:rsidRPr="0071278A" w:rsidRDefault="00C10192" w:rsidP="00C10192">
      <w:pPr>
        <w:pStyle w:val="NormalHanging12a"/>
        <w:ind w:left="0" w:firstLine="0"/>
        <w:jc w:val="center"/>
      </w:pPr>
      <w:r w:rsidRPr="0071278A">
        <w:t>°</w:t>
      </w:r>
    </w:p>
    <w:p w14:paraId="3EB102A0" w14:textId="27BE95D5" w:rsidR="00C10192" w:rsidRPr="0071278A" w:rsidRDefault="00C10192" w:rsidP="00C10192">
      <w:pPr>
        <w:pStyle w:val="NormalHanging12a"/>
        <w:ind w:left="0" w:firstLine="0"/>
        <w:jc w:val="center"/>
      </w:pPr>
      <w:r w:rsidRPr="0071278A">
        <w:t>°     °</w:t>
      </w:r>
    </w:p>
    <w:p w14:paraId="48D801F5" w14:textId="2640411F" w:rsidR="00E365E1" w:rsidRPr="0071278A" w:rsidRDefault="00182896" w:rsidP="00891011">
      <w:pPr>
        <w:pStyle w:val="NormalHanging12a"/>
      </w:pPr>
      <w:r w:rsidRPr="0071278A">
        <w:t>38.</w:t>
      </w:r>
      <w:r w:rsidRPr="0071278A">
        <w:tab/>
        <w:t>poveruje svoju predsedníčku, aby postúpila toto uznesenie Rade a Komisii.</w:t>
      </w:r>
    </w:p>
    <w:sectPr w:rsidR="00E365E1" w:rsidRPr="0071278A" w:rsidSect="001653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A6BEE" w14:textId="77777777" w:rsidR="0051530F" w:rsidRPr="001653C1" w:rsidRDefault="0051530F">
      <w:r w:rsidRPr="001653C1">
        <w:separator/>
      </w:r>
    </w:p>
  </w:endnote>
  <w:endnote w:type="continuationSeparator" w:id="0">
    <w:p w14:paraId="64EE961E" w14:textId="77777777" w:rsidR="0051530F" w:rsidRPr="001653C1" w:rsidRDefault="0051530F">
      <w:r w:rsidRPr="001653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1F57A" w14:textId="77777777" w:rsidR="00064002" w:rsidRPr="001653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2B7E9" w14:textId="77777777" w:rsidR="00064002" w:rsidRPr="001653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EB585" w14:textId="77777777" w:rsidR="00064002" w:rsidRPr="001653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370E1" w14:textId="77777777" w:rsidR="0051530F" w:rsidRPr="001653C1" w:rsidRDefault="0051530F">
      <w:r w:rsidRPr="001653C1">
        <w:separator/>
      </w:r>
    </w:p>
  </w:footnote>
  <w:footnote w:type="continuationSeparator" w:id="0">
    <w:p w14:paraId="3BF8985B" w14:textId="77777777" w:rsidR="0051530F" w:rsidRPr="001653C1" w:rsidRDefault="0051530F">
      <w:r w:rsidRPr="001653C1">
        <w:continuationSeparator/>
      </w:r>
    </w:p>
  </w:footnote>
  <w:footnote w:id="1">
    <w:p w14:paraId="4A46D55C" w14:textId="37C2A84F" w:rsidR="00182896" w:rsidRPr="001653C1" w:rsidRDefault="00182896" w:rsidP="001653C1">
      <w:pPr>
        <w:pStyle w:val="FootnoteText"/>
        <w:ind w:left="567" w:hanging="567"/>
        <w:rPr>
          <w:sz w:val="24"/>
          <w:lang w:val="sk-SK"/>
        </w:rPr>
      </w:pPr>
      <w:r w:rsidRPr="001653C1">
        <w:rPr>
          <w:rStyle w:val="FootnoteReference"/>
          <w:sz w:val="24"/>
          <w:lang w:val="sk-SK"/>
        </w:rPr>
        <w:footnoteRef/>
      </w:r>
      <w:r w:rsidR="001653C1" w:rsidRPr="001653C1">
        <w:rPr>
          <w:sz w:val="24"/>
          <w:lang w:val="sk-SK"/>
        </w:rPr>
        <w:t xml:space="preserve"> </w:t>
      </w:r>
      <w:r w:rsidR="001653C1" w:rsidRPr="001653C1">
        <w:rPr>
          <w:sz w:val="24"/>
          <w:lang w:val="sk-SK"/>
        </w:rPr>
        <w:tab/>
      </w:r>
      <w:r w:rsidRPr="001653C1">
        <w:rPr>
          <w:sz w:val="24"/>
          <w:lang w:val="sk-SK"/>
        </w:rPr>
        <w:t xml:space="preserve">Ú. v. EÚ L 189, 28.5.2021, s. 1, ELI: </w:t>
      </w:r>
      <w:hyperlink r:id="rId1" w:history="1">
        <w:r w:rsidRPr="00891011">
          <w:rPr>
            <w:rStyle w:val="Hyperlink"/>
            <w:sz w:val="24"/>
            <w:lang w:val="sk-SK"/>
          </w:rPr>
          <w:t>http://data.europa.eu/eli/reg/2021/817/oj</w:t>
        </w:r>
      </w:hyperlink>
      <w:r w:rsidRPr="001653C1">
        <w:rPr>
          <w:sz w:val="24"/>
          <w:lang w:val="sk-SK"/>
        </w:rPr>
        <w:t>.</w:t>
      </w:r>
    </w:p>
  </w:footnote>
  <w:footnote w:id="2">
    <w:p w14:paraId="1A740B88" w14:textId="486ABB2E" w:rsidR="00182896" w:rsidRPr="001653C1" w:rsidRDefault="00182896" w:rsidP="001653C1">
      <w:pPr>
        <w:pStyle w:val="FootnoteText"/>
        <w:ind w:left="567" w:hanging="567"/>
        <w:rPr>
          <w:sz w:val="24"/>
          <w:lang w:val="sk-SK"/>
        </w:rPr>
      </w:pPr>
      <w:r w:rsidRPr="001653C1">
        <w:rPr>
          <w:rStyle w:val="FootnoteReference"/>
          <w:sz w:val="24"/>
          <w:lang w:val="sk-SK"/>
        </w:rPr>
        <w:footnoteRef/>
      </w:r>
      <w:r w:rsidR="001653C1" w:rsidRPr="001653C1">
        <w:rPr>
          <w:sz w:val="24"/>
          <w:lang w:val="sk-SK"/>
        </w:rPr>
        <w:t xml:space="preserve"> </w:t>
      </w:r>
      <w:r w:rsidR="001653C1" w:rsidRPr="001653C1">
        <w:rPr>
          <w:sz w:val="24"/>
          <w:lang w:val="sk-SK"/>
        </w:rPr>
        <w:tab/>
      </w:r>
      <w:r w:rsidRPr="001653C1">
        <w:rPr>
          <w:sz w:val="24"/>
          <w:lang w:val="sk-SK"/>
        </w:rPr>
        <w:t>Ú. v. EÚ C 389, 18.11.2019, s. 1.</w:t>
      </w:r>
    </w:p>
  </w:footnote>
  <w:footnote w:id="3">
    <w:p w14:paraId="70EB2377" w14:textId="0B6C56C3" w:rsidR="00182896" w:rsidRPr="001653C1" w:rsidRDefault="00182896" w:rsidP="001653C1">
      <w:pPr>
        <w:pStyle w:val="FootnoteText"/>
        <w:ind w:left="567" w:hanging="567"/>
        <w:rPr>
          <w:sz w:val="24"/>
          <w:lang w:val="sk-SK"/>
        </w:rPr>
      </w:pPr>
      <w:r w:rsidRPr="001653C1">
        <w:rPr>
          <w:rStyle w:val="FootnoteReference"/>
          <w:sz w:val="24"/>
          <w:lang w:val="sk-SK"/>
        </w:rPr>
        <w:footnoteRef/>
      </w:r>
      <w:r w:rsidR="001653C1" w:rsidRPr="001653C1">
        <w:rPr>
          <w:sz w:val="24"/>
          <w:lang w:val="sk-SK"/>
        </w:rPr>
        <w:t xml:space="preserve"> </w:t>
      </w:r>
      <w:r w:rsidR="001653C1" w:rsidRPr="001653C1">
        <w:rPr>
          <w:sz w:val="24"/>
          <w:lang w:val="sk-SK"/>
        </w:rPr>
        <w:tab/>
      </w:r>
      <w:r w:rsidRPr="001653C1">
        <w:rPr>
          <w:sz w:val="24"/>
          <w:lang w:val="sk-SK"/>
        </w:rPr>
        <w:t>Ú. v. EÚ C 504, 14.12.2021, s. 9.</w:t>
      </w:r>
    </w:p>
  </w:footnote>
  <w:footnote w:id="4">
    <w:p w14:paraId="07BC7BE1" w14:textId="41D4C74A" w:rsidR="00182896" w:rsidRPr="001653C1" w:rsidRDefault="00182896" w:rsidP="001653C1">
      <w:pPr>
        <w:pStyle w:val="FootnoteText"/>
        <w:ind w:left="567" w:hanging="567"/>
        <w:rPr>
          <w:sz w:val="24"/>
          <w:lang w:val="sk-SK"/>
        </w:rPr>
      </w:pPr>
      <w:r w:rsidRPr="001653C1">
        <w:rPr>
          <w:rStyle w:val="FootnoteReference"/>
          <w:sz w:val="24"/>
          <w:lang w:val="sk-SK"/>
        </w:rPr>
        <w:footnoteRef/>
      </w:r>
      <w:r w:rsidR="001653C1" w:rsidRPr="001653C1">
        <w:rPr>
          <w:sz w:val="24"/>
          <w:lang w:val="sk-SK"/>
        </w:rPr>
        <w:t xml:space="preserve"> </w:t>
      </w:r>
      <w:r w:rsidR="001653C1" w:rsidRPr="001653C1">
        <w:rPr>
          <w:sz w:val="24"/>
          <w:lang w:val="sk-SK"/>
        </w:rPr>
        <w:tab/>
      </w:r>
      <w:r w:rsidRPr="001653C1">
        <w:rPr>
          <w:sz w:val="24"/>
          <w:lang w:val="sk-SK"/>
        </w:rPr>
        <w:t>Ú. v. </w:t>
      </w:r>
      <w:r w:rsidRPr="001653C1">
        <w:rPr>
          <w:sz w:val="24"/>
          <w:lang w:val="sk-SK"/>
        </w:rPr>
        <w:t xml:space="preserve">EÚ C, C/2024/3364, 14.6.2024, ELI: </w:t>
      </w:r>
      <w:hyperlink r:id="rId2" w:history="1">
        <w:r w:rsidRPr="00891011">
          <w:rPr>
            <w:rStyle w:val="Hyperlink"/>
            <w:sz w:val="24"/>
            <w:lang w:val="sk-SK"/>
          </w:rPr>
          <w:t>http://data.europa.eu/eli/C/2024/3364/oj</w:t>
        </w:r>
      </w:hyperlink>
      <w:r w:rsidRPr="001653C1">
        <w:rPr>
          <w:sz w:val="24"/>
          <w:lang w:val="sk-SK"/>
        </w:rPr>
        <w:t>.</w:t>
      </w:r>
    </w:p>
  </w:footnote>
  <w:footnote w:id="5">
    <w:p w14:paraId="64E90CBA" w14:textId="7C75F77A" w:rsidR="00182896" w:rsidRPr="001653C1" w:rsidRDefault="00182896" w:rsidP="001653C1">
      <w:pPr>
        <w:pStyle w:val="FootnoteText"/>
        <w:ind w:left="567" w:hanging="567"/>
        <w:rPr>
          <w:sz w:val="24"/>
          <w:lang w:val="sk-SK"/>
        </w:rPr>
      </w:pPr>
      <w:r w:rsidRPr="001653C1">
        <w:rPr>
          <w:rStyle w:val="FootnoteReference"/>
          <w:sz w:val="24"/>
          <w:lang w:val="sk-SK"/>
        </w:rPr>
        <w:footnoteRef/>
      </w:r>
      <w:r w:rsidR="001653C1" w:rsidRPr="001653C1">
        <w:rPr>
          <w:sz w:val="24"/>
          <w:lang w:val="sk-SK"/>
        </w:rPr>
        <w:t xml:space="preserve"> </w:t>
      </w:r>
      <w:r w:rsidR="001653C1" w:rsidRPr="001653C1">
        <w:rPr>
          <w:sz w:val="24"/>
          <w:lang w:val="sk-SK"/>
        </w:rPr>
        <w:tab/>
      </w:r>
      <w:r w:rsidRPr="001653C1">
        <w:rPr>
          <w:sz w:val="24"/>
          <w:lang w:val="sk-SK"/>
        </w:rPr>
        <w:t xml:space="preserve">Ú. v. EÚ L 431, 2.12.2021, s. </w:t>
      </w:r>
      <w:r w:rsidRPr="001653C1">
        <w:rPr>
          <w:sz w:val="24"/>
          <w:lang w:val="sk-SK"/>
        </w:rPr>
        <w:t xml:space="preserve">1, ELI: </w:t>
      </w:r>
      <w:hyperlink r:id="rId3" w:history="1">
        <w:r w:rsidRPr="00891011">
          <w:rPr>
            <w:rStyle w:val="Hyperlink"/>
            <w:sz w:val="24"/>
            <w:lang w:val="sk-SK"/>
          </w:rPr>
          <w:t>http://data.europa.eu/eli/reco/2021/2122/oj</w:t>
        </w:r>
      </w:hyperlink>
      <w:r w:rsidRPr="001653C1">
        <w:rPr>
          <w:sz w:val="24"/>
          <w:lang w:val="sk-SK"/>
        </w:rPr>
        <w:t>.</w:t>
      </w:r>
    </w:p>
  </w:footnote>
  <w:footnote w:id="6">
    <w:p w14:paraId="5B9A18EE" w14:textId="714134F8" w:rsidR="00182896" w:rsidRPr="001653C1" w:rsidRDefault="00182896" w:rsidP="001653C1">
      <w:pPr>
        <w:pStyle w:val="FootnoteText"/>
        <w:ind w:left="567" w:hanging="567"/>
        <w:rPr>
          <w:sz w:val="24"/>
          <w:lang w:val="sk-SK"/>
        </w:rPr>
      </w:pPr>
      <w:r w:rsidRPr="001653C1">
        <w:rPr>
          <w:rStyle w:val="FootnoteReference"/>
          <w:sz w:val="24"/>
          <w:lang w:val="sk-SK"/>
        </w:rPr>
        <w:footnoteRef/>
      </w:r>
      <w:r w:rsidR="001653C1" w:rsidRPr="001653C1">
        <w:rPr>
          <w:sz w:val="24"/>
          <w:lang w:val="sk-SK"/>
        </w:rPr>
        <w:t xml:space="preserve"> </w:t>
      </w:r>
      <w:r w:rsidR="001653C1" w:rsidRPr="001653C1">
        <w:rPr>
          <w:sz w:val="24"/>
          <w:lang w:val="sk-SK"/>
        </w:rPr>
        <w:tab/>
      </w:r>
      <w:r w:rsidR="00B800E1" w:rsidRPr="0071278A">
        <w:rPr>
          <w:sz w:val="24"/>
          <w:lang w:val="sk-SK"/>
        </w:rPr>
        <w:t xml:space="preserve">Európska komisia: Generálne riaditeľstvo pre vzdelávanie, mládež, šport a kultúru et al., Report on </w:t>
      </w:r>
      <w:proofErr w:type="spellStart"/>
      <w:r w:rsidR="00B800E1" w:rsidRPr="0071278A">
        <w:rPr>
          <w:sz w:val="24"/>
          <w:lang w:val="sk-SK"/>
        </w:rPr>
        <w:t>the</w:t>
      </w:r>
      <w:proofErr w:type="spellEnd"/>
      <w:r w:rsidR="00B800E1" w:rsidRPr="0071278A">
        <w:rPr>
          <w:sz w:val="24"/>
          <w:lang w:val="sk-SK"/>
        </w:rPr>
        <w:t xml:space="preserve"> </w:t>
      </w:r>
      <w:proofErr w:type="spellStart"/>
      <w:r w:rsidR="00B800E1" w:rsidRPr="0071278A">
        <w:rPr>
          <w:sz w:val="24"/>
          <w:lang w:val="sk-SK"/>
        </w:rPr>
        <w:t>outcomes</w:t>
      </w:r>
      <w:proofErr w:type="spellEnd"/>
      <w:r w:rsidR="00B800E1" w:rsidRPr="0071278A">
        <w:rPr>
          <w:sz w:val="24"/>
          <w:lang w:val="sk-SK"/>
        </w:rPr>
        <w:t xml:space="preserve"> and </w:t>
      </w:r>
      <w:proofErr w:type="spellStart"/>
      <w:r w:rsidR="00B800E1" w:rsidRPr="0071278A">
        <w:rPr>
          <w:sz w:val="24"/>
          <w:lang w:val="sk-SK"/>
        </w:rPr>
        <w:t>transformational</w:t>
      </w:r>
      <w:proofErr w:type="spellEnd"/>
      <w:r w:rsidR="00B800E1" w:rsidRPr="0071278A">
        <w:rPr>
          <w:sz w:val="24"/>
          <w:lang w:val="sk-SK"/>
        </w:rPr>
        <w:t xml:space="preserve"> </w:t>
      </w:r>
      <w:proofErr w:type="spellStart"/>
      <w:r w:rsidR="00B800E1" w:rsidRPr="0071278A">
        <w:rPr>
          <w:sz w:val="24"/>
          <w:lang w:val="sk-SK"/>
        </w:rPr>
        <w:t>potential</w:t>
      </w:r>
      <w:proofErr w:type="spellEnd"/>
      <w:r w:rsidR="00B800E1" w:rsidRPr="0071278A">
        <w:rPr>
          <w:sz w:val="24"/>
          <w:lang w:val="sk-SK"/>
        </w:rPr>
        <w:t xml:space="preserve"> of </w:t>
      </w:r>
      <w:proofErr w:type="spellStart"/>
      <w:r w:rsidR="00B800E1" w:rsidRPr="0071278A">
        <w:rPr>
          <w:sz w:val="24"/>
          <w:lang w:val="sk-SK"/>
        </w:rPr>
        <w:t>the</w:t>
      </w:r>
      <w:proofErr w:type="spellEnd"/>
      <w:r w:rsidR="00B800E1" w:rsidRPr="0071278A">
        <w:rPr>
          <w:sz w:val="24"/>
          <w:lang w:val="sk-SK"/>
        </w:rPr>
        <w:t xml:space="preserve"> </w:t>
      </w:r>
      <w:proofErr w:type="spellStart"/>
      <w:r w:rsidR="00B800E1" w:rsidRPr="0071278A">
        <w:rPr>
          <w:sz w:val="24"/>
          <w:lang w:val="sk-SK"/>
        </w:rPr>
        <w:t>European</w:t>
      </w:r>
      <w:proofErr w:type="spellEnd"/>
      <w:r w:rsidR="00B800E1" w:rsidRPr="0071278A">
        <w:rPr>
          <w:sz w:val="24"/>
          <w:lang w:val="sk-SK"/>
        </w:rPr>
        <w:t xml:space="preserve"> </w:t>
      </w:r>
      <w:proofErr w:type="spellStart"/>
      <w:r w:rsidR="00B800E1" w:rsidRPr="0071278A">
        <w:rPr>
          <w:sz w:val="24"/>
          <w:lang w:val="sk-SK"/>
        </w:rPr>
        <w:t>Universities</w:t>
      </w:r>
      <w:proofErr w:type="spellEnd"/>
      <w:r w:rsidR="00B800E1" w:rsidRPr="0071278A">
        <w:rPr>
          <w:sz w:val="24"/>
          <w:lang w:val="sk-SK"/>
        </w:rPr>
        <w:t xml:space="preserve"> </w:t>
      </w:r>
      <w:proofErr w:type="spellStart"/>
      <w:r w:rsidR="00B800E1" w:rsidRPr="0071278A">
        <w:rPr>
          <w:sz w:val="24"/>
          <w:lang w:val="sk-SK"/>
        </w:rPr>
        <w:t>initiative</w:t>
      </w:r>
      <w:proofErr w:type="spellEnd"/>
      <w:r w:rsidR="00B800E1" w:rsidRPr="0071278A">
        <w:rPr>
          <w:sz w:val="24"/>
          <w:lang w:val="sk-SK"/>
        </w:rPr>
        <w:t>, Úrad pre vydávanie publikácií Európskej únie, 2025</w:t>
      </w:r>
      <w:r w:rsidR="00B800E1">
        <w:rPr>
          <w:sz w:val="24"/>
          <w:lang w:val="sk-SK"/>
        </w:rPr>
        <w:t xml:space="preserve">, </w:t>
      </w:r>
      <w:hyperlink r:id="rId4" w:history="1">
        <w:r w:rsidR="00B800E1" w:rsidRPr="0071278A">
          <w:rPr>
            <w:rStyle w:val="Hyperlink"/>
            <w:sz w:val="24"/>
            <w:lang w:val="sk-SK"/>
          </w:rPr>
          <w:t>https://data.europa.eu/doi/10.2766/32313</w:t>
        </w:r>
      </w:hyperlink>
      <w:r w:rsidR="00B800E1" w:rsidRPr="0071278A">
        <w:rPr>
          <w:sz w:val="24"/>
          <w:lang w:val="sk-SK"/>
        </w:rPr>
        <w:t>.</w:t>
      </w:r>
    </w:p>
  </w:footnote>
  <w:footnote w:id="7">
    <w:p w14:paraId="41BB48BD" w14:textId="54241C7B" w:rsidR="00182896" w:rsidRPr="001653C1" w:rsidRDefault="00182896" w:rsidP="001653C1">
      <w:pPr>
        <w:pStyle w:val="FootnoteText"/>
        <w:ind w:left="567" w:hanging="567"/>
        <w:rPr>
          <w:sz w:val="24"/>
          <w:lang w:val="sk-SK"/>
        </w:rPr>
      </w:pPr>
      <w:r w:rsidRPr="001653C1">
        <w:rPr>
          <w:rStyle w:val="FootnoteReference"/>
          <w:sz w:val="24"/>
          <w:lang w:val="sk-SK"/>
        </w:rPr>
        <w:footnoteRef/>
      </w:r>
      <w:r w:rsidR="001653C1" w:rsidRPr="001653C1">
        <w:rPr>
          <w:sz w:val="24"/>
          <w:lang w:val="sk-SK"/>
        </w:rPr>
        <w:t xml:space="preserve"> </w:t>
      </w:r>
      <w:r w:rsidR="001653C1" w:rsidRPr="001653C1">
        <w:rPr>
          <w:sz w:val="24"/>
          <w:lang w:val="sk-SK"/>
        </w:rPr>
        <w:tab/>
      </w:r>
      <w:r w:rsidRPr="001653C1">
        <w:rPr>
          <w:sz w:val="24"/>
          <w:lang w:val="sk-SK"/>
        </w:rPr>
        <w:t>Ú. v. EÚ C 32, 27.1.2023, s. 58.</w:t>
      </w:r>
    </w:p>
  </w:footnote>
  <w:footnote w:id="8">
    <w:p w14:paraId="48E2522D" w14:textId="37B84467" w:rsidR="00182896" w:rsidRPr="001653C1" w:rsidRDefault="00182896" w:rsidP="001653C1">
      <w:pPr>
        <w:pStyle w:val="FootnoteText"/>
        <w:ind w:left="567" w:hanging="567"/>
        <w:rPr>
          <w:sz w:val="24"/>
          <w:lang w:val="sk-SK"/>
        </w:rPr>
      </w:pPr>
      <w:r w:rsidRPr="001653C1">
        <w:rPr>
          <w:rStyle w:val="FootnoteReference"/>
          <w:sz w:val="24"/>
          <w:lang w:val="sk-SK"/>
        </w:rPr>
        <w:footnoteRef/>
      </w:r>
      <w:r w:rsidR="001653C1" w:rsidRPr="001653C1">
        <w:rPr>
          <w:sz w:val="24"/>
          <w:lang w:val="sk-SK"/>
        </w:rPr>
        <w:t xml:space="preserve"> </w:t>
      </w:r>
      <w:r w:rsidR="001653C1" w:rsidRPr="001653C1">
        <w:rPr>
          <w:sz w:val="24"/>
          <w:lang w:val="sk-SK"/>
        </w:rPr>
        <w:tab/>
      </w:r>
      <w:r w:rsidRPr="001653C1">
        <w:rPr>
          <w:sz w:val="24"/>
          <w:lang w:val="sk-SK"/>
        </w:rPr>
        <w:t>Ú. v. EÚ C 385, 22.9.2021, s. 2.</w:t>
      </w:r>
    </w:p>
  </w:footnote>
  <w:footnote w:id="9">
    <w:p w14:paraId="2D77682F" w14:textId="2D599B8C" w:rsidR="00182896" w:rsidRPr="001653C1" w:rsidRDefault="00182896" w:rsidP="001653C1">
      <w:pPr>
        <w:pStyle w:val="FootnoteText"/>
        <w:ind w:left="567" w:hanging="567"/>
        <w:rPr>
          <w:sz w:val="24"/>
          <w:lang w:val="sk-SK"/>
        </w:rPr>
      </w:pPr>
      <w:r w:rsidRPr="001653C1">
        <w:rPr>
          <w:rStyle w:val="FootnoteReference"/>
          <w:sz w:val="24"/>
          <w:lang w:val="sk-SK"/>
        </w:rPr>
        <w:footnoteRef/>
      </w:r>
      <w:r w:rsidR="001653C1" w:rsidRPr="001653C1">
        <w:rPr>
          <w:sz w:val="24"/>
          <w:lang w:val="sk-SK"/>
        </w:rPr>
        <w:t xml:space="preserve"> </w:t>
      </w:r>
      <w:r w:rsidR="001653C1" w:rsidRPr="001653C1">
        <w:rPr>
          <w:sz w:val="24"/>
          <w:lang w:val="sk-SK"/>
        </w:rPr>
        <w:tab/>
      </w:r>
      <w:r w:rsidRPr="001653C1">
        <w:rPr>
          <w:sz w:val="24"/>
          <w:lang w:val="sk-SK"/>
        </w:rPr>
        <w:t>Ú. v. EÚ C 479, 16.12.2022, s. 65.</w:t>
      </w:r>
    </w:p>
  </w:footnote>
  <w:footnote w:id="10">
    <w:p w14:paraId="58E492C3" w14:textId="6D99F4E5" w:rsidR="00182896" w:rsidRPr="001653C1" w:rsidRDefault="00182896" w:rsidP="001653C1">
      <w:pPr>
        <w:pStyle w:val="FootnoteText"/>
        <w:ind w:left="567" w:hanging="567"/>
        <w:rPr>
          <w:sz w:val="24"/>
          <w:lang w:val="sk-SK"/>
        </w:rPr>
      </w:pPr>
      <w:r w:rsidRPr="001653C1">
        <w:rPr>
          <w:rStyle w:val="FootnoteReference"/>
          <w:sz w:val="24"/>
          <w:lang w:val="sk-SK"/>
        </w:rPr>
        <w:footnoteRef/>
      </w:r>
      <w:r w:rsidR="001653C1" w:rsidRPr="001653C1">
        <w:rPr>
          <w:sz w:val="24"/>
          <w:lang w:val="sk-SK"/>
        </w:rPr>
        <w:t xml:space="preserve"> </w:t>
      </w:r>
      <w:r w:rsidR="001653C1" w:rsidRPr="001653C1">
        <w:rPr>
          <w:sz w:val="24"/>
          <w:lang w:val="sk-SK"/>
        </w:rPr>
        <w:tab/>
      </w:r>
      <w:r w:rsidR="00891011">
        <w:rPr>
          <w:sz w:val="24"/>
          <w:lang w:val="sk-SK"/>
        </w:rPr>
        <w:t>A</w:t>
      </w:r>
      <w:r w:rsidRPr="001653C1">
        <w:rPr>
          <w:sz w:val="24"/>
          <w:lang w:val="sk-SK"/>
        </w:rPr>
        <w:t>ko je zakotvené v článku 2 Zmluvy o Európskej únii a v Charte základných práv Európskej únie.</w:t>
      </w:r>
    </w:p>
  </w:footnote>
  <w:footnote w:id="11">
    <w:p w14:paraId="53DF2BD0" w14:textId="11C93595" w:rsidR="00182896" w:rsidRPr="001653C1" w:rsidRDefault="00182896" w:rsidP="001653C1">
      <w:pPr>
        <w:pStyle w:val="FootnoteText"/>
        <w:ind w:left="567" w:hanging="567"/>
        <w:rPr>
          <w:sz w:val="24"/>
          <w:lang w:val="sk-SK"/>
        </w:rPr>
      </w:pPr>
      <w:r w:rsidRPr="001653C1">
        <w:rPr>
          <w:rStyle w:val="FootnoteReference"/>
          <w:sz w:val="24"/>
          <w:lang w:val="sk-SK"/>
        </w:rPr>
        <w:footnoteRef/>
      </w:r>
      <w:r w:rsidR="001653C1" w:rsidRPr="001653C1">
        <w:rPr>
          <w:sz w:val="24"/>
          <w:lang w:val="sk-SK"/>
        </w:rPr>
        <w:t xml:space="preserve"> </w:t>
      </w:r>
      <w:r w:rsidR="001653C1" w:rsidRPr="001653C1">
        <w:rPr>
          <w:sz w:val="24"/>
          <w:lang w:val="sk-SK"/>
        </w:rPr>
        <w:tab/>
      </w:r>
      <w:r w:rsidR="00891011">
        <w:rPr>
          <w:sz w:val="24"/>
          <w:lang w:val="sk-SK"/>
        </w:rPr>
        <w:t>A</w:t>
      </w:r>
      <w:r w:rsidRPr="001653C1">
        <w:rPr>
          <w:sz w:val="24"/>
          <w:lang w:val="sk-SK"/>
        </w:rPr>
        <w:t>ko sa vymedzuje v nariadení Európskeho parlamentu a Rady (EÚ) 2021/817 z 20. mája 2021</w:t>
      </w:r>
      <w:r w:rsidR="00891011">
        <w:rPr>
          <w:sz w:val="24"/>
          <w:lang w:val="sk-SK"/>
        </w:rPr>
        <w:t>.</w:t>
      </w:r>
    </w:p>
  </w:footnote>
  <w:footnote w:id="12">
    <w:p w14:paraId="33A0B6C3" w14:textId="4DA3C68C" w:rsidR="00182896" w:rsidRPr="001653C1" w:rsidRDefault="00182896" w:rsidP="001653C1">
      <w:pPr>
        <w:pStyle w:val="FootnoteText"/>
        <w:ind w:left="567" w:hanging="567"/>
        <w:rPr>
          <w:sz w:val="24"/>
          <w:lang w:val="sk-SK"/>
        </w:rPr>
      </w:pPr>
      <w:r w:rsidRPr="001653C1">
        <w:rPr>
          <w:rStyle w:val="FootnoteReference"/>
          <w:sz w:val="24"/>
          <w:lang w:val="sk-SK"/>
        </w:rPr>
        <w:footnoteRef/>
      </w:r>
      <w:r w:rsidR="001653C1" w:rsidRPr="001653C1">
        <w:rPr>
          <w:sz w:val="24"/>
          <w:lang w:val="sk-SK"/>
        </w:rPr>
        <w:t xml:space="preserve"> </w:t>
      </w:r>
      <w:r w:rsidR="001653C1" w:rsidRPr="001653C1">
        <w:rPr>
          <w:sz w:val="24"/>
          <w:lang w:val="sk-SK"/>
        </w:rPr>
        <w:tab/>
      </w:r>
      <w:r w:rsidRPr="001653C1">
        <w:rPr>
          <w:sz w:val="24"/>
          <w:lang w:val="sk-SK"/>
        </w:rPr>
        <w:t>Pracovný dokument útvarov Komisie, SWD(2024)0291.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3F2FF" w14:textId="77777777" w:rsidR="00064002" w:rsidRPr="001653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BBF81" w14:textId="77777777" w:rsidR="00064002" w:rsidRPr="001653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6E32D" w14:textId="77777777" w:rsidR="00064002" w:rsidRPr="001653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32500565">
    <w:abstractNumId w:val="9"/>
  </w:num>
  <w:num w:numId="2" w16cid:durableId="1964652669">
    <w:abstractNumId w:val="9"/>
  </w:num>
  <w:num w:numId="3" w16cid:durableId="1403793767">
    <w:abstractNumId w:val="7"/>
  </w:num>
  <w:num w:numId="4" w16cid:durableId="1328091694">
    <w:abstractNumId w:val="7"/>
  </w:num>
  <w:num w:numId="5" w16cid:durableId="2110269154">
    <w:abstractNumId w:val="6"/>
  </w:num>
  <w:num w:numId="6" w16cid:durableId="144276878">
    <w:abstractNumId w:val="6"/>
  </w:num>
  <w:num w:numId="7" w16cid:durableId="2097050077">
    <w:abstractNumId w:val="5"/>
  </w:num>
  <w:num w:numId="8" w16cid:durableId="647134020">
    <w:abstractNumId w:val="5"/>
  </w:num>
  <w:num w:numId="9" w16cid:durableId="1660041706">
    <w:abstractNumId w:val="4"/>
  </w:num>
  <w:num w:numId="10" w16cid:durableId="894126314">
    <w:abstractNumId w:val="4"/>
  </w:num>
  <w:num w:numId="11" w16cid:durableId="1474636795">
    <w:abstractNumId w:val="8"/>
  </w:num>
  <w:num w:numId="12" w16cid:durableId="132597615">
    <w:abstractNumId w:val="8"/>
  </w:num>
  <w:num w:numId="13" w16cid:durableId="1558974930">
    <w:abstractNumId w:val="3"/>
  </w:num>
  <w:num w:numId="14" w16cid:durableId="1312901325">
    <w:abstractNumId w:val="3"/>
  </w:num>
  <w:num w:numId="15" w16cid:durableId="1859729922">
    <w:abstractNumId w:val="2"/>
  </w:num>
  <w:num w:numId="16" w16cid:durableId="35853782">
    <w:abstractNumId w:val="2"/>
  </w:num>
  <w:num w:numId="17" w16cid:durableId="1214267684">
    <w:abstractNumId w:val="1"/>
  </w:num>
  <w:num w:numId="18" w16cid:durableId="1985115817">
    <w:abstractNumId w:val="1"/>
  </w:num>
  <w:num w:numId="19" w16cid:durableId="230621812">
    <w:abstractNumId w:val="0"/>
  </w:num>
  <w:num w:numId="20" w16cid:durableId="1535726683">
    <w:abstractNumId w:val="0"/>
  </w:num>
  <w:num w:numId="21" w16cid:durableId="1019622947">
    <w:abstractNumId w:val="9"/>
  </w:num>
  <w:num w:numId="22" w16cid:durableId="865408126">
    <w:abstractNumId w:val="7"/>
  </w:num>
  <w:num w:numId="23" w16cid:durableId="1395548552">
    <w:abstractNumId w:val="6"/>
  </w:num>
  <w:num w:numId="24" w16cid:durableId="1953392883">
    <w:abstractNumId w:val="5"/>
  </w:num>
  <w:num w:numId="25" w16cid:durableId="1798714237">
    <w:abstractNumId w:val="4"/>
  </w:num>
  <w:num w:numId="26" w16cid:durableId="923681813">
    <w:abstractNumId w:val="8"/>
  </w:num>
  <w:num w:numId="27" w16cid:durableId="934051008">
    <w:abstractNumId w:val="3"/>
  </w:num>
  <w:num w:numId="28" w16cid:durableId="381371815">
    <w:abstractNumId w:val="2"/>
  </w:num>
  <w:num w:numId="29" w16cid:durableId="1464499977">
    <w:abstractNumId w:val="1"/>
  </w:num>
  <w:num w:numId="30" w16cid:durableId="1709866981">
    <w:abstractNumId w:val="0"/>
  </w:num>
  <w:num w:numId="31" w16cid:durableId="340739460">
    <w:abstractNumId w:val="9"/>
  </w:num>
  <w:num w:numId="32" w16cid:durableId="1771973154">
    <w:abstractNumId w:val="7"/>
  </w:num>
  <w:num w:numId="33" w16cid:durableId="1120149877">
    <w:abstractNumId w:val="6"/>
  </w:num>
  <w:num w:numId="34" w16cid:durableId="2028288444">
    <w:abstractNumId w:val="5"/>
  </w:num>
  <w:num w:numId="35" w16cid:durableId="1437559086">
    <w:abstractNumId w:val="4"/>
  </w:num>
  <w:num w:numId="36" w16cid:durableId="921180717">
    <w:abstractNumId w:val="8"/>
  </w:num>
  <w:num w:numId="37" w16cid:durableId="1363823023">
    <w:abstractNumId w:val="3"/>
  </w:num>
  <w:num w:numId="38" w16cid:durableId="990065952">
    <w:abstractNumId w:val="2"/>
  </w:num>
  <w:num w:numId="39" w16cid:durableId="1318067707">
    <w:abstractNumId w:val="1"/>
  </w:num>
  <w:num w:numId="40" w16cid:durableId="603225189">
    <w:abstractNumId w:val="0"/>
  </w:num>
  <w:num w:numId="41" w16cid:durableId="80492672">
    <w:abstractNumId w:val="10"/>
  </w:num>
  <w:num w:numId="42" w16cid:durableId="776409571">
    <w:abstractNumId w:val="10"/>
  </w:num>
  <w:num w:numId="43" w16cid:durableId="364906666">
    <w:abstractNumId w:val="10"/>
  </w:num>
  <w:num w:numId="44" w16cid:durableId="6085102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5/2025"/>
    <w:docVar w:name="dvlangue" w:val="SK"/>
    <w:docVar w:name="dvnumam" w:val="0"/>
    <w:docVar w:name="dvpe" w:val="770.272"/>
    <w:docVar w:name="dvrapporteur" w:val="Spravodajkyňa: "/>
    <w:docVar w:name="dvtitre" w:val="Uznesenie Európskeho parlamentu z xx. septembra 2025 o novej vízii pre aliancie európskych univerzít(2025/2036(INI))"/>
  </w:docVars>
  <w:rsids>
    <w:rsidRoot w:val="0051530F"/>
    <w:rsid w:val="00002272"/>
    <w:rsid w:val="00064002"/>
    <w:rsid w:val="000677B9"/>
    <w:rsid w:val="000831BA"/>
    <w:rsid w:val="000A01A3"/>
    <w:rsid w:val="000A42CC"/>
    <w:rsid w:val="000E7DD9"/>
    <w:rsid w:val="0010095E"/>
    <w:rsid w:val="00125B37"/>
    <w:rsid w:val="001653C1"/>
    <w:rsid w:val="00182896"/>
    <w:rsid w:val="00187494"/>
    <w:rsid w:val="001C4CBA"/>
    <w:rsid w:val="001F32AE"/>
    <w:rsid w:val="002767FF"/>
    <w:rsid w:val="002B18FE"/>
    <w:rsid w:val="002B5493"/>
    <w:rsid w:val="002D29AE"/>
    <w:rsid w:val="00343214"/>
    <w:rsid w:val="00361C00"/>
    <w:rsid w:val="00395FA1"/>
    <w:rsid w:val="003E15D4"/>
    <w:rsid w:val="00411CCE"/>
    <w:rsid w:val="0041666E"/>
    <w:rsid w:val="00421060"/>
    <w:rsid w:val="00471C19"/>
    <w:rsid w:val="00484B2C"/>
    <w:rsid w:val="004867E3"/>
    <w:rsid w:val="00494A28"/>
    <w:rsid w:val="004A4465"/>
    <w:rsid w:val="004C0004"/>
    <w:rsid w:val="004C5D52"/>
    <w:rsid w:val="0050519A"/>
    <w:rsid w:val="005072A1"/>
    <w:rsid w:val="00514517"/>
    <w:rsid w:val="0051530F"/>
    <w:rsid w:val="00545827"/>
    <w:rsid w:val="00560270"/>
    <w:rsid w:val="005C2568"/>
    <w:rsid w:val="005E2F50"/>
    <w:rsid w:val="005F1B17"/>
    <w:rsid w:val="006037C0"/>
    <w:rsid w:val="006631B6"/>
    <w:rsid w:val="00680577"/>
    <w:rsid w:val="006805D4"/>
    <w:rsid w:val="006F74FA"/>
    <w:rsid w:val="0071278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011"/>
    <w:rsid w:val="008C2AC6"/>
    <w:rsid w:val="00930C23"/>
    <w:rsid w:val="0093193B"/>
    <w:rsid w:val="009509D8"/>
    <w:rsid w:val="00950B64"/>
    <w:rsid w:val="00981893"/>
    <w:rsid w:val="00A1687D"/>
    <w:rsid w:val="00A2178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0E1"/>
    <w:rsid w:val="00BD48FE"/>
    <w:rsid w:val="00BD7BD8"/>
    <w:rsid w:val="00BE6ADC"/>
    <w:rsid w:val="00C05BFE"/>
    <w:rsid w:val="00C10192"/>
    <w:rsid w:val="00C23CD4"/>
    <w:rsid w:val="00C61C0C"/>
    <w:rsid w:val="00C941CB"/>
    <w:rsid w:val="00CC2357"/>
    <w:rsid w:val="00CE2DFF"/>
    <w:rsid w:val="00CF071A"/>
    <w:rsid w:val="00D058B8"/>
    <w:rsid w:val="00D358B3"/>
    <w:rsid w:val="00D56C11"/>
    <w:rsid w:val="00D834A0"/>
    <w:rsid w:val="00D872DF"/>
    <w:rsid w:val="00D91E21"/>
    <w:rsid w:val="00DA7FCD"/>
    <w:rsid w:val="00E365E1"/>
    <w:rsid w:val="00E820A4"/>
    <w:rsid w:val="00E9362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CC3BA3"/>
  <w15:chartTrackingRefBased/>
  <w15:docId w15:val="{1EC8D225-E5E9-4ADF-A80A-1CA66578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2896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182896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">
    <w:name w:val="Bold"/>
    <w:uiPriority w:val="1"/>
    <w:rsid w:val="00182896"/>
    <w:rPr>
      <w:b/>
    </w:rPr>
  </w:style>
  <w:style w:type="character" w:customStyle="1" w:styleId="Italic">
    <w:name w:val="Italic"/>
    <w:uiPriority w:val="1"/>
    <w:rsid w:val="00182896"/>
    <w:rPr>
      <w:i/>
    </w:rPr>
  </w:style>
  <w:style w:type="paragraph" w:customStyle="1" w:styleId="Normal12a24b">
    <w:name w:val="Normal12a24b"/>
    <w:basedOn w:val="Normal"/>
    <w:rsid w:val="00182896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182896"/>
    <w:rPr>
      <w:color w:val="0000FF"/>
      <w:u w:val="single"/>
    </w:rPr>
  </w:style>
  <w:style w:type="paragraph" w:styleId="Revision">
    <w:name w:val="Revision"/>
    <w:hidden/>
    <w:uiPriority w:val="99"/>
    <w:semiHidden/>
    <w:rsid w:val="00891011"/>
    <w:rPr>
      <w:sz w:val="24"/>
      <w:lang w:val="sk-S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10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484B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84B2C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co/2021/2122/oj" TargetMode="External"/><Relationship Id="rId2" Type="http://schemas.openxmlformats.org/officeDocument/2006/relationships/hyperlink" Target="http://data.europa.eu/eli/C/2024/3364/oj" TargetMode="External"/><Relationship Id="rId1" Type="http://schemas.openxmlformats.org/officeDocument/2006/relationships/hyperlink" Target="http://data.europa.eu/eli/reg/2021/817/oj" TargetMode="External"/><Relationship Id="rId4" Type="http://schemas.openxmlformats.org/officeDocument/2006/relationships/hyperlink" Target="https://data.europa.eu/doi/10.2766/32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017FB-26A8-439F-B6E4-15235FF10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3309</Words>
  <Characters>21840</Characters>
  <Application>Microsoft Office Word</Application>
  <DocSecurity>0</DocSecurity>
  <Lines>182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2025-10-17T07:43:00Z</dcterms:created>
  <dcterms:modified xsi:type="dcterms:W3CDTF">2025-10-17T07:43:00Z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A10-0135/2025</vt:lpwstr>
  </property>
  <property fmtid="{D5CDD505-2E9C-101B-9397-08002B2CF9AE}" pid="4" name="&lt;Type&gt;">
    <vt:lpwstr>RR</vt:lpwstr>
  </property>
</Properties>
</file>