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3D3C" w14:paraId="2864A369" w14:textId="77777777" w:rsidTr="0010095E">
        <w:trPr>
          <w:trHeight w:hRule="exact" w:val="1418"/>
        </w:trPr>
        <w:tc>
          <w:tcPr>
            <w:tcW w:w="6804" w:type="dxa"/>
            <w:shd w:val="clear" w:color="auto" w:fill="auto"/>
            <w:vAlign w:val="center"/>
          </w:tcPr>
          <w:p w14:paraId="54DA8BB9" w14:textId="77777777" w:rsidR="00751A4A" w:rsidRPr="000B3D3C" w:rsidRDefault="002724C6" w:rsidP="0010095E">
            <w:pPr>
              <w:pStyle w:val="EPName"/>
            </w:pPr>
            <w:r w:rsidRPr="000B3D3C">
              <w:t>Europaparlamentet</w:t>
            </w:r>
          </w:p>
          <w:p w14:paraId="5F2F16C4" w14:textId="77777777" w:rsidR="00751A4A" w:rsidRPr="000B3D3C" w:rsidRDefault="005F1B17" w:rsidP="005F1B17">
            <w:pPr>
              <w:pStyle w:val="EPTerm"/>
              <w:rPr>
                <w:rStyle w:val="HideTWBExt"/>
                <w:noProof w:val="0"/>
                <w:vanish w:val="0"/>
                <w:color w:val="auto"/>
              </w:rPr>
            </w:pPr>
            <w:r w:rsidRPr="000B3D3C">
              <w:t>2024</w:t>
            </w:r>
            <w:r w:rsidR="00817416" w:rsidRPr="000B3D3C">
              <w:t>-202</w:t>
            </w:r>
            <w:r w:rsidRPr="000B3D3C">
              <w:t>9</w:t>
            </w:r>
          </w:p>
        </w:tc>
        <w:tc>
          <w:tcPr>
            <w:tcW w:w="2268" w:type="dxa"/>
            <w:shd w:val="clear" w:color="auto" w:fill="auto"/>
          </w:tcPr>
          <w:p w14:paraId="2C893FE3" w14:textId="77777777" w:rsidR="00751A4A" w:rsidRPr="000B3D3C" w:rsidRDefault="00187494" w:rsidP="0010095E">
            <w:pPr>
              <w:pStyle w:val="EPLogo"/>
            </w:pPr>
            <w:r w:rsidRPr="000B3D3C">
              <w:rPr>
                <w:noProof/>
                <w:lang w:eastAsia="ja-JP"/>
              </w:rPr>
              <w:drawing>
                <wp:inline distT="0" distB="0" distL="0" distR="0" wp14:anchorId="2DDFEFE1" wp14:editId="030266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DDB29C" w14:textId="77777777" w:rsidR="00D058B8" w:rsidRPr="000B3D3C" w:rsidRDefault="00D058B8" w:rsidP="004C5D52">
      <w:pPr>
        <w:pStyle w:val="LineTop"/>
      </w:pPr>
    </w:p>
    <w:p w14:paraId="4F19DEBE" w14:textId="77777777" w:rsidR="00680577" w:rsidRPr="000B3D3C" w:rsidRDefault="002724C6" w:rsidP="00680577">
      <w:pPr>
        <w:pStyle w:val="EPBodyTA1"/>
      </w:pPr>
      <w:r w:rsidRPr="000B3D3C">
        <w:t>ANTAGNA TEXTER</w:t>
      </w:r>
    </w:p>
    <w:p w14:paraId="2E82F139" w14:textId="77777777" w:rsidR="00D058B8" w:rsidRPr="000B3D3C" w:rsidRDefault="00D058B8" w:rsidP="00D058B8">
      <w:pPr>
        <w:pStyle w:val="LineBottom"/>
      </w:pPr>
    </w:p>
    <w:p w14:paraId="706CD525" w14:textId="2387BDC7" w:rsidR="002724C6" w:rsidRPr="000B3D3C" w:rsidRDefault="002724C6" w:rsidP="002724C6">
      <w:pPr>
        <w:pStyle w:val="ATHeading1"/>
      </w:pPr>
      <w:bookmarkStart w:id="0" w:name="TANumber"/>
      <w:r w:rsidRPr="000B3D3C">
        <w:t>P10_TA(2025)</w:t>
      </w:r>
      <w:bookmarkEnd w:id="0"/>
      <w:r w:rsidR="00EF24ED" w:rsidRPr="000B3D3C">
        <w:t>0</w:t>
      </w:r>
      <w:r w:rsidR="00EF24ED">
        <w:t>196</w:t>
      </w:r>
    </w:p>
    <w:p w14:paraId="1A39EA8C" w14:textId="77777777" w:rsidR="002724C6" w:rsidRPr="000B3D3C" w:rsidRDefault="002724C6" w:rsidP="002724C6">
      <w:pPr>
        <w:pStyle w:val="ATHeading2"/>
      </w:pPr>
      <w:bookmarkStart w:id="1" w:name="title"/>
      <w:r w:rsidRPr="000B3D3C">
        <w:t>En ny vision för allianser mellan Europauniversiteten</w:t>
      </w:r>
      <w:bookmarkEnd w:id="1"/>
    </w:p>
    <w:p w14:paraId="3AE7CB4F" w14:textId="77777777" w:rsidR="002724C6" w:rsidRPr="000B3D3C" w:rsidRDefault="002724C6" w:rsidP="002724C6">
      <w:pPr>
        <w:rPr>
          <w:i/>
          <w:vanish/>
        </w:rPr>
      </w:pPr>
      <w:r w:rsidRPr="000B3D3C">
        <w:rPr>
          <w:i/>
        </w:rPr>
        <w:fldChar w:fldCharType="begin"/>
      </w:r>
      <w:r w:rsidRPr="000B3D3C">
        <w:rPr>
          <w:i/>
        </w:rPr>
        <w:instrText xml:space="preserve"> TC"(</w:instrText>
      </w:r>
      <w:bookmarkStart w:id="2" w:name="DocNumber"/>
      <w:r w:rsidRPr="000B3D3C">
        <w:rPr>
          <w:i/>
        </w:rPr>
        <w:instrText>A10-0135/2025</w:instrText>
      </w:r>
      <w:bookmarkEnd w:id="2"/>
      <w:r w:rsidRPr="000B3D3C">
        <w:rPr>
          <w:i/>
        </w:rPr>
        <w:instrText xml:space="preserve"> - Föredragande: Laurence </w:instrText>
      </w:r>
      <w:proofErr w:type="spellStart"/>
      <w:r w:rsidRPr="000B3D3C">
        <w:rPr>
          <w:i/>
        </w:rPr>
        <w:instrText>Farreng</w:instrText>
      </w:r>
      <w:proofErr w:type="spellEnd"/>
      <w:r w:rsidRPr="000B3D3C">
        <w:rPr>
          <w:i/>
        </w:rPr>
        <w:instrText xml:space="preserve">)"\l3 \n&gt; \* MERGEFORMAT </w:instrText>
      </w:r>
      <w:r w:rsidRPr="000B3D3C">
        <w:rPr>
          <w:i/>
        </w:rPr>
        <w:fldChar w:fldCharType="end"/>
      </w:r>
    </w:p>
    <w:p w14:paraId="696F765B" w14:textId="77777777" w:rsidR="002724C6" w:rsidRPr="000B3D3C" w:rsidRDefault="002724C6" w:rsidP="002724C6">
      <w:pPr>
        <w:rPr>
          <w:vanish/>
        </w:rPr>
      </w:pPr>
      <w:bookmarkStart w:id="3" w:name="Commission"/>
      <w:r w:rsidRPr="000B3D3C">
        <w:rPr>
          <w:vanish/>
        </w:rPr>
        <w:t>Utskottet för kultur och utbildning</w:t>
      </w:r>
      <w:bookmarkEnd w:id="3"/>
    </w:p>
    <w:p w14:paraId="741C6708" w14:textId="77777777" w:rsidR="002724C6" w:rsidRPr="000B3D3C" w:rsidRDefault="002724C6" w:rsidP="002724C6">
      <w:pPr>
        <w:rPr>
          <w:vanish/>
        </w:rPr>
      </w:pPr>
      <w:bookmarkStart w:id="4" w:name="PE"/>
      <w:r w:rsidRPr="000B3D3C">
        <w:rPr>
          <w:vanish/>
        </w:rPr>
        <w:t>PE770.272</w:t>
      </w:r>
      <w:bookmarkEnd w:id="4"/>
    </w:p>
    <w:p w14:paraId="00A9A648" w14:textId="32BF98B0" w:rsidR="002724C6" w:rsidRPr="000B3D3C" w:rsidRDefault="002724C6" w:rsidP="002724C6">
      <w:pPr>
        <w:pStyle w:val="ATHeading3"/>
      </w:pPr>
      <w:bookmarkStart w:id="5" w:name="Sujet"/>
      <w:r w:rsidRPr="000B3D3C">
        <w:t xml:space="preserve">Europaparlamentets resolution av </w:t>
      </w:r>
      <w:r w:rsidRPr="00577984">
        <w:t xml:space="preserve">den </w:t>
      </w:r>
      <w:r w:rsidR="00A556EA" w:rsidRPr="00973FAD">
        <w:t xml:space="preserve">11 </w:t>
      </w:r>
      <w:r w:rsidR="00A556EA" w:rsidRPr="00577984">
        <w:t>september</w:t>
      </w:r>
      <w:r w:rsidR="00A556EA" w:rsidRPr="000B3D3C">
        <w:t xml:space="preserve"> </w:t>
      </w:r>
      <w:r w:rsidRPr="000B3D3C">
        <w:t>2025 om en ny vision för allianser mellan Europauniversiteten</w:t>
      </w:r>
      <w:bookmarkEnd w:id="5"/>
      <w:r w:rsidRPr="000B3D3C">
        <w:t xml:space="preserve"> </w:t>
      </w:r>
      <w:bookmarkStart w:id="6" w:name="References"/>
      <w:r w:rsidRPr="000B3D3C">
        <w:t>(2025/2036(INI))</w:t>
      </w:r>
      <w:bookmarkEnd w:id="6"/>
    </w:p>
    <w:p w14:paraId="3E559F08" w14:textId="77777777" w:rsidR="00534C8C" w:rsidRPr="000B3D3C" w:rsidRDefault="00534C8C" w:rsidP="00534C8C">
      <w:pPr>
        <w:pStyle w:val="EPComma"/>
      </w:pPr>
      <w:r w:rsidRPr="000B3D3C">
        <w:rPr>
          <w:rStyle w:val="Italic"/>
        </w:rPr>
        <w:t>Europaparlamentet utfärdar denna resolution</w:t>
      </w:r>
    </w:p>
    <w:p w14:paraId="75C2BB83" w14:textId="77777777" w:rsidR="00534C8C" w:rsidRPr="000B3D3C" w:rsidRDefault="00534C8C" w:rsidP="00534C8C">
      <w:pPr>
        <w:pStyle w:val="NormalHanging12a"/>
      </w:pPr>
      <w:r w:rsidRPr="000B3D3C">
        <w:t>–</w:t>
      </w:r>
      <w:r w:rsidRPr="000B3D3C">
        <w:tab/>
        <w:t>med beaktande av Europeiska unionens stadga om de grundläggande rättigheterna, särskilt artiklarna 13 och 14, om frihet för konsten och vetenskapen samt rätt till utbildning,</w:t>
      </w:r>
    </w:p>
    <w:p w14:paraId="4AA086FA" w14:textId="77777777" w:rsidR="00534C8C" w:rsidRPr="000B3D3C" w:rsidRDefault="00534C8C" w:rsidP="00534C8C">
      <w:pPr>
        <w:pStyle w:val="NormalHanging12a"/>
      </w:pPr>
      <w:r w:rsidRPr="000B3D3C">
        <w:t>–</w:t>
      </w:r>
      <w:r w:rsidRPr="000B3D3C">
        <w:tab/>
        <w:t>med beaktande av Europaparlamentets och rådets förordning (EU) 2021/817 av den 20 maj 2021 om inrättande av Erasmus+: Unionens program för utbildning, ungdom och idrott samt om upphävande av förordning (EU) nr 1288/2013</w:t>
      </w:r>
      <w:r w:rsidRPr="000B3D3C">
        <w:rPr>
          <w:rStyle w:val="FootnoteReference"/>
        </w:rPr>
        <w:footnoteReference w:id="1"/>
      </w:r>
      <w:r w:rsidRPr="000B3D3C">
        <w:t>,</w:t>
      </w:r>
    </w:p>
    <w:p w14:paraId="0B66FE5D" w14:textId="77777777" w:rsidR="00534C8C" w:rsidRPr="000B3D3C" w:rsidRDefault="00534C8C" w:rsidP="00534C8C">
      <w:pPr>
        <w:pStyle w:val="NormalHanging12a"/>
      </w:pPr>
      <w:r w:rsidRPr="000B3D3C">
        <w:t>–</w:t>
      </w:r>
      <w:r w:rsidRPr="000B3D3C">
        <w:tab/>
        <w:t xml:space="preserve">med beaktande av studien av den 11 september 2023, för utskottet för kultur och utbildning, med titeln </w:t>
      </w:r>
      <w:r w:rsidRPr="000B3D3C">
        <w:rPr>
          <w:i/>
          <w:iCs/>
        </w:rPr>
        <w:t xml:space="preserve">EU </w:t>
      </w:r>
      <w:proofErr w:type="spellStart"/>
      <w:r w:rsidRPr="000B3D3C">
        <w:rPr>
          <w:i/>
          <w:iCs/>
        </w:rPr>
        <w:t>funding</w:t>
      </w:r>
      <w:proofErr w:type="spellEnd"/>
      <w:r w:rsidRPr="000B3D3C">
        <w:rPr>
          <w:i/>
          <w:iCs/>
        </w:rPr>
        <w:t xml:space="preserve"> </w:t>
      </w:r>
      <w:proofErr w:type="spellStart"/>
      <w:r w:rsidRPr="000B3D3C">
        <w:rPr>
          <w:i/>
          <w:iCs/>
        </w:rPr>
        <w:t>programmes</w:t>
      </w:r>
      <w:proofErr w:type="spellEnd"/>
      <w:r w:rsidRPr="000B3D3C">
        <w:rPr>
          <w:i/>
          <w:iCs/>
        </w:rPr>
        <w:t xml:space="preserve"> 2021-2027 in </w:t>
      </w:r>
      <w:proofErr w:type="spellStart"/>
      <w:r w:rsidRPr="000B3D3C">
        <w:rPr>
          <w:i/>
          <w:iCs/>
        </w:rPr>
        <w:t>culture</w:t>
      </w:r>
      <w:proofErr w:type="spellEnd"/>
      <w:r w:rsidRPr="000B3D3C">
        <w:rPr>
          <w:i/>
          <w:iCs/>
        </w:rPr>
        <w:t xml:space="preserve">, media, </w:t>
      </w:r>
      <w:proofErr w:type="spellStart"/>
      <w:r w:rsidRPr="000B3D3C">
        <w:rPr>
          <w:i/>
          <w:iCs/>
        </w:rPr>
        <w:t>education</w:t>
      </w:r>
      <w:proofErr w:type="spellEnd"/>
      <w:r w:rsidRPr="000B3D3C">
        <w:rPr>
          <w:i/>
          <w:iCs/>
        </w:rPr>
        <w:t xml:space="preserve">, </w:t>
      </w:r>
      <w:proofErr w:type="spellStart"/>
      <w:r w:rsidRPr="000B3D3C">
        <w:rPr>
          <w:i/>
          <w:iCs/>
        </w:rPr>
        <w:t>youth</w:t>
      </w:r>
      <w:proofErr w:type="spellEnd"/>
      <w:r w:rsidRPr="000B3D3C">
        <w:rPr>
          <w:i/>
          <w:iCs/>
        </w:rPr>
        <w:t xml:space="preserve"> and sports</w:t>
      </w:r>
      <w:r w:rsidRPr="000B3D3C">
        <w:t xml:space="preserve">: </w:t>
      </w:r>
      <w:proofErr w:type="spellStart"/>
      <w:r w:rsidRPr="000B3D3C">
        <w:rPr>
          <w:i/>
          <w:iCs/>
        </w:rPr>
        <w:t>first</w:t>
      </w:r>
      <w:proofErr w:type="spellEnd"/>
      <w:r w:rsidRPr="000B3D3C">
        <w:rPr>
          <w:i/>
          <w:iCs/>
        </w:rPr>
        <w:t xml:space="preserve"> </w:t>
      </w:r>
      <w:proofErr w:type="spellStart"/>
      <w:r w:rsidRPr="000B3D3C">
        <w:rPr>
          <w:i/>
          <w:iCs/>
        </w:rPr>
        <w:t>lessons</w:t>
      </w:r>
      <w:proofErr w:type="spellEnd"/>
      <w:r w:rsidRPr="000B3D3C">
        <w:rPr>
          <w:i/>
          <w:iCs/>
        </w:rPr>
        <w:t xml:space="preserve">, </w:t>
      </w:r>
      <w:proofErr w:type="spellStart"/>
      <w:r w:rsidRPr="000B3D3C">
        <w:rPr>
          <w:i/>
          <w:iCs/>
        </w:rPr>
        <w:t>challenges</w:t>
      </w:r>
      <w:proofErr w:type="spellEnd"/>
      <w:r w:rsidRPr="000B3D3C">
        <w:rPr>
          <w:i/>
          <w:iCs/>
        </w:rPr>
        <w:t xml:space="preserve"> and </w:t>
      </w:r>
      <w:proofErr w:type="spellStart"/>
      <w:r w:rsidRPr="000B3D3C">
        <w:rPr>
          <w:i/>
          <w:iCs/>
        </w:rPr>
        <w:t>future</w:t>
      </w:r>
      <w:proofErr w:type="spellEnd"/>
      <w:r w:rsidRPr="000B3D3C">
        <w:rPr>
          <w:i/>
          <w:iCs/>
        </w:rPr>
        <w:t xml:space="preserve"> </w:t>
      </w:r>
      <w:proofErr w:type="spellStart"/>
      <w:r w:rsidRPr="000B3D3C">
        <w:rPr>
          <w:i/>
          <w:iCs/>
        </w:rPr>
        <w:t>perspectives</w:t>
      </w:r>
      <w:proofErr w:type="spellEnd"/>
      <w:r w:rsidRPr="000B3D3C">
        <w:rPr>
          <w:i/>
          <w:iCs/>
        </w:rPr>
        <w:t xml:space="preserve"> – Erasmus+</w:t>
      </w:r>
      <w:r w:rsidRPr="000B3D3C">
        <w:t>,</w:t>
      </w:r>
    </w:p>
    <w:p w14:paraId="0938EB96" w14:textId="77777777" w:rsidR="00534C8C" w:rsidRPr="000B3D3C" w:rsidRDefault="00534C8C" w:rsidP="00534C8C">
      <w:pPr>
        <w:pStyle w:val="NormalHanging12a"/>
      </w:pPr>
      <w:r w:rsidRPr="000B3D3C">
        <w:t>–</w:t>
      </w:r>
      <w:r w:rsidRPr="000B3D3C">
        <w:tab/>
        <w:t xml:space="preserve">med beaktande av studien av den 20 juli 2023, för utskottet för kultur och utbildning, med titeln </w:t>
      </w:r>
      <w:proofErr w:type="spellStart"/>
      <w:r w:rsidRPr="000B3D3C">
        <w:rPr>
          <w:i/>
          <w:iCs/>
        </w:rPr>
        <w:t>Early</w:t>
      </w:r>
      <w:proofErr w:type="spellEnd"/>
      <w:r w:rsidRPr="000B3D3C">
        <w:rPr>
          <w:i/>
          <w:iCs/>
        </w:rPr>
        <w:t xml:space="preserve"> implementation </w:t>
      </w:r>
      <w:proofErr w:type="spellStart"/>
      <w:r w:rsidRPr="000B3D3C">
        <w:rPr>
          <w:i/>
          <w:iCs/>
        </w:rPr>
        <w:t>of</w:t>
      </w:r>
      <w:proofErr w:type="spellEnd"/>
      <w:r w:rsidRPr="000B3D3C">
        <w:rPr>
          <w:i/>
          <w:iCs/>
        </w:rPr>
        <w:t xml:space="preserve"> </w:t>
      </w:r>
      <w:proofErr w:type="spellStart"/>
      <w:r w:rsidRPr="000B3D3C">
        <w:rPr>
          <w:i/>
          <w:iCs/>
        </w:rPr>
        <w:t>four</w:t>
      </w:r>
      <w:proofErr w:type="spellEnd"/>
      <w:r w:rsidRPr="000B3D3C">
        <w:rPr>
          <w:i/>
          <w:iCs/>
        </w:rPr>
        <w:t xml:space="preserve"> 2021-2027 EU </w:t>
      </w:r>
      <w:proofErr w:type="spellStart"/>
      <w:r w:rsidRPr="000B3D3C">
        <w:rPr>
          <w:i/>
          <w:iCs/>
        </w:rPr>
        <w:t>programmes</w:t>
      </w:r>
      <w:proofErr w:type="spellEnd"/>
      <w:r w:rsidRPr="000B3D3C">
        <w:rPr>
          <w:i/>
          <w:iCs/>
        </w:rPr>
        <w:t>:</w:t>
      </w:r>
      <w:r w:rsidRPr="000B3D3C">
        <w:t xml:space="preserve"> </w:t>
      </w:r>
      <w:r w:rsidRPr="000B3D3C">
        <w:rPr>
          <w:i/>
          <w:iCs/>
        </w:rPr>
        <w:t xml:space="preserve">Erasmus+, </w:t>
      </w:r>
      <w:proofErr w:type="spellStart"/>
      <w:r w:rsidRPr="000B3D3C">
        <w:rPr>
          <w:i/>
          <w:iCs/>
        </w:rPr>
        <w:t>Creative</w:t>
      </w:r>
      <w:proofErr w:type="spellEnd"/>
      <w:r w:rsidRPr="000B3D3C">
        <w:rPr>
          <w:i/>
          <w:iCs/>
        </w:rPr>
        <w:t xml:space="preserve"> </w:t>
      </w:r>
      <w:proofErr w:type="spellStart"/>
      <w:r w:rsidRPr="000B3D3C">
        <w:rPr>
          <w:i/>
          <w:iCs/>
        </w:rPr>
        <w:t>Europe</w:t>
      </w:r>
      <w:proofErr w:type="spellEnd"/>
      <w:r w:rsidRPr="000B3D3C">
        <w:rPr>
          <w:i/>
          <w:iCs/>
        </w:rPr>
        <w:t xml:space="preserve">, </w:t>
      </w:r>
      <w:proofErr w:type="spellStart"/>
      <w:r w:rsidRPr="000B3D3C">
        <w:rPr>
          <w:i/>
          <w:iCs/>
        </w:rPr>
        <w:t>European</w:t>
      </w:r>
      <w:proofErr w:type="spellEnd"/>
      <w:r w:rsidRPr="000B3D3C">
        <w:rPr>
          <w:i/>
          <w:iCs/>
        </w:rPr>
        <w:t xml:space="preserve"> </w:t>
      </w:r>
      <w:proofErr w:type="spellStart"/>
      <w:r w:rsidRPr="000B3D3C">
        <w:rPr>
          <w:i/>
          <w:iCs/>
        </w:rPr>
        <w:t>Solidarity</w:t>
      </w:r>
      <w:proofErr w:type="spellEnd"/>
      <w:r w:rsidRPr="000B3D3C">
        <w:rPr>
          <w:i/>
          <w:iCs/>
        </w:rPr>
        <w:t xml:space="preserve"> Corps and Citizens, </w:t>
      </w:r>
      <w:proofErr w:type="spellStart"/>
      <w:r w:rsidRPr="000B3D3C">
        <w:rPr>
          <w:i/>
          <w:iCs/>
        </w:rPr>
        <w:t>Equality</w:t>
      </w:r>
      <w:proofErr w:type="spellEnd"/>
      <w:r w:rsidRPr="000B3D3C">
        <w:rPr>
          <w:i/>
          <w:iCs/>
        </w:rPr>
        <w:t xml:space="preserve">, </w:t>
      </w:r>
      <w:proofErr w:type="spellStart"/>
      <w:r w:rsidRPr="000B3D3C">
        <w:rPr>
          <w:i/>
          <w:iCs/>
        </w:rPr>
        <w:t>Rights</w:t>
      </w:r>
      <w:proofErr w:type="spellEnd"/>
      <w:r w:rsidRPr="000B3D3C">
        <w:rPr>
          <w:i/>
          <w:iCs/>
        </w:rPr>
        <w:t xml:space="preserve"> and </w:t>
      </w:r>
      <w:proofErr w:type="spellStart"/>
      <w:r w:rsidRPr="000B3D3C">
        <w:rPr>
          <w:i/>
          <w:iCs/>
        </w:rPr>
        <w:t>Values</w:t>
      </w:r>
      <w:proofErr w:type="spellEnd"/>
      <w:r w:rsidRPr="000B3D3C">
        <w:rPr>
          <w:i/>
          <w:iCs/>
        </w:rPr>
        <w:t xml:space="preserve"> (Strand 3)</w:t>
      </w:r>
      <w:r w:rsidRPr="000B3D3C">
        <w:t>,</w:t>
      </w:r>
    </w:p>
    <w:p w14:paraId="67B29D00" w14:textId="77777777" w:rsidR="00534C8C" w:rsidRPr="000B3D3C" w:rsidRDefault="00534C8C" w:rsidP="00534C8C">
      <w:pPr>
        <w:pStyle w:val="NormalHanging12a"/>
      </w:pPr>
      <w:r w:rsidRPr="000B3D3C">
        <w:t>–</w:t>
      </w:r>
      <w:r w:rsidRPr="000B3D3C">
        <w:tab/>
        <w:t>med beaktande av rådets slutsatser av den 17 maj 2021 om initiativet Europauniversitet – Brobyggande mellan högre utbildning, forskning, innovation och samhället: att bana väg för en ny dimension inom den europeiska högre utbildningen,</w:t>
      </w:r>
    </w:p>
    <w:p w14:paraId="4A3DFC17" w14:textId="77777777" w:rsidR="00534C8C" w:rsidRPr="000B3D3C" w:rsidRDefault="00534C8C" w:rsidP="00534C8C">
      <w:pPr>
        <w:pStyle w:val="NormalHanging12a"/>
      </w:pPr>
      <w:r w:rsidRPr="000B3D3C">
        <w:t>–</w:t>
      </w:r>
      <w:r w:rsidRPr="000B3D3C">
        <w:tab/>
        <w:t>med beaktande av rådets slutsatser av den 14 och 15 december 2017,</w:t>
      </w:r>
    </w:p>
    <w:p w14:paraId="46FCD832" w14:textId="77777777" w:rsidR="00534C8C" w:rsidRPr="000B3D3C" w:rsidRDefault="00534C8C" w:rsidP="00534C8C">
      <w:pPr>
        <w:pStyle w:val="NormalHanging12a"/>
      </w:pPr>
      <w:r w:rsidRPr="000B3D3C">
        <w:t>–</w:t>
      </w:r>
      <w:r w:rsidRPr="000B3D3C">
        <w:tab/>
        <w:t>med beaktande av rådets slutsatser av den 7 juni 2018 om vägen mot en vision om ett europeiskt område för utbildning,</w:t>
      </w:r>
    </w:p>
    <w:p w14:paraId="6CFEC7D5" w14:textId="77777777" w:rsidR="00534C8C" w:rsidRPr="000B3D3C" w:rsidRDefault="00534C8C" w:rsidP="00534C8C">
      <w:pPr>
        <w:pStyle w:val="NormalHanging12a"/>
      </w:pPr>
      <w:r w:rsidRPr="000B3D3C">
        <w:lastRenderedPageBreak/>
        <w:t>–</w:t>
      </w:r>
      <w:r w:rsidRPr="000B3D3C">
        <w:tab/>
        <w:t>med beaktande av rådets resolution av den 18 november 2019 om vidareutveckling av det europeiska området för utbildning som stöd för framtidsorienterade utbildningssystem</w:t>
      </w:r>
      <w:r w:rsidRPr="000B3D3C">
        <w:rPr>
          <w:rStyle w:val="FootnoteReference"/>
        </w:rPr>
        <w:footnoteReference w:id="2"/>
      </w:r>
      <w:r w:rsidRPr="000B3D3C">
        <w:t>,</w:t>
      </w:r>
    </w:p>
    <w:p w14:paraId="05453623" w14:textId="77777777" w:rsidR="00534C8C" w:rsidRPr="000B3D3C" w:rsidRDefault="00534C8C" w:rsidP="00534C8C">
      <w:pPr>
        <w:pStyle w:val="NormalHanging12a"/>
      </w:pPr>
      <w:r w:rsidRPr="000B3D3C">
        <w:t>–</w:t>
      </w:r>
      <w:r w:rsidRPr="000B3D3C">
        <w:tab/>
        <w:t>med beaktande av rådets resolution av den 29 november 2021 om en förnyad europeisk agenda för vuxenlärande 2021–2030</w:t>
      </w:r>
      <w:r w:rsidRPr="000B3D3C">
        <w:rPr>
          <w:rStyle w:val="FootnoteReference"/>
        </w:rPr>
        <w:footnoteReference w:id="3"/>
      </w:r>
      <w:r w:rsidRPr="000B3D3C">
        <w:t xml:space="preserve">, </w:t>
      </w:r>
    </w:p>
    <w:p w14:paraId="4B3A84A7" w14:textId="77777777" w:rsidR="00534C8C" w:rsidRPr="000B3D3C" w:rsidRDefault="00534C8C" w:rsidP="00534C8C">
      <w:pPr>
        <w:pStyle w:val="NormalHanging12a"/>
      </w:pPr>
      <w:r w:rsidRPr="000B3D3C">
        <w:t>–</w:t>
      </w:r>
      <w:r w:rsidRPr="000B3D3C">
        <w:tab/>
        <w:t xml:space="preserve">med beaktande av rådets rekommendation av den 13 maj 2024 </w:t>
      </w:r>
      <w:r w:rsidRPr="000B3D3C">
        <w:rPr>
          <w:i/>
          <w:iCs/>
        </w:rPr>
        <w:t>”Europa på väg” – möjligheter till mobilitet i utbildningssyfte för alla</w:t>
      </w:r>
      <w:r w:rsidRPr="000B3D3C">
        <w:rPr>
          <w:rStyle w:val="FootnoteReference"/>
        </w:rPr>
        <w:footnoteReference w:id="4"/>
      </w:r>
      <w:r w:rsidRPr="000B3D3C">
        <w:t>,</w:t>
      </w:r>
    </w:p>
    <w:p w14:paraId="1EFFCD64" w14:textId="1E74FA84" w:rsidR="00534C8C" w:rsidRPr="000B3D3C" w:rsidRDefault="00534C8C" w:rsidP="00534C8C">
      <w:pPr>
        <w:pStyle w:val="NormalHanging12a"/>
      </w:pPr>
      <w:r w:rsidRPr="000B3D3C">
        <w:t>–</w:t>
      </w:r>
      <w:r w:rsidRPr="000B3D3C">
        <w:tab/>
        <w:t>med beaktande av kommissionens förslag av den 28 februari 2025 till rådets rekommendation om den politiska agendan för det europeiska forskningsområdet 2025–2027 (</w:t>
      </w:r>
      <w:r w:rsidR="00577984" w:rsidRPr="00823CF7">
        <w:t>COM(2025)0062</w:t>
      </w:r>
      <w:r w:rsidRPr="000B3D3C">
        <w:t>),</w:t>
      </w:r>
    </w:p>
    <w:p w14:paraId="56773D2F" w14:textId="77777777" w:rsidR="00534C8C" w:rsidRPr="000B3D3C" w:rsidRDefault="00534C8C" w:rsidP="00534C8C">
      <w:pPr>
        <w:pStyle w:val="NormalHanging12a"/>
      </w:pPr>
      <w:r w:rsidRPr="000B3D3C">
        <w:t>–</w:t>
      </w:r>
      <w:r w:rsidRPr="000B3D3C">
        <w:tab/>
        <w:t>med beaktande av rådets rekommendation (EU) 2021/2122 av den 26 november 2021 om en pakt för forskning och innovation i Europa</w:t>
      </w:r>
      <w:r w:rsidRPr="000B3D3C">
        <w:rPr>
          <w:rStyle w:val="FootnoteReference"/>
        </w:rPr>
        <w:footnoteReference w:id="5"/>
      </w:r>
      <w:r w:rsidRPr="000B3D3C">
        <w:t>,</w:t>
      </w:r>
    </w:p>
    <w:p w14:paraId="37731555" w14:textId="08BB55F9" w:rsidR="00534C8C" w:rsidRPr="000B3D3C" w:rsidRDefault="00534C8C" w:rsidP="00534C8C">
      <w:pPr>
        <w:pStyle w:val="NormalHanging12a"/>
      </w:pPr>
      <w:r w:rsidRPr="000B3D3C">
        <w:t>–</w:t>
      </w:r>
      <w:r w:rsidRPr="000B3D3C">
        <w:tab/>
        <w:t>med beaktande av kommissionens meddelande av den 18 januari 2022 om en europeisk universitetsstrategi (</w:t>
      </w:r>
      <w:r w:rsidR="00577984" w:rsidRPr="00823CF7">
        <w:t>COM(2022)0016</w:t>
      </w:r>
      <w:r w:rsidRPr="000B3D3C">
        <w:t>),</w:t>
      </w:r>
    </w:p>
    <w:p w14:paraId="55062EE0" w14:textId="77777777" w:rsidR="00534C8C" w:rsidRPr="000B3D3C" w:rsidRDefault="00534C8C" w:rsidP="00534C8C">
      <w:pPr>
        <w:pStyle w:val="NormalHanging12a"/>
      </w:pPr>
      <w:r w:rsidRPr="000B3D3C">
        <w:t>–</w:t>
      </w:r>
      <w:r w:rsidRPr="000B3D3C">
        <w:tab/>
        <w:t xml:space="preserve">med beaktande av kommissionens rapport av den 15 april 2024, med titeln </w:t>
      </w:r>
      <w:proofErr w:type="spellStart"/>
      <w:r w:rsidRPr="000B3D3C">
        <w:rPr>
          <w:i/>
          <w:iCs/>
        </w:rPr>
        <w:t>Report</w:t>
      </w:r>
      <w:proofErr w:type="spellEnd"/>
      <w:r w:rsidRPr="000B3D3C">
        <w:rPr>
          <w:i/>
          <w:iCs/>
        </w:rPr>
        <w:t xml:space="preserve"> on </w:t>
      </w:r>
      <w:proofErr w:type="spellStart"/>
      <w:r w:rsidRPr="000B3D3C">
        <w:rPr>
          <w:i/>
          <w:iCs/>
        </w:rPr>
        <w:t>good</w:t>
      </w:r>
      <w:proofErr w:type="spellEnd"/>
      <w:r w:rsidRPr="000B3D3C">
        <w:rPr>
          <w:i/>
          <w:iCs/>
        </w:rPr>
        <w:t xml:space="preserve"> </w:t>
      </w:r>
      <w:proofErr w:type="spellStart"/>
      <w:r w:rsidRPr="000B3D3C">
        <w:rPr>
          <w:i/>
          <w:iCs/>
        </w:rPr>
        <w:t>practices</w:t>
      </w:r>
      <w:proofErr w:type="spellEnd"/>
      <w:r w:rsidRPr="000B3D3C">
        <w:rPr>
          <w:i/>
          <w:iCs/>
        </w:rPr>
        <w:t xml:space="preserve"> from </w:t>
      </w:r>
      <w:proofErr w:type="spellStart"/>
      <w:r w:rsidRPr="000B3D3C">
        <w:rPr>
          <w:i/>
          <w:iCs/>
        </w:rPr>
        <w:t>European</w:t>
      </w:r>
      <w:proofErr w:type="spellEnd"/>
      <w:r w:rsidRPr="000B3D3C">
        <w:rPr>
          <w:i/>
          <w:iCs/>
        </w:rPr>
        <w:t xml:space="preserve"> University Alliances Projects (pilot II)</w:t>
      </w:r>
      <w:r w:rsidRPr="000B3D3C">
        <w:t>,</w:t>
      </w:r>
    </w:p>
    <w:p w14:paraId="69412EC6" w14:textId="77777777" w:rsidR="00534C8C" w:rsidRPr="000B3D3C" w:rsidRDefault="00534C8C" w:rsidP="00534C8C">
      <w:pPr>
        <w:pStyle w:val="NormalHanging12a"/>
      </w:pPr>
      <w:r w:rsidRPr="000B3D3C">
        <w:t>–</w:t>
      </w:r>
      <w:r w:rsidRPr="000B3D3C">
        <w:tab/>
        <w:t>med beaktande av kommissionens rapport om resultaten av och förändringspotentialen hos initiativet Europauniversitet</w:t>
      </w:r>
      <w:r w:rsidRPr="000B3D3C">
        <w:rPr>
          <w:rStyle w:val="FootnoteReference"/>
        </w:rPr>
        <w:footnoteReference w:id="6"/>
      </w:r>
      <w:r w:rsidRPr="000B3D3C">
        <w:t>,</w:t>
      </w:r>
    </w:p>
    <w:p w14:paraId="04AC5540" w14:textId="15DDF7E4" w:rsidR="00534C8C" w:rsidRPr="000B3D3C" w:rsidRDefault="00534C8C" w:rsidP="00534C8C">
      <w:pPr>
        <w:pStyle w:val="NormalHanging12a"/>
      </w:pPr>
      <w:r w:rsidRPr="000B3D3C">
        <w:t>–</w:t>
      </w:r>
      <w:r w:rsidRPr="000B3D3C">
        <w:tab/>
        <w:t>med beaktande av kommissionens meddelande av den 27 mars 2024 om en plan för en europeisk examen (</w:t>
      </w:r>
      <w:r w:rsidR="00FA1CB1" w:rsidRPr="00823CF7">
        <w:t>COM(2024)0144</w:t>
      </w:r>
      <w:r w:rsidRPr="000B3D3C">
        <w:t>),</w:t>
      </w:r>
    </w:p>
    <w:p w14:paraId="624F1A44" w14:textId="45C5AFB8" w:rsidR="00534C8C" w:rsidRPr="000B3D3C" w:rsidRDefault="00534C8C" w:rsidP="00534C8C">
      <w:pPr>
        <w:pStyle w:val="NormalHanging12a"/>
      </w:pPr>
      <w:r w:rsidRPr="000B3D3C">
        <w:t>–</w:t>
      </w:r>
      <w:r w:rsidRPr="000B3D3C">
        <w:tab/>
        <w:t xml:space="preserve">med beaktande av arbetsdokumentet från kommissionens avdelningar av den 27 mars 2024 (SWD(2024)0074) som åtföljer kommissionens meddelande </w:t>
      </w:r>
      <w:r w:rsidR="00FA1CB1" w:rsidRPr="00823CF7">
        <w:t>COM(2024)0144</w:t>
      </w:r>
      <w:r w:rsidRPr="000B3D3C">
        <w:t>, kommissionens förslag av den 27 mars 2024 till rådets rekommendation om ett europeiskt system för kvalitetssäkring och erkännande inom högre utbildning (</w:t>
      </w:r>
      <w:r w:rsidR="00FA1CB1" w:rsidRPr="00823CF7">
        <w:t>COM(2024)0147</w:t>
      </w:r>
      <w:r w:rsidRPr="000B3D3C">
        <w:t>) och kommissionens förslag av den 27 mars 2024 till rådets rekommendation om attraktiva och hållbara karriärer inom högre utbildning (</w:t>
      </w:r>
      <w:r w:rsidR="00FA1CB1" w:rsidRPr="00823CF7">
        <w:t>COM(2024)0145</w:t>
      </w:r>
      <w:r w:rsidRPr="000B3D3C">
        <w:t>),</w:t>
      </w:r>
    </w:p>
    <w:p w14:paraId="0FAF8E61" w14:textId="77777777" w:rsidR="00534C8C" w:rsidRPr="000B3D3C" w:rsidRDefault="00534C8C" w:rsidP="00534C8C">
      <w:pPr>
        <w:pStyle w:val="NormalHanging12a"/>
      </w:pPr>
      <w:r w:rsidRPr="000B3D3C">
        <w:t>–</w:t>
      </w:r>
      <w:r w:rsidRPr="000B3D3C">
        <w:tab/>
        <w:t xml:space="preserve">med beaktande av arbetsdokumentet från kommissionens avdelningar av den 19 december 2024, med titeln </w:t>
      </w:r>
      <w:proofErr w:type="spellStart"/>
      <w:r w:rsidRPr="000B3D3C">
        <w:rPr>
          <w:i/>
          <w:iCs/>
        </w:rPr>
        <w:t>Report</w:t>
      </w:r>
      <w:proofErr w:type="spellEnd"/>
      <w:r w:rsidRPr="000B3D3C">
        <w:rPr>
          <w:i/>
          <w:iCs/>
        </w:rPr>
        <w:t xml:space="preserve"> on the final </w:t>
      </w:r>
      <w:proofErr w:type="spellStart"/>
      <w:r w:rsidRPr="000B3D3C">
        <w:rPr>
          <w:i/>
          <w:iCs/>
        </w:rPr>
        <w:t>outcomes</w:t>
      </w:r>
      <w:proofErr w:type="spellEnd"/>
      <w:r w:rsidRPr="000B3D3C">
        <w:rPr>
          <w:i/>
          <w:iCs/>
        </w:rPr>
        <w:t xml:space="preserve"> </w:t>
      </w:r>
      <w:proofErr w:type="spellStart"/>
      <w:r w:rsidRPr="000B3D3C">
        <w:rPr>
          <w:i/>
          <w:iCs/>
        </w:rPr>
        <w:t>of</w:t>
      </w:r>
      <w:proofErr w:type="spellEnd"/>
      <w:r w:rsidRPr="000B3D3C">
        <w:rPr>
          <w:i/>
          <w:iCs/>
        </w:rPr>
        <w:t xml:space="preserve"> the Erasmus+ policy </w:t>
      </w:r>
      <w:proofErr w:type="spellStart"/>
      <w:r w:rsidRPr="000B3D3C">
        <w:rPr>
          <w:i/>
          <w:iCs/>
        </w:rPr>
        <w:t>experimentation</w:t>
      </w:r>
      <w:proofErr w:type="spellEnd"/>
      <w:r w:rsidRPr="000B3D3C">
        <w:rPr>
          <w:i/>
          <w:iCs/>
        </w:rPr>
        <w:t xml:space="preserve"> </w:t>
      </w:r>
      <w:proofErr w:type="spellStart"/>
      <w:r w:rsidRPr="000B3D3C">
        <w:rPr>
          <w:i/>
          <w:iCs/>
        </w:rPr>
        <w:t>projects</w:t>
      </w:r>
      <w:proofErr w:type="spellEnd"/>
      <w:r w:rsidRPr="000B3D3C">
        <w:rPr>
          <w:i/>
          <w:iCs/>
        </w:rPr>
        <w:t>:</w:t>
      </w:r>
      <w:r w:rsidRPr="000B3D3C">
        <w:t xml:space="preserve"> </w:t>
      </w:r>
      <w:proofErr w:type="spellStart"/>
      <w:r w:rsidRPr="000B3D3C">
        <w:rPr>
          <w:i/>
          <w:iCs/>
        </w:rPr>
        <w:t>European</w:t>
      </w:r>
      <w:proofErr w:type="spellEnd"/>
      <w:r w:rsidRPr="000B3D3C">
        <w:rPr>
          <w:i/>
          <w:iCs/>
        </w:rPr>
        <w:t xml:space="preserve"> </w:t>
      </w:r>
      <w:proofErr w:type="spellStart"/>
      <w:r w:rsidRPr="000B3D3C">
        <w:rPr>
          <w:i/>
          <w:iCs/>
        </w:rPr>
        <w:t>degree</w:t>
      </w:r>
      <w:proofErr w:type="spellEnd"/>
      <w:r w:rsidRPr="000B3D3C">
        <w:rPr>
          <w:i/>
          <w:iCs/>
        </w:rPr>
        <w:t xml:space="preserve"> (</w:t>
      </w:r>
      <w:proofErr w:type="spellStart"/>
      <w:r w:rsidRPr="000B3D3C">
        <w:rPr>
          <w:i/>
          <w:iCs/>
        </w:rPr>
        <w:t>label</w:t>
      </w:r>
      <w:proofErr w:type="spellEnd"/>
      <w:r w:rsidRPr="000B3D3C">
        <w:rPr>
          <w:i/>
          <w:iCs/>
        </w:rPr>
        <w:t xml:space="preserve">) and </w:t>
      </w:r>
      <w:proofErr w:type="spellStart"/>
      <w:r w:rsidRPr="000B3D3C">
        <w:rPr>
          <w:i/>
          <w:iCs/>
        </w:rPr>
        <w:t>institutionalised</w:t>
      </w:r>
      <w:proofErr w:type="spellEnd"/>
      <w:r w:rsidRPr="000B3D3C">
        <w:rPr>
          <w:i/>
          <w:iCs/>
        </w:rPr>
        <w:t xml:space="preserve"> EU </w:t>
      </w:r>
      <w:proofErr w:type="spellStart"/>
      <w:r w:rsidRPr="000B3D3C">
        <w:rPr>
          <w:i/>
          <w:iCs/>
        </w:rPr>
        <w:t>cooperation</w:t>
      </w:r>
      <w:proofErr w:type="spellEnd"/>
      <w:r w:rsidRPr="000B3D3C">
        <w:rPr>
          <w:i/>
          <w:iCs/>
        </w:rPr>
        <w:t xml:space="preserve"> instruments</w:t>
      </w:r>
      <w:r w:rsidRPr="000B3D3C">
        <w:t xml:space="preserve"> (SWD(2024)0291),</w:t>
      </w:r>
    </w:p>
    <w:p w14:paraId="5CF5D363" w14:textId="4BF2F6EA" w:rsidR="00534C8C" w:rsidRPr="000B3D3C" w:rsidRDefault="00534C8C" w:rsidP="00534C8C">
      <w:pPr>
        <w:pStyle w:val="NormalHanging12a"/>
      </w:pPr>
      <w:r w:rsidRPr="000B3D3C">
        <w:lastRenderedPageBreak/>
        <w:t>–</w:t>
      </w:r>
      <w:r w:rsidRPr="000B3D3C">
        <w:tab/>
        <w:t>med beaktande av kommissionens meddelande av den 5 mars 2025 om kompetensunionen (</w:t>
      </w:r>
      <w:r w:rsidR="00FA1CB1" w:rsidRPr="00823CF7">
        <w:t>COM(2025)0090</w:t>
      </w:r>
      <w:r w:rsidRPr="000B3D3C">
        <w:t>),</w:t>
      </w:r>
    </w:p>
    <w:p w14:paraId="5DBB66FD" w14:textId="42F75D61" w:rsidR="00534C8C" w:rsidRPr="000B3D3C" w:rsidRDefault="00534C8C" w:rsidP="00534C8C">
      <w:pPr>
        <w:pStyle w:val="NormalHanging12a"/>
      </w:pPr>
      <w:r w:rsidRPr="000B3D3C">
        <w:t>–</w:t>
      </w:r>
      <w:r w:rsidRPr="000B3D3C">
        <w:tab/>
        <w:t xml:space="preserve">med beaktande av kommissionens meddelande av den 5 mars 2025, med titeln </w:t>
      </w:r>
      <w:r w:rsidRPr="000B3D3C">
        <w:rPr>
          <w:i/>
          <w:iCs/>
        </w:rPr>
        <w:t>En strategisk plan för utbildning inom naturvetenskap, teknik, ingenjörsvetenskap och matematik:</w:t>
      </w:r>
      <w:r w:rsidRPr="000B3D3C">
        <w:t xml:space="preserve"> </w:t>
      </w:r>
      <w:r w:rsidRPr="000B3D3C">
        <w:rPr>
          <w:i/>
          <w:iCs/>
        </w:rPr>
        <w:t>kompetens för konkurrenskraft och innovation</w:t>
      </w:r>
      <w:r w:rsidRPr="000B3D3C">
        <w:t xml:space="preserve"> (</w:t>
      </w:r>
      <w:r w:rsidR="00FA1CB1" w:rsidRPr="00823CF7">
        <w:t>COM(2025)0089</w:t>
      </w:r>
      <w:r w:rsidRPr="000B3D3C">
        <w:t>),</w:t>
      </w:r>
    </w:p>
    <w:p w14:paraId="796AD292" w14:textId="77777777" w:rsidR="00534C8C" w:rsidRPr="000B3D3C" w:rsidRDefault="00534C8C" w:rsidP="00534C8C">
      <w:pPr>
        <w:pStyle w:val="NormalHanging12a"/>
      </w:pPr>
      <w:r w:rsidRPr="000B3D3C">
        <w:t>–</w:t>
      </w:r>
      <w:r w:rsidRPr="000B3D3C">
        <w:tab/>
        <w:t>med beaktande av halvtidsöversynen av det europeiska området för utbildning från 2023,</w:t>
      </w:r>
    </w:p>
    <w:p w14:paraId="121D2301" w14:textId="77777777" w:rsidR="00534C8C" w:rsidRPr="000B3D3C" w:rsidRDefault="00534C8C" w:rsidP="00534C8C">
      <w:pPr>
        <w:pStyle w:val="NormalHanging12a"/>
      </w:pPr>
      <w:r w:rsidRPr="000B3D3C">
        <w:t>–</w:t>
      </w:r>
      <w:r w:rsidRPr="000B3D3C">
        <w:tab/>
        <w:t>med beaktande av ministerkommunikén av den 19 november 2020 som antogs i Rom vid ministerkonferensen om det europeiska området för högre utbildning,</w:t>
      </w:r>
    </w:p>
    <w:p w14:paraId="02D48980" w14:textId="77777777" w:rsidR="00534C8C" w:rsidRPr="000B3D3C" w:rsidRDefault="00534C8C" w:rsidP="00534C8C">
      <w:pPr>
        <w:pStyle w:val="NormalHanging12a"/>
      </w:pPr>
      <w:r w:rsidRPr="000B3D3C">
        <w:t>–</w:t>
      </w:r>
      <w:r w:rsidRPr="000B3D3C">
        <w:tab/>
        <w:t>med beaktande av de principer, riktlinjer och indikatorer inom den sociala dimensionen av högre utbildning av den 9 januari 2024 som offentliggjordes av uppföljningsgruppen för Bolognaprocessen, arbetsgruppen för den sociala dimensionen 2021–2024,</w:t>
      </w:r>
    </w:p>
    <w:p w14:paraId="2EABA674" w14:textId="77777777" w:rsidR="00534C8C" w:rsidRPr="000B3D3C" w:rsidRDefault="00534C8C" w:rsidP="00534C8C">
      <w:pPr>
        <w:pStyle w:val="NormalHanging12a"/>
      </w:pPr>
      <w:r w:rsidRPr="000B3D3C">
        <w:t>–</w:t>
      </w:r>
      <w:r w:rsidRPr="000B3D3C">
        <w:tab/>
        <w:t xml:space="preserve">med beaktande av Enrico </w:t>
      </w:r>
      <w:proofErr w:type="spellStart"/>
      <w:r w:rsidRPr="000B3D3C">
        <w:t>Lettas</w:t>
      </w:r>
      <w:proofErr w:type="spellEnd"/>
      <w:r w:rsidRPr="000B3D3C">
        <w:t xml:space="preserve"> oberoende högnivårapport om den inre marknadens framtid, med titeln </w:t>
      </w:r>
      <w:proofErr w:type="spellStart"/>
      <w:r w:rsidRPr="000B3D3C">
        <w:rPr>
          <w:i/>
          <w:iCs/>
        </w:rPr>
        <w:t>Much</w:t>
      </w:r>
      <w:proofErr w:type="spellEnd"/>
      <w:r w:rsidRPr="000B3D3C">
        <w:rPr>
          <w:i/>
          <w:iCs/>
        </w:rPr>
        <w:t xml:space="preserve"> </w:t>
      </w:r>
      <w:proofErr w:type="spellStart"/>
      <w:r w:rsidRPr="000B3D3C">
        <w:rPr>
          <w:i/>
          <w:iCs/>
        </w:rPr>
        <w:t>more</w:t>
      </w:r>
      <w:proofErr w:type="spellEnd"/>
      <w:r w:rsidRPr="000B3D3C">
        <w:rPr>
          <w:i/>
          <w:iCs/>
        </w:rPr>
        <w:t xml:space="preserve"> </w:t>
      </w:r>
      <w:proofErr w:type="spellStart"/>
      <w:r w:rsidRPr="000B3D3C">
        <w:rPr>
          <w:i/>
          <w:iCs/>
        </w:rPr>
        <w:t>than</w:t>
      </w:r>
      <w:proofErr w:type="spellEnd"/>
      <w:r w:rsidRPr="000B3D3C">
        <w:rPr>
          <w:i/>
          <w:iCs/>
        </w:rPr>
        <w:t xml:space="preserve"> a market – Speed, </w:t>
      </w:r>
      <w:proofErr w:type="spellStart"/>
      <w:r w:rsidRPr="000B3D3C">
        <w:rPr>
          <w:i/>
          <w:iCs/>
        </w:rPr>
        <w:t>Security</w:t>
      </w:r>
      <w:proofErr w:type="spellEnd"/>
      <w:r w:rsidRPr="000B3D3C">
        <w:rPr>
          <w:i/>
          <w:iCs/>
        </w:rPr>
        <w:t xml:space="preserve">, </w:t>
      </w:r>
      <w:proofErr w:type="spellStart"/>
      <w:r w:rsidRPr="000B3D3C">
        <w:rPr>
          <w:i/>
          <w:iCs/>
        </w:rPr>
        <w:t>Solidarity</w:t>
      </w:r>
      <w:proofErr w:type="spellEnd"/>
      <w:r w:rsidRPr="000B3D3C">
        <w:rPr>
          <w:i/>
          <w:iCs/>
        </w:rPr>
        <w:t>:</w:t>
      </w:r>
      <w:r w:rsidRPr="000B3D3C">
        <w:t xml:space="preserve"> </w:t>
      </w:r>
      <w:proofErr w:type="spellStart"/>
      <w:r w:rsidRPr="000B3D3C">
        <w:rPr>
          <w:i/>
          <w:iCs/>
        </w:rPr>
        <w:t>Empowering</w:t>
      </w:r>
      <w:proofErr w:type="spellEnd"/>
      <w:r w:rsidRPr="000B3D3C">
        <w:rPr>
          <w:i/>
          <w:iCs/>
        </w:rPr>
        <w:t xml:space="preserve"> the </w:t>
      </w:r>
      <w:proofErr w:type="spellStart"/>
      <w:r w:rsidRPr="000B3D3C">
        <w:rPr>
          <w:i/>
          <w:iCs/>
        </w:rPr>
        <w:t>Single</w:t>
      </w:r>
      <w:proofErr w:type="spellEnd"/>
      <w:r w:rsidRPr="000B3D3C">
        <w:rPr>
          <w:i/>
          <w:iCs/>
        </w:rPr>
        <w:t xml:space="preserve"> Market to </w:t>
      </w:r>
      <w:proofErr w:type="spellStart"/>
      <w:r w:rsidRPr="000B3D3C">
        <w:rPr>
          <w:i/>
          <w:iCs/>
        </w:rPr>
        <w:t>deliver</w:t>
      </w:r>
      <w:proofErr w:type="spellEnd"/>
      <w:r w:rsidRPr="000B3D3C">
        <w:rPr>
          <w:i/>
          <w:iCs/>
        </w:rPr>
        <w:t xml:space="preserve"> a </w:t>
      </w:r>
      <w:proofErr w:type="spellStart"/>
      <w:r w:rsidRPr="000B3D3C">
        <w:rPr>
          <w:i/>
          <w:iCs/>
        </w:rPr>
        <w:t>sustainable</w:t>
      </w:r>
      <w:proofErr w:type="spellEnd"/>
      <w:r w:rsidRPr="000B3D3C">
        <w:rPr>
          <w:i/>
          <w:iCs/>
        </w:rPr>
        <w:t xml:space="preserve"> </w:t>
      </w:r>
      <w:proofErr w:type="spellStart"/>
      <w:r w:rsidRPr="000B3D3C">
        <w:rPr>
          <w:i/>
          <w:iCs/>
        </w:rPr>
        <w:t>future</w:t>
      </w:r>
      <w:proofErr w:type="spellEnd"/>
      <w:r w:rsidRPr="000B3D3C">
        <w:rPr>
          <w:i/>
          <w:iCs/>
        </w:rPr>
        <w:t xml:space="preserve"> and </w:t>
      </w:r>
      <w:proofErr w:type="spellStart"/>
      <w:r w:rsidRPr="000B3D3C">
        <w:rPr>
          <w:i/>
          <w:iCs/>
        </w:rPr>
        <w:t>prosperity</w:t>
      </w:r>
      <w:proofErr w:type="spellEnd"/>
      <w:r w:rsidRPr="000B3D3C">
        <w:rPr>
          <w:i/>
          <w:iCs/>
        </w:rPr>
        <w:t xml:space="preserve"> for all EU Citizens</w:t>
      </w:r>
      <w:r w:rsidRPr="000B3D3C">
        <w:t>, offentliggjord i april 2024,</w:t>
      </w:r>
    </w:p>
    <w:p w14:paraId="0A1D7767" w14:textId="77777777" w:rsidR="00534C8C" w:rsidRPr="000B3D3C" w:rsidRDefault="00534C8C" w:rsidP="00534C8C">
      <w:pPr>
        <w:pStyle w:val="NormalHanging12a"/>
      </w:pPr>
      <w:r w:rsidRPr="000B3D3C">
        <w:t>–</w:t>
      </w:r>
      <w:r w:rsidRPr="000B3D3C">
        <w:tab/>
        <w:t xml:space="preserve">med beaktande av Mario </w:t>
      </w:r>
      <w:proofErr w:type="spellStart"/>
      <w:r w:rsidRPr="000B3D3C">
        <w:t>Draghis</w:t>
      </w:r>
      <w:proofErr w:type="spellEnd"/>
      <w:r w:rsidRPr="000B3D3C">
        <w:t xml:space="preserve"> rapport om EU:s framtida konkurrenskraft, offentliggjord i september 2024,</w:t>
      </w:r>
    </w:p>
    <w:p w14:paraId="277A6AEF" w14:textId="77777777" w:rsidR="00534C8C" w:rsidRPr="000B3D3C" w:rsidRDefault="00534C8C" w:rsidP="00534C8C">
      <w:pPr>
        <w:pStyle w:val="NormalHanging12a"/>
      </w:pPr>
      <w:r w:rsidRPr="000B3D3C">
        <w:t>–</w:t>
      </w:r>
      <w:r w:rsidRPr="000B3D3C">
        <w:tab/>
        <w:t xml:space="preserve">med beaktande av rapporten om forskning och innovation från en oberoende expertgrupp under ledning av Manuel </w:t>
      </w:r>
      <w:proofErr w:type="spellStart"/>
      <w:r w:rsidRPr="000B3D3C">
        <w:t>Heitor</w:t>
      </w:r>
      <w:proofErr w:type="spellEnd"/>
      <w:r w:rsidRPr="000B3D3C">
        <w:t xml:space="preserve">, med titeln </w:t>
      </w:r>
      <w:proofErr w:type="spellStart"/>
      <w:r w:rsidRPr="000B3D3C">
        <w:rPr>
          <w:i/>
          <w:iCs/>
        </w:rPr>
        <w:t>Align</w:t>
      </w:r>
      <w:proofErr w:type="spellEnd"/>
      <w:r w:rsidRPr="000B3D3C">
        <w:rPr>
          <w:i/>
          <w:iCs/>
        </w:rPr>
        <w:t xml:space="preserve">, </w:t>
      </w:r>
      <w:proofErr w:type="spellStart"/>
      <w:r w:rsidRPr="000B3D3C">
        <w:rPr>
          <w:i/>
          <w:iCs/>
        </w:rPr>
        <w:t>act</w:t>
      </w:r>
      <w:proofErr w:type="spellEnd"/>
      <w:r w:rsidRPr="000B3D3C">
        <w:rPr>
          <w:i/>
          <w:iCs/>
        </w:rPr>
        <w:t xml:space="preserve">, </w:t>
      </w:r>
      <w:proofErr w:type="spellStart"/>
      <w:r w:rsidRPr="000B3D3C">
        <w:rPr>
          <w:i/>
          <w:iCs/>
        </w:rPr>
        <w:t>accelerating</w:t>
      </w:r>
      <w:proofErr w:type="spellEnd"/>
      <w:r w:rsidRPr="000B3D3C">
        <w:rPr>
          <w:i/>
          <w:iCs/>
        </w:rPr>
        <w:t xml:space="preserve"> – Research, </w:t>
      </w:r>
      <w:proofErr w:type="spellStart"/>
      <w:r w:rsidRPr="000B3D3C">
        <w:rPr>
          <w:i/>
          <w:iCs/>
        </w:rPr>
        <w:t>technology</w:t>
      </w:r>
      <w:proofErr w:type="spellEnd"/>
      <w:r w:rsidRPr="000B3D3C">
        <w:rPr>
          <w:i/>
          <w:iCs/>
        </w:rPr>
        <w:t xml:space="preserve"> and innovation to </w:t>
      </w:r>
      <w:proofErr w:type="spellStart"/>
      <w:r w:rsidRPr="000B3D3C">
        <w:rPr>
          <w:i/>
          <w:iCs/>
        </w:rPr>
        <w:t>boosting</w:t>
      </w:r>
      <w:proofErr w:type="spellEnd"/>
      <w:r w:rsidRPr="000B3D3C">
        <w:rPr>
          <w:i/>
          <w:iCs/>
        </w:rPr>
        <w:t xml:space="preserve"> </w:t>
      </w:r>
      <w:proofErr w:type="spellStart"/>
      <w:r w:rsidRPr="000B3D3C">
        <w:rPr>
          <w:i/>
          <w:iCs/>
        </w:rPr>
        <w:t>European</w:t>
      </w:r>
      <w:proofErr w:type="spellEnd"/>
      <w:r w:rsidRPr="000B3D3C">
        <w:rPr>
          <w:i/>
          <w:iCs/>
        </w:rPr>
        <w:t xml:space="preserve"> </w:t>
      </w:r>
      <w:proofErr w:type="spellStart"/>
      <w:r w:rsidRPr="000B3D3C">
        <w:rPr>
          <w:i/>
          <w:iCs/>
        </w:rPr>
        <w:t>competitiveness</w:t>
      </w:r>
      <w:proofErr w:type="spellEnd"/>
      <w:r w:rsidRPr="000B3D3C">
        <w:t>, offentliggjord i oktober 2024,</w:t>
      </w:r>
    </w:p>
    <w:p w14:paraId="1E65155D" w14:textId="77777777" w:rsidR="00534C8C" w:rsidRPr="000B3D3C" w:rsidRDefault="00534C8C" w:rsidP="00534C8C">
      <w:pPr>
        <w:pStyle w:val="NormalHanging12a"/>
      </w:pPr>
      <w:r w:rsidRPr="000B3D3C">
        <w:t>–</w:t>
      </w:r>
      <w:r w:rsidRPr="000B3D3C">
        <w:tab/>
        <w:t>med beaktande av sin resolution av den 23 juni 2022 över genomförandet av inkluderingsåtgärder inom Erasmus+ 2014–2020</w:t>
      </w:r>
      <w:r w:rsidRPr="000B3D3C">
        <w:rPr>
          <w:rStyle w:val="FootnoteReference"/>
        </w:rPr>
        <w:footnoteReference w:id="7"/>
      </w:r>
      <w:r w:rsidRPr="000B3D3C">
        <w:t>,</w:t>
      </w:r>
    </w:p>
    <w:p w14:paraId="26F14FA7" w14:textId="77777777" w:rsidR="00534C8C" w:rsidRPr="000B3D3C" w:rsidRDefault="00534C8C" w:rsidP="00534C8C">
      <w:pPr>
        <w:pStyle w:val="NormalHanging12a"/>
      </w:pPr>
      <w:r w:rsidRPr="000B3D3C">
        <w:t>–</w:t>
      </w:r>
      <w:r w:rsidRPr="000B3D3C">
        <w:tab/>
        <w:t>med beaktande av sin resolution av den 15 september 2020 om effektiva åtgärder för att göra Erasmus+, Kreativa Europa och Europeiska solidaritetskåren grönare</w:t>
      </w:r>
      <w:r w:rsidRPr="000B3D3C">
        <w:rPr>
          <w:rStyle w:val="FootnoteReference"/>
        </w:rPr>
        <w:footnoteReference w:id="8"/>
      </w:r>
      <w:r w:rsidRPr="000B3D3C">
        <w:t>,</w:t>
      </w:r>
    </w:p>
    <w:p w14:paraId="12897C5B" w14:textId="77777777" w:rsidR="00534C8C" w:rsidRPr="000B3D3C" w:rsidRDefault="00534C8C" w:rsidP="00534C8C">
      <w:pPr>
        <w:pStyle w:val="NormalHanging12a"/>
      </w:pPr>
      <w:r w:rsidRPr="000B3D3C">
        <w:t>–</w:t>
      </w:r>
      <w:r w:rsidRPr="000B3D3C">
        <w:tab/>
        <w:t>med beaktande av sin resolution av den 19 maj 2022 om inrättande av det europeiska området för utbildning senast 2025 – mikromeriter, individuella utbildningskonton och lärande för en hållbar miljö</w:t>
      </w:r>
      <w:r w:rsidRPr="000B3D3C">
        <w:rPr>
          <w:rStyle w:val="FootnoteReference"/>
        </w:rPr>
        <w:footnoteReference w:id="9"/>
      </w:r>
      <w:r w:rsidRPr="000B3D3C">
        <w:t>,</w:t>
      </w:r>
    </w:p>
    <w:p w14:paraId="3F747BDC" w14:textId="77777777" w:rsidR="00534C8C" w:rsidRPr="000B3D3C" w:rsidRDefault="00534C8C" w:rsidP="00534C8C">
      <w:pPr>
        <w:pStyle w:val="NormalHanging12a"/>
      </w:pPr>
      <w:r w:rsidRPr="000B3D3C">
        <w:t>–</w:t>
      </w:r>
      <w:r w:rsidRPr="000B3D3C">
        <w:tab/>
        <w:t>med beaktande av artikel 55 i arbetsordningen,</w:t>
      </w:r>
    </w:p>
    <w:p w14:paraId="72C087BA" w14:textId="77777777" w:rsidR="00534C8C" w:rsidRPr="000B3D3C" w:rsidRDefault="00534C8C" w:rsidP="00534C8C">
      <w:pPr>
        <w:pStyle w:val="NormalHanging12a"/>
      </w:pPr>
      <w:r w:rsidRPr="000B3D3C">
        <w:t>–</w:t>
      </w:r>
      <w:r w:rsidRPr="000B3D3C">
        <w:tab/>
        <w:t>med beaktande av betänkandet från utskottet för kultur och utbildning (A10</w:t>
      </w:r>
      <w:r w:rsidRPr="000B3D3C">
        <w:noBreakHyphen/>
        <w:t>0135/2025), och av följande skäl:</w:t>
      </w:r>
    </w:p>
    <w:p w14:paraId="5F23DE7C" w14:textId="77777777" w:rsidR="00534C8C" w:rsidRPr="000B3D3C" w:rsidRDefault="00534C8C" w:rsidP="00534C8C">
      <w:pPr>
        <w:pStyle w:val="NormalHanging12a"/>
      </w:pPr>
      <w:r w:rsidRPr="000B3D3C">
        <w:lastRenderedPageBreak/>
        <w:t>A.</w:t>
      </w:r>
      <w:r w:rsidRPr="000B3D3C">
        <w:tab/>
        <w:t>Utbildning av god kvalitet och akademiskt samarbete är förutsättningar för att uppnå strategiskt oberoende för Europeiska unionen, främja EU:s värden</w:t>
      </w:r>
      <w:r w:rsidRPr="000B3D3C">
        <w:rPr>
          <w:rStyle w:val="FootnoteReference"/>
        </w:rPr>
        <w:footnoteReference w:id="10"/>
      </w:r>
      <w:r w:rsidRPr="000B3D3C">
        <w:t xml:space="preserve">, bekämpa kompetensbrist genom att locka till sig och behålla talanger och stärka konkurrenskraften gentemot världsledande universitet med utgångspunkt i utveckling av humankapital, </w:t>
      </w:r>
      <w:proofErr w:type="spellStart"/>
      <w:r w:rsidRPr="000B3D3C">
        <w:t>resiliens</w:t>
      </w:r>
      <w:proofErr w:type="spellEnd"/>
      <w:r w:rsidRPr="000B3D3C">
        <w:t xml:space="preserve"> och välbefinnande.</w:t>
      </w:r>
    </w:p>
    <w:p w14:paraId="7E1B14E2" w14:textId="77777777" w:rsidR="00534C8C" w:rsidRPr="000B3D3C" w:rsidRDefault="00534C8C" w:rsidP="00534C8C">
      <w:pPr>
        <w:pStyle w:val="NormalHanging12a"/>
      </w:pPr>
      <w:r w:rsidRPr="000B3D3C">
        <w:t>B.</w:t>
      </w:r>
      <w:r w:rsidRPr="000B3D3C">
        <w:tab/>
        <w:t xml:space="preserve">Den akademiska världens och universitetens betydelse för ett konkurrenskraftigt, </w:t>
      </w:r>
      <w:proofErr w:type="spellStart"/>
      <w:r w:rsidRPr="000B3D3C">
        <w:t>resilient</w:t>
      </w:r>
      <w:proofErr w:type="spellEnd"/>
      <w:r w:rsidRPr="000B3D3C">
        <w:t xml:space="preserve"> och självständigt EU betonas i Mario </w:t>
      </w:r>
      <w:proofErr w:type="spellStart"/>
      <w:r w:rsidRPr="000B3D3C">
        <w:t>Draghis</w:t>
      </w:r>
      <w:proofErr w:type="spellEnd"/>
      <w:r w:rsidRPr="000B3D3C">
        <w:t xml:space="preserve"> rapport om EU:s framtida konkurrenskraft, i Enrico </w:t>
      </w:r>
      <w:proofErr w:type="spellStart"/>
      <w:r w:rsidRPr="000B3D3C">
        <w:t>Lettas</w:t>
      </w:r>
      <w:proofErr w:type="spellEnd"/>
      <w:r w:rsidRPr="000B3D3C">
        <w:t xml:space="preserve"> rapport om den inre marknadens framtid och i Manuel </w:t>
      </w:r>
      <w:proofErr w:type="spellStart"/>
      <w:r w:rsidRPr="000B3D3C">
        <w:t>Heitors</w:t>
      </w:r>
      <w:proofErr w:type="spellEnd"/>
      <w:r w:rsidRPr="000B3D3C">
        <w:t xml:space="preserve"> rapport om </w:t>
      </w:r>
      <w:proofErr w:type="spellStart"/>
      <w:r w:rsidRPr="000B3D3C">
        <w:t>interimsutvärderingen</w:t>
      </w:r>
      <w:proofErr w:type="spellEnd"/>
      <w:r w:rsidRPr="000B3D3C">
        <w:t xml:space="preserve"> av Horisont Europa.</w:t>
      </w:r>
    </w:p>
    <w:p w14:paraId="6FFD1A22" w14:textId="77777777" w:rsidR="00534C8C" w:rsidRPr="000B3D3C" w:rsidRDefault="00534C8C" w:rsidP="00534C8C">
      <w:pPr>
        <w:pStyle w:val="NormalHanging12a"/>
      </w:pPr>
      <w:r w:rsidRPr="000B3D3C">
        <w:t>C.</w:t>
      </w:r>
      <w:r w:rsidRPr="000B3D3C">
        <w:tab/>
        <w:t>Fragmenteringen av den högre utbildningen och forskningen i EU undergräver unionens förmåga att värna sin suveränitet, främja sina värden och hävda sitt globala inflytande. Ökad integration skulle kunna stärka EU:s strategiska ställning.</w:t>
      </w:r>
    </w:p>
    <w:p w14:paraId="5BE08A41" w14:textId="77777777" w:rsidR="00534C8C" w:rsidRPr="000B3D3C" w:rsidRDefault="00534C8C" w:rsidP="00534C8C">
      <w:pPr>
        <w:pStyle w:val="NormalHanging12a"/>
      </w:pPr>
      <w:r w:rsidRPr="000B3D3C">
        <w:t>D.</w:t>
      </w:r>
      <w:r w:rsidRPr="000B3D3C">
        <w:tab/>
        <w:t>I konkurrenskraftskompassen betonas vikten av högkvalitativ utbildning och livslångt lärande för att komma till rätta med kompetensklyftor och arbetskraftsbrist.</w:t>
      </w:r>
    </w:p>
    <w:p w14:paraId="5024BBD9" w14:textId="77777777" w:rsidR="00534C8C" w:rsidRPr="000B3D3C" w:rsidRDefault="00534C8C" w:rsidP="00534C8C">
      <w:pPr>
        <w:pStyle w:val="NormalHanging12a"/>
      </w:pPr>
      <w:r w:rsidRPr="000B3D3C">
        <w:t>E.</w:t>
      </w:r>
      <w:r w:rsidRPr="000B3D3C">
        <w:tab/>
        <w:t>Erasmus+ är ett av EU:s flaggskeppsprogram och stöder utbildning, ungdom och idrott i Europa och internationellt, samtidigt som det främjar mobilitet och akademiskt samarbete. En stärkt samverkan mellan Erasmus+ och andra befintliga EU-program, såsom Horisont Europa, skulle gynna dessa mål och samtidigt främja en mer heltäckande strategi för högre utbildning.</w:t>
      </w:r>
    </w:p>
    <w:p w14:paraId="2C4764AD" w14:textId="77777777" w:rsidR="00534C8C" w:rsidRPr="000B3D3C" w:rsidRDefault="00534C8C" w:rsidP="00534C8C">
      <w:pPr>
        <w:pStyle w:val="NormalHanging12a"/>
      </w:pPr>
      <w:r w:rsidRPr="000B3D3C">
        <w:t>F.</w:t>
      </w:r>
      <w:r w:rsidRPr="000B3D3C">
        <w:tab/>
        <w:t xml:space="preserve">De europeiska universitetsallianserna har ett flerdimensionellt syfte, först genom utarbetandet av gemensamma kursplaner, det stegvisa inrättandet av </w:t>
      </w:r>
      <w:proofErr w:type="spellStart"/>
      <w:r w:rsidRPr="000B3D3C">
        <w:t>interuniversitära</w:t>
      </w:r>
      <w:proofErr w:type="spellEnd"/>
      <w:r w:rsidRPr="000B3D3C">
        <w:t xml:space="preserve"> campus med en stark europeisk dimension som gynnar mobilitet för studenter, människor i livslångt lärande och forskare samt akademisk och icke-akademisk personal, och som katalysator för andra, ännu mer omvandlande förändringar av landskapet för högre utbildning i medlemsstaterna och i deltagande länder för ett verkligt konkurrenskraftigt europeiskt område för utbildning.</w:t>
      </w:r>
    </w:p>
    <w:p w14:paraId="49EE0974" w14:textId="77777777" w:rsidR="00534C8C" w:rsidRPr="000B3D3C" w:rsidRDefault="00534C8C" w:rsidP="00534C8C">
      <w:pPr>
        <w:pStyle w:val="NormalHanging12a"/>
      </w:pPr>
      <w:r w:rsidRPr="000B3D3C">
        <w:t>G.</w:t>
      </w:r>
      <w:r w:rsidRPr="000B3D3C">
        <w:tab/>
        <w:t>Akademisk frihet är en central princip för universitetens uppdrag och verksamhet i enlighet med artikel 13 i EU:s stadga om de grundläggande rättigheterna och Unescos rekommendation av den 11 november 1997 om villkoren för lärare inom högre utbildning. Denna frihet är avgörande för ett välmående demokratiskt samhälle och måste därför skyddas och främjas ytterligare.</w:t>
      </w:r>
    </w:p>
    <w:p w14:paraId="4BED815B" w14:textId="77777777" w:rsidR="00534C8C" w:rsidRPr="000B3D3C" w:rsidRDefault="00534C8C" w:rsidP="00534C8C">
      <w:pPr>
        <w:pStyle w:val="NormalHanging12a"/>
      </w:pPr>
      <w:r w:rsidRPr="000B3D3C">
        <w:t>H.</w:t>
      </w:r>
      <w:r w:rsidRPr="000B3D3C">
        <w:tab/>
        <w:t>Allianserna mellan Europauniversiteten bidrar till att främja forskning, innovation och utbildning på den inre marknaden genom att tillhandahålla friktionsfri mobilitet för studenter, forskare, akademisk och icke-akademisk personal inom och utanför EU, och är på så vis centrala för förverkligandet av den ”femte frihet” som beskrivs i </w:t>
      </w:r>
      <w:proofErr w:type="spellStart"/>
      <w:r w:rsidRPr="000B3D3C">
        <w:t>Letta</w:t>
      </w:r>
      <w:proofErr w:type="spellEnd"/>
      <w:r w:rsidRPr="000B3D3C">
        <w:noBreakHyphen/>
        <w:t>rapporten.</w:t>
      </w:r>
    </w:p>
    <w:p w14:paraId="71884E35" w14:textId="77777777" w:rsidR="00534C8C" w:rsidRPr="000B3D3C" w:rsidRDefault="00534C8C" w:rsidP="00534C8C">
      <w:pPr>
        <w:pStyle w:val="NormalHanging12a"/>
      </w:pPr>
      <w:r w:rsidRPr="000B3D3C">
        <w:t>I.</w:t>
      </w:r>
      <w:r w:rsidRPr="000B3D3C">
        <w:tab/>
        <w:t>Lärosätena i Europa står inför utmaningar inom det gränsöverskridande samarbetet, särskilt i fråga om finansiering, betydande skillnader i nationell och regional lagstiftning, rättslig status och styrningsstruktur samt avtalsmässiga hinder för kunskapsutbyte.</w:t>
      </w:r>
    </w:p>
    <w:p w14:paraId="152D3268" w14:textId="77777777" w:rsidR="00534C8C" w:rsidRPr="000B3D3C" w:rsidRDefault="00534C8C" w:rsidP="00534C8C">
      <w:pPr>
        <w:pStyle w:val="NormalHanging12a"/>
      </w:pPr>
      <w:r w:rsidRPr="000B3D3C">
        <w:lastRenderedPageBreak/>
        <w:t>J.</w:t>
      </w:r>
      <w:r w:rsidRPr="000B3D3C">
        <w:tab/>
        <w:t>Initiativet Europauniversitet har varit framgångsrikt och överträffat förväntningarna i fråga om deltagande och engagemang. Målet i rådets slutsatser från 2017 om att skapa 20 allianser har överträffats, då det nu har inrättats 65 allianser, som omfattar fler än 570 universitet och fler än 2 200 externa partner, utan några extra budgetanslag och utan garanterad kontinuitet för finansierade projekt.</w:t>
      </w:r>
    </w:p>
    <w:p w14:paraId="01F369AC" w14:textId="77777777" w:rsidR="00534C8C" w:rsidRPr="000B3D3C" w:rsidRDefault="00534C8C" w:rsidP="00534C8C">
      <w:pPr>
        <w:pStyle w:val="NormalHanging12a"/>
      </w:pPr>
      <w:r w:rsidRPr="000B3D3C">
        <w:t>K.</w:t>
      </w:r>
      <w:r w:rsidRPr="000B3D3C">
        <w:tab/>
        <w:t>De nuvarande allianserna valdes ut genom fem öppna konkurrensutsatta ansökningsomgångar med fokus på kvalitet, spetskompetens, akademiska meriter, inkludering och rättvis geografisk täckning.</w:t>
      </w:r>
    </w:p>
    <w:p w14:paraId="72298D33" w14:textId="77777777" w:rsidR="00534C8C" w:rsidRPr="000B3D3C" w:rsidRDefault="00534C8C" w:rsidP="00534C8C">
      <w:pPr>
        <w:pStyle w:val="NormalHanging12a"/>
      </w:pPr>
      <w:r w:rsidRPr="000B3D3C">
        <w:t>L.</w:t>
      </w:r>
      <w:r w:rsidRPr="000B3D3C">
        <w:tab/>
        <w:t>Initiativet Europauniversitet är ett viktigt instrument för att bygga upp ett integrerat, konkurrenskraftigt och inkluderande europeiskt område för utbildning som både kan hantera globala utmaningar och stärka den europeiska identiteten, kulturen och de europeiska värdena.</w:t>
      </w:r>
    </w:p>
    <w:p w14:paraId="3F1AD3B1" w14:textId="77777777" w:rsidR="00534C8C" w:rsidRPr="000B3D3C" w:rsidRDefault="00534C8C" w:rsidP="00534C8C">
      <w:pPr>
        <w:pStyle w:val="NormalHanging12a"/>
      </w:pPr>
      <w:r w:rsidRPr="000B3D3C">
        <w:t>M.</w:t>
      </w:r>
      <w:r w:rsidRPr="000B3D3C">
        <w:tab/>
        <w:t>Allianserna har bevisat sin förändringspotential att modernisera medlemsstaternas system för högre utbildning genom att inta en ledande roll i utbildandet av en ny generation rörliga europeiska studenter, och har bidragit till banbrytande forskning. Universitet från flera allianser gör en viktig insats i att förespråka och driva på lagstiftningsändringar i sina egna länder.</w:t>
      </w:r>
    </w:p>
    <w:p w14:paraId="033808F1" w14:textId="77777777" w:rsidR="00534C8C" w:rsidRPr="000B3D3C" w:rsidRDefault="00534C8C" w:rsidP="00534C8C">
      <w:pPr>
        <w:pStyle w:val="NormalHanging12a"/>
      </w:pPr>
      <w:r w:rsidRPr="000B3D3C">
        <w:t>N.</w:t>
      </w:r>
      <w:r w:rsidRPr="000B3D3C">
        <w:tab/>
        <w:t>23 medlemsstater medfinansierar i dagsläget allianserna med sina nationella budgetar.</w:t>
      </w:r>
    </w:p>
    <w:p w14:paraId="17BBBEA6" w14:textId="77777777" w:rsidR="00534C8C" w:rsidRPr="00823CF7" w:rsidRDefault="00534C8C" w:rsidP="00534C8C">
      <w:pPr>
        <w:pStyle w:val="Normal12a24b"/>
        <w:rPr>
          <w:i/>
          <w:iCs/>
        </w:rPr>
      </w:pPr>
      <w:r w:rsidRPr="00823CF7">
        <w:rPr>
          <w:rStyle w:val="Bold"/>
          <w:i/>
          <w:iCs/>
        </w:rPr>
        <w:t>Nuläge, utmaningar och hinder</w:t>
      </w:r>
    </w:p>
    <w:p w14:paraId="188DA985" w14:textId="77777777" w:rsidR="00534C8C" w:rsidRPr="000B3D3C" w:rsidRDefault="00534C8C" w:rsidP="00534C8C">
      <w:pPr>
        <w:pStyle w:val="NormalHanging12a"/>
      </w:pPr>
      <w:r w:rsidRPr="000B3D3C">
        <w:t>1.</w:t>
      </w:r>
      <w:r w:rsidRPr="000B3D3C">
        <w:tab/>
        <w:t>Europaparlamentet uppmärksammar det varma mottagande och det engagemang som lärosäten visat Europauniversitetsinitiativet och noterar initiativets roll i att underlätta insatser avsedda att avlägsna hinder för regionalt, gränsöverskridande och internationellt samarbete inom högre utbildning, till exempel fragmenterad finansiering, skillnader i ackrediteringssystem och rättsliga hinder.</w:t>
      </w:r>
    </w:p>
    <w:p w14:paraId="0DAD1B2D" w14:textId="77777777" w:rsidR="00534C8C" w:rsidRPr="000B3D3C" w:rsidRDefault="00534C8C" w:rsidP="00534C8C">
      <w:pPr>
        <w:pStyle w:val="NormalHanging12a"/>
      </w:pPr>
      <w:r w:rsidRPr="000B3D3C">
        <w:t>2.</w:t>
      </w:r>
      <w:r w:rsidRPr="000B3D3C">
        <w:tab/>
        <w:t>Europaparlamentet betonar att mobilitetsprojekt, utarbetande av gemensamma kursplaner och samarbete mellan universitet i Europa har stor betydelse för att tillgodose behoven på strategiska områden och stärka såväl känslan av att tillhöra Europa som respekten för EU:s värden, samtidigt som EU:s mångfald och rikedom bevaras.</w:t>
      </w:r>
    </w:p>
    <w:p w14:paraId="44F8483E" w14:textId="77777777" w:rsidR="00534C8C" w:rsidRPr="000B3D3C" w:rsidRDefault="00534C8C" w:rsidP="00534C8C">
      <w:pPr>
        <w:pStyle w:val="NormalHanging12a"/>
      </w:pPr>
      <w:r w:rsidRPr="000B3D3C">
        <w:t>3.</w:t>
      </w:r>
      <w:r w:rsidRPr="000B3D3C">
        <w:tab/>
        <w:t>Europaparlamentet fastslår att allianserna utgör ett kraftfullt verktyg för genomförandet och främjandet av Bolognaprocessen. Parlamentet framhåller den hävstångseffekt som allianserna har på omvandlingsprocesserna inom den högre utbildningen genom att bana väg för och främja innovativa strategier och nya metoder för samarbete, möjlighetsskapande och tillgänglighet för studenter.</w:t>
      </w:r>
    </w:p>
    <w:p w14:paraId="03F84386" w14:textId="77777777" w:rsidR="00534C8C" w:rsidRPr="000B3D3C" w:rsidRDefault="00534C8C" w:rsidP="00534C8C">
      <w:pPr>
        <w:pStyle w:val="NormalHanging12a"/>
      </w:pPr>
      <w:r w:rsidRPr="000B3D3C">
        <w:t>4.</w:t>
      </w:r>
      <w:r w:rsidRPr="000B3D3C">
        <w:tab/>
        <w:t xml:space="preserve">Europaparlamentet understryker alliansernas mångfald i fråga om styrning, de teman och ämnen som omfattas samt de deltagande universitetens storlek och läge. Parlamentet noterar det framgångsrika deltagandet av många universitet från medelstora städer, landsbygdsområden och de yttersta randområdena, vilket gör det till ett tillgängligt och inkluderande initiativ. Parlamentet betonar att en universallösning inte är någon lämplig modell för allianserna. Parlamentet konstaterar att det faktum att universiteten inom allianserna geografiskt sett representerar hela EU är avgörande för </w:t>
      </w:r>
      <w:r w:rsidRPr="000B3D3C">
        <w:lastRenderedPageBreak/>
        <w:t>att åtgärda kompetensflykten och locka internationella talanger, samtidigt som det på ett ovärderligt sätt bidrar till europeisk enighet och integration.</w:t>
      </w:r>
    </w:p>
    <w:p w14:paraId="66432CB7" w14:textId="77777777" w:rsidR="00534C8C" w:rsidRPr="000B3D3C" w:rsidRDefault="00534C8C" w:rsidP="00534C8C">
      <w:pPr>
        <w:pStyle w:val="NormalHanging12a"/>
      </w:pPr>
      <w:r w:rsidRPr="000B3D3C">
        <w:t>5.</w:t>
      </w:r>
      <w:r w:rsidRPr="000B3D3C">
        <w:tab/>
        <w:t>Europaparlamentet välkomnar att studenter ingår i alliansernas styrningsstrukturer, så att unga kan ha en betydande och verklig inverkan på deras utveckling, eftersom ungdomars deltagande i demokratiska beslutsprocesser bidrar till att göra allianserna mer framåtblickande och griper sig an de praktiska utmaningar som studenterna står inför. Parlamentet betonar vikten av att samordna studenternas engagemang med studentorganisationer för att säkerställa att intressenternas deltagande präglas av insyn, rättvisa och inkludering.</w:t>
      </w:r>
    </w:p>
    <w:p w14:paraId="3A175BCC" w14:textId="77777777" w:rsidR="00534C8C" w:rsidRPr="000B3D3C" w:rsidRDefault="00534C8C" w:rsidP="00534C8C">
      <w:pPr>
        <w:pStyle w:val="NormalHanging12a"/>
      </w:pPr>
      <w:r w:rsidRPr="000B3D3C">
        <w:t>6.</w:t>
      </w:r>
      <w:r w:rsidRPr="000B3D3C">
        <w:tab/>
        <w:t>Europaparlamentet framhåller att allianserna har potential och sakkunskap för att hjälpa universiteten att hantera socioekonomiska utmaningar. Parlamentet understryker vikten av att införliva samhällseffekter som ett övergripande inslag i alliansernas verksamhet. Parlamentet efterlyser tydliga strategier för att säkerställa och övervaka tillgängligheten och inkluderingen av personer med begränsade möjligheter</w:t>
      </w:r>
      <w:r w:rsidRPr="000B3D3C">
        <w:rPr>
          <w:rStyle w:val="FootnoteReference"/>
        </w:rPr>
        <w:footnoteReference w:id="11"/>
      </w:r>
      <w:r w:rsidRPr="000B3D3C">
        <w:t xml:space="preserve"> i alla alliansers verksamhet, särskilt genom att undanröja hinder för mobilitet och förebygga alla former av diskriminering, i linje med Erasmusstadgan för högre utbildning.</w:t>
      </w:r>
    </w:p>
    <w:p w14:paraId="2D29697E" w14:textId="77777777" w:rsidR="00534C8C" w:rsidRPr="000B3D3C" w:rsidRDefault="00534C8C" w:rsidP="00534C8C">
      <w:pPr>
        <w:pStyle w:val="NormalHanging12a"/>
      </w:pPr>
      <w:r w:rsidRPr="000B3D3C">
        <w:t>7.</w:t>
      </w:r>
      <w:r w:rsidRPr="000B3D3C">
        <w:tab/>
        <w:t>Europaparlamentet välkomnar pilotprojekt som syftar till att skapa en europeisk examen och/eller en rättslig status. Parlamentet understryker dock att allianserna inte bör vara det enda instrumentet för innovation inom den högre utbildningen. Parlamentet slår fast att allianserna bör vara fria att specialisera sig och vara flexibla i sin verksamhet.</w:t>
      </w:r>
    </w:p>
    <w:p w14:paraId="28C0CC15" w14:textId="77777777" w:rsidR="00534C8C" w:rsidRPr="000B3D3C" w:rsidRDefault="00534C8C" w:rsidP="00534C8C">
      <w:pPr>
        <w:pStyle w:val="NormalHanging12a"/>
      </w:pPr>
      <w:r w:rsidRPr="000B3D3C">
        <w:t>8.</w:t>
      </w:r>
      <w:r w:rsidRPr="000B3D3C">
        <w:tab/>
        <w:t>Europaparlamentet välkomnar resultaten av de sex politiska experimentprojekten inom Erasmus+ om en europeisk examen och en europeisk examensmärkning som bedrivits av 21 allianser</w:t>
      </w:r>
      <w:r w:rsidRPr="000B3D3C">
        <w:rPr>
          <w:rStyle w:val="FootnoteReference"/>
        </w:rPr>
        <w:footnoteReference w:id="12"/>
      </w:r>
      <w:r w:rsidRPr="000B3D3C">
        <w:t>. Parlamentet tar fasta på det tydliga mervärdet av en gemensam ram för europeiska examina, baserad på europeiska kriterier, som ett steg mot erkännande av examina och examensbevis på EU-nivå. Parlamentet erkänner att ett sådant erkännande på EU-nivå skulle öka mobiliteten och utbildningens kvalitet, stärka samarbetsramen och uppmuntra ett bredare engagemang i transnationella akademiska program samt göra den europeiska högre utbildningen mer synlig och konkurrenskraftig globalt.</w:t>
      </w:r>
    </w:p>
    <w:p w14:paraId="07621C25" w14:textId="77777777" w:rsidR="00534C8C" w:rsidRPr="000B3D3C" w:rsidRDefault="00534C8C" w:rsidP="00534C8C">
      <w:pPr>
        <w:pStyle w:val="NormalHanging12a"/>
      </w:pPr>
      <w:r w:rsidRPr="000B3D3C">
        <w:t>9.</w:t>
      </w:r>
      <w:r w:rsidRPr="000B3D3C">
        <w:tab/>
        <w:t>Europaparlamentet konstaterar att den europeiska examensmärkningen bör vara tillgänglig för alla andra gemensamma universitetsprogram och komplettera nationella kvalifikationsramar, som vid behov bör anpassas utan att skapa ytterligare administrativa bördor.</w:t>
      </w:r>
    </w:p>
    <w:p w14:paraId="59DE7B1A" w14:textId="77777777" w:rsidR="00534C8C" w:rsidRPr="000B3D3C" w:rsidRDefault="00534C8C" w:rsidP="00534C8C">
      <w:pPr>
        <w:pStyle w:val="NormalHanging12a"/>
      </w:pPr>
      <w:r w:rsidRPr="000B3D3C">
        <w:t>10.</w:t>
      </w:r>
      <w:r w:rsidRPr="000B3D3C">
        <w:tab/>
        <w:t>Europaparlamentet är fast övertygat om alliansernas potential att stärka det europeiska området för högre utbildning, vilket banar väg för ett gemensamt ackrediteringsområde på EU-nivå. Parlamentet anser att detta är ett nödvändigt steg för europeiskt oberoende, eftersom många europeiska lärosäten, exempelvis de som utfärdar masterexamina i företagsekonomi (MBA), fortfarande är beroende av amerikanska ackrediteringsorgan.</w:t>
      </w:r>
    </w:p>
    <w:p w14:paraId="47256F1C" w14:textId="77777777" w:rsidR="00534C8C" w:rsidRPr="000B3D3C" w:rsidRDefault="00534C8C" w:rsidP="00534C8C">
      <w:pPr>
        <w:pStyle w:val="NormalHanging12a"/>
      </w:pPr>
      <w:r w:rsidRPr="000B3D3C">
        <w:t>11.</w:t>
      </w:r>
      <w:r w:rsidRPr="000B3D3C">
        <w:tab/>
        <w:t xml:space="preserve">Europaparlamentet välkomnar den avsevärda ökningen av antalet mobilitetsprojekt för studenter, människor i livslångt lärande och forskare samt akademisk och </w:t>
      </w:r>
      <w:r w:rsidRPr="000B3D3C">
        <w:lastRenderedPageBreak/>
        <w:t>icke</w:t>
      </w:r>
      <w:r w:rsidRPr="000B3D3C">
        <w:noBreakHyphen/>
        <w:t>akademisk personal vid universitet som deltar i allianser jämfört med andra mobilitetsprojekt inom Erasmus+.</w:t>
      </w:r>
    </w:p>
    <w:p w14:paraId="022456C6" w14:textId="77777777" w:rsidR="00534C8C" w:rsidRPr="000B3D3C" w:rsidRDefault="00534C8C" w:rsidP="00534C8C">
      <w:pPr>
        <w:pStyle w:val="NormalHanging12a"/>
      </w:pPr>
      <w:r w:rsidRPr="000B3D3C">
        <w:t>12.</w:t>
      </w:r>
      <w:r w:rsidRPr="000B3D3C">
        <w:tab/>
        <w:t>Europaparlamentet konstaterar dock att det ursprungliga målet med friktionsfri mobilitet för 50 % av studenterna i deltagande allianser ännu inte har uppnåtts och fortsatt kommer att utgöra en utmaning i avsaknad av lämpliga finansieringsmekanismer. Parlamentet är i detta avseende oroat över den potentiella konkurrensen mellan alliansernas mobilitetsprogram och universitetens allmänna Erasmus+-mobilitet, som har samma begränsade finansieringsbestämmelser, eftersom mobilitetsmålen för allianser är högre ställda än målen för allmän mobilitet inom Erasmus+. Parlamentet uppmanar därför kommissionen att göra en bedömning av dessa krav.</w:t>
      </w:r>
    </w:p>
    <w:p w14:paraId="472195FD" w14:textId="77777777" w:rsidR="00534C8C" w:rsidRPr="000B3D3C" w:rsidRDefault="00534C8C" w:rsidP="00534C8C">
      <w:pPr>
        <w:pStyle w:val="NormalHanging12a"/>
      </w:pPr>
      <w:r w:rsidRPr="000B3D3C">
        <w:t>13.</w:t>
      </w:r>
      <w:r w:rsidRPr="000B3D3C">
        <w:tab/>
        <w:t>Europaparlamentet är djupt oroat över att den akademiska friheten numera är hotad i flera delar av världen, däribland i vissa medlemsstater och länder utanför EU som deltar i Erasmus+.</w:t>
      </w:r>
    </w:p>
    <w:p w14:paraId="6E83DD42" w14:textId="77777777" w:rsidR="00534C8C" w:rsidRPr="000B3D3C" w:rsidRDefault="00534C8C" w:rsidP="00534C8C">
      <w:pPr>
        <w:pStyle w:val="NormalHanging12a"/>
      </w:pPr>
      <w:r w:rsidRPr="000B3D3C">
        <w:t>14.</w:t>
      </w:r>
      <w:r w:rsidRPr="000B3D3C">
        <w:tab/>
        <w:t xml:space="preserve">Europaparlamentet betonar att allianserna måste försvara EU:s värden, demokratisk </w:t>
      </w:r>
      <w:proofErr w:type="spellStart"/>
      <w:r w:rsidRPr="000B3D3C">
        <w:t>resiliens</w:t>
      </w:r>
      <w:proofErr w:type="spellEnd"/>
      <w:r w:rsidRPr="000B3D3C">
        <w:t xml:space="preserve"> och institutionellt oberoende, och främja ett aktivt medborgarskap. Parlamentet betonar deras roll som multilaterala och mångkulturella platser för lärande.</w:t>
      </w:r>
    </w:p>
    <w:p w14:paraId="53CC0F5B" w14:textId="77777777" w:rsidR="00534C8C" w:rsidRPr="000B3D3C" w:rsidRDefault="00534C8C" w:rsidP="00534C8C">
      <w:pPr>
        <w:pStyle w:val="NormalHanging12a"/>
      </w:pPr>
      <w:r w:rsidRPr="000B3D3C">
        <w:t>15.</w:t>
      </w:r>
      <w:r w:rsidRPr="000B3D3C">
        <w:tab/>
        <w:t>Europaparlamentet välkomnar värdebaserade initiativ såsom det solidariska samarbetet med Ukraina, alliansernas globala utåtriktade verksamhet och alliansernas roll i anslutningsförberedelserna för kandidatländer från det östra grannskapet och västra Balkan.</w:t>
      </w:r>
    </w:p>
    <w:p w14:paraId="567602EE" w14:textId="77777777" w:rsidR="00534C8C" w:rsidRPr="000B3D3C" w:rsidRDefault="00534C8C" w:rsidP="00534C8C">
      <w:pPr>
        <w:pStyle w:val="NormalHanging12a"/>
      </w:pPr>
      <w:r w:rsidRPr="000B3D3C">
        <w:t>16.</w:t>
      </w:r>
      <w:r w:rsidRPr="000B3D3C">
        <w:tab/>
        <w:t>Europaparlamentet välkomnar initiativet om en kompetensunion, särskilt det kommande förslaget om en framtida investeringsväg och tydlig rättslig status för allianserna, eftersom det gör det lättare för universiteten att inleda och leda europeiska projekt, samla resurser, stärka sin självständighet, minska de administrativa bördorna, locka finansiering och bredda sin styrningsstruktur, i synnerhet för universitet i länder utanför EU, samt underlätta institutionaliseringen av det gränsöverskridande samarbetet.</w:t>
      </w:r>
    </w:p>
    <w:p w14:paraId="085B3B62" w14:textId="77777777" w:rsidR="00534C8C" w:rsidRPr="000B3D3C" w:rsidRDefault="00534C8C" w:rsidP="00534C8C">
      <w:pPr>
        <w:pStyle w:val="NormalHanging12a"/>
      </w:pPr>
      <w:r w:rsidRPr="000B3D3C">
        <w:t>17.</w:t>
      </w:r>
      <w:r w:rsidRPr="000B3D3C">
        <w:tab/>
        <w:t>Europaparlamentet understryker den viktiga roll som universitet, inbegripet allianser, spelar för att skydda och främja evidensbaserad vetenskap, skapa förtroende för det demokratiska samtalet, förespråka samarbete baserat på EU:s värden och göra sig själva och den europeiska högskolesektorn mer attraktiva för studenter, akademisk personal och forskare från länder utanför EU.</w:t>
      </w:r>
    </w:p>
    <w:p w14:paraId="2F01C6B1" w14:textId="77777777" w:rsidR="00534C8C" w:rsidRPr="000B3D3C" w:rsidRDefault="00534C8C" w:rsidP="00534C8C">
      <w:pPr>
        <w:pStyle w:val="NormalHanging12a"/>
      </w:pPr>
      <w:r w:rsidRPr="000B3D3C">
        <w:t>18.</w:t>
      </w:r>
      <w:r w:rsidRPr="000B3D3C">
        <w:tab/>
        <w:t>Europaparlamentet välkomnar inrättandet av FOREU4ALL, en praktikgemenskap för Europauniversitetsallianser. Parlamentet understryker gemenskapens nyckelroll när det gäller att sprida innovationer från allianserna till den akademiska världen i stort, eftersom universitet och andra lärosäten som inte ingår i någon allians inte bör lämnas utanför. Parlamentet påminner om att strategier och initiativ bör komma hela systemet för högre utbildning till godo.</w:t>
      </w:r>
    </w:p>
    <w:p w14:paraId="72302E98" w14:textId="77777777" w:rsidR="00534C8C" w:rsidRPr="000B3D3C" w:rsidRDefault="00534C8C" w:rsidP="00534C8C">
      <w:pPr>
        <w:pStyle w:val="NormalHanging12a"/>
      </w:pPr>
      <w:r w:rsidRPr="000B3D3C">
        <w:t>19.</w:t>
      </w:r>
      <w:r w:rsidRPr="000B3D3C">
        <w:tab/>
        <w:t>Europaparlamentet erkänner den viktiga roll som andra nätverk inom den högre utbildningen spelar, genom att sammanföra ett bredare spektrum av europeiska universitet, oavsett om de deltar i en allians. Parlamentet betonar att dessa nätverk kompletterar allianserna och har potential att bana väg för lagstiftningsändringar på nationell nivå.</w:t>
      </w:r>
    </w:p>
    <w:p w14:paraId="3D786332" w14:textId="77777777" w:rsidR="00534C8C" w:rsidRPr="000B3D3C" w:rsidRDefault="00534C8C" w:rsidP="00534C8C">
      <w:pPr>
        <w:pStyle w:val="NormalHanging12a"/>
      </w:pPr>
      <w:r w:rsidRPr="000B3D3C">
        <w:lastRenderedPageBreak/>
        <w:t>20.</w:t>
      </w:r>
      <w:r w:rsidRPr="000B3D3C">
        <w:tab/>
        <w:t>Europaparlamentet understryker att universitetens uppdrag omfattar alla fyra delar av ”kunskapskvadraten”: utbildning, forskning, innovation och samhällstjänster. Parlamentet betonar att allianserna måste vara nära anpassade till arbetsmarknaden för att hantera Europas kompetensbrist och konkurrenskraftsrelaterade utmaningar.</w:t>
      </w:r>
    </w:p>
    <w:p w14:paraId="4E82573F" w14:textId="77777777" w:rsidR="00534C8C" w:rsidRPr="000B3D3C" w:rsidRDefault="00534C8C" w:rsidP="00534C8C">
      <w:pPr>
        <w:pStyle w:val="NormalHanging12a"/>
      </w:pPr>
      <w:r w:rsidRPr="000B3D3C">
        <w:t>21.</w:t>
      </w:r>
      <w:r w:rsidRPr="000B3D3C">
        <w:tab/>
        <w:t>Europaparlamentet är särskilt oroat över bristen på forsknings- och innovationspelare inom allianserna med tanke på den nuvarande ramen, eftersom det undergräver den fulla potentialen för samarbete mellan universitet inom allianserna.</w:t>
      </w:r>
    </w:p>
    <w:p w14:paraId="7959DCCE" w14:textId="77777777" w:rsidR="00534C8C" w:rsidRPr="00823CF7" w:rsidRDefault="00534C8C" w:rsidP="00534C8C">
      <w:pPr>
        <w:pStyle w:val="Normal12a24b"/>
        <w:keepNext/>
        <w:widowControl/>
        <w:rPr>
          <w:i/>
          <w:iCs/>
        </w:rPr>
      </w:pPr>
      <w:r w:rsidRPr="00823CF7">
        <w:rPr>
          <w:rStyle w:val="Bold"/>
          <w:i/>
          <w:iCs/>
        </w:rPr>
        <w:t>Rekommendationer</w:t>
      </w:r>
    </w:p>
    <w:p w14:paraId="0778D1A3" w14:textId="77777777" w:rsidR="00534C8C" w:rsidRPr="000B3D3C" w:rsidRDefault="00534C8C" w:rsidP="00534C8C">
      <w:pPr>
        <w:pStyle w:val="NormalHanging12a"/>
      </w:pPr>
      <w:r w:rsidRPr="000B3D3C">
        <w:t>22.</w:t>
      </w:r>
      <w:r w:rsidRPr="000B3D3C">
        <w:tab/>
        <w:t>Europaparlamentet uppmuntrar allianserna att stärka kopplingen mellan utbildning och forskning. Parlamentet framhåller alliansernas avsevärda förmåga att bygga upp gränsöverskridande expertnätverk för forskare och att dela och sprida kunskap inom och utanför EU, särskilt inom naturvetenskap, teknik, ingenjörsvetenskap och matematik, även på strategiska områden för EU.</w:t>
      </w:r>
    </w:p>
    <w:p w14:paraId="410F0500" w14:textId="77777777" w:rsidR="00534C8C" w:rsidRPr="000B3D3C" w:rsidRDefault="00534C8C" w:rsidP="00534C8C">
      <w:pPr>
        <w:pStyle w:val="NormalHanging12a"/>
      </w:pPr>
      <w:r w:rsidRPr="000B3D3C">
        <w:t>23.</w:t>
      </w:r>
      <w:r w:rsidRPr="000B3D3C">
        <w:tab/>
        <w:t>Europaparlamentet understryker att den strategiska visionen för universitetsallianser måste återspeglas i nästa fleråriga budgetram för maximerad potential och effekt. Parlamentet uppmanar kommissionen att enskilt utvärdera varje allians för att tillhandahålla stöd och skräddarsydda lösningar för deras framtida utveckling.</w:t>
      </w:r>
    </w:p>
    <w:p w14:paraId="783F9FF9" w14:textId="77777777" w:rsidR="00534C8C" w:rsidRPr="000B3D3C" w:rsidRDefault="00534C8C" w:rsidP="00534C8C">
      <w:pPr>
        <w:pStyle w:val="NormalHanging12a"/>
      </w:pPr>
      <w:r w:rsidRPr="000B3D3C">
        <w:t>24.</w:t>
      </w:r>
      <w:r w:rsidRPr="000B3D3C">
        <w:tab/>
        <w:t>Europaparlamentet uppmuntrar kommissionen, medlemsstaterna och allianserna att övergå från en ”projektbaserad logik” till ett långsiktigt, transformativt samarbete genom att införa en finansieringsstrategi som understöder denna omvandling. Parlamentet betonar vikten av att allianserna kan utöka sin verksamhet. Parlamentet framhåller behovet av att fastställa kvalitativa snarare än kvantitativa mål, med betoning på de omvälvande effekterna för det europeiska området för utbildning.</w:t>
      </w:r>
    </w:p>
    <w:p w14:paraId="3BE8FE88" w14:textId="77777777" w:rsidR="00534C8C" w:rsidRPr="000B3D3C" w:rsidRDefault="00534C8C" w:rsidP="00534C8C">
      <w:pPr>
        <w:pStyle w:val="NormalHanging12a"/>
      </w:pPr>
      <w:r w:rsidRPr="000B3D3C">
        <w:t>25.</w:t>
      </w:r>
      <w:r w:rsidRPr="000B3D3C">
        <w:tab/>
        <w:t>Europaparlamentet betonar att de befintliga allianserna behöver samordnad, hållbar och förutsägbar finansiering. Parlamentet uppmanar kommissionen att överväga att avsätta framtida ansökningsomgångar till bibehållandet av framgångsrika allianser, så att de kan fördjupa sin integration och bygga vidare på sina resultat. Kommissionen uppmanas att behålla så enkla ansöknings- och rapporteringsförfaranden som möjligt. Parlamentet uppmuntrar till ett påskyndat förnyelseförfarande för framgångsrika allianser för att säkra fortsatt finansiering utan alltför stora administrativa bördor.</w:t>
      </w:r>
    </w:p>
    <w:p w14:paraId="7479709C" w14:textId="77777777" w:rsidR="00534C8C" w:rsidRPr="000B3D3C" w:rsidRDefault="00534C8C" w:rsidP="00534C8C">
      <w:pPr>
        <w:pStyle w:val="NormalHanging12a"/>
      </w:pPr>
      <w:r w:rsidRPr="000B3D3C">
        <w:t>26.</w:t>
      </w:r>
      <w:r w:rsidRPr="000B3D3C">
        <w:tab/>
        <w:t>Europaparlamentet fastslår att det är relevant för initiativet Europauniversitet att även fortsättningsvis ingå i Erasmus+-programmet, med hänsyn till den nuvarande ramen. Samtidigt uppmanar parlamentet kommissionen att undersöka möjligheten att skapa en skräddarsydd lösning för finansieringen av allianserna mellan Europauniversiteten i den fleråriga budgetramen för perioden efter 2027, med möjligheten att inrätta ett separat program så att allianserna kan planera strategiskt, delta i långsiktiga initiativ och upprätta ett varaktigt samarbete.</w:t>
      </w:r>
    </w:p>
    <w:p w14:paraId="71E1FC44" w14:textId="02576A4B" w:rsidR="00534C8C" w:rsidRPr="000B3D3C" w:rsidRDefault="00534C8C" w:rsidP="00534C8C">
      <w:pPr>
        <w:pStyle w:val="NormalHanging12a"/>
      </w:pPr>
      <w:r w:rsidRPr="000B3D3C">
        <w:t>27.</w:t>
      </w:r>
      <w:r w:rsidRPr="000B3D3C">
        <w:tab/>
      </w:r>
      <w:r w:rsidR="00EF24ED" w:rsidRPr="00EF24ED">
        <w:t xml:space="preserve">Europaparlamentet uppmanar medlemsstaterna att åta sig att medfinansiera allianserna genom den nationella budgeten och uppmanar kommissionen att lägga fram en omfattande investeringsstrategi för allianserna som gör det möjligt för dem att fullgöra alla fyra delar av sitt uppdrag. Parlamentet noterar att denna strategi bör inbegripa synergier med EU-program såsom Horisont Europa, Europeiska konkurrenskraftsfonden, Europeiska socialfonden+ och Europeiska regionala </w:t>
      </w:r>
      <w:r w:rsidR="00EF24ED" w:rsidRPr="00EF24ED">
        <w:lastRenderedPageBreak/>
        <w:t>utvecklingsfonden, för att optimera resurserna, undvika dubbelarbete, stärka interaktionen och samarbetet och bevara deras konkurrenskraft.</w:t>
      </w:r>
    </w:p>
    <w:p w14:paraId="0597B69E" w14:textId="77777777" w:rsidR="00534C8C" w:rsidRPr="000B3D3C" w:rsidRDefault="00534C8C" w:rsidP="00534C8C">
      <w:pPr>
        <w:pStyle w:val="NormalHanging12a"/>
      </w:pPr>
      <w:r w:rsidRPr="000B3D3C">
        <w:t>28.</w:t>
      </w:r>
      <w:r w:rsidRPr="000B3D3C">
        <w:tab/>
        <w:t>Europaparlamentet betonar att stödet till allianserna inte bara kan komma från EU:s budget utan även bör utgöras av samordnade bidrag från nationella, regionala, lokala och privata källor, för att uppnå ett lyckat och bestående resultat som omfattar kvalitet, spetskompetens och inkludering, under förutsättning att lärosätenas självständighet garanteras och den akademiska friheten bevaras.</w:t>
      </w:r>
    </w:p>
    <w:p w14:paraId="28456CE5" w14:textId="77777777" w:rsidR="00534C8C" w:rsidRPr="000B3D3C" w:rsidRDefault="00534C8C" w:rsidP="00534C8C">
      <w:pPr>
        <w:pStyle w:val="NormalHanging12a"/>
      </w:pPr>
      <w:r w:rsidRPr="000B3D3C">
        <w:t>29.</w:t>
      </w:r>
      <w:r w:rsidRPr="000B3D3C">
        <w:tab/>
        <w:t>Europaparlamentet betonar att en närmare integrering av allianserna med privatsektorn kan vara till ömsesidig nytta. Parlamentet uppmuntrar partnerskap och strukturerat samarbete mellan universitet och företag för att skapa integrerade system som främjar innovation och teknisk och yrkesmässig utbildning på hög nivå, och underlättar studenternas övergång till arbetsmarknaden samt omskolning och kompetenshöjning för personer utanför den högre utbildningen.</w:t>
      </w:r>
    </w:p>
    <w:p w14:paraId="0A6F4817" w14:textId="77777777" w:rsidR="00534C8C" w:rsidRPr="000B3D3C" w:rsidRDefault="00534C8C" w:rsidP="00534C8C">
      <w:pPr>
        <w:pStyle w:val="NormalHanging12a"/>
      </w:pPr>
      <w:r w:rsidRPr="000B3D3C">
        <w:t>30.</w:t>
      </w:r>
      <w:r w:rsidRPr="000B3D3C">
        <w:tab/>
        <w:t xml:space="preserve">Europaparlamentet framhåller behovet av att stärka alliansernas internationalisering, i linje med bland annat Global </w:t>
      </w:r>
      <w:proofErr w:type="spellStart"/>
      <w:r w:rsidRPr="000B3D3C">
        <w:t>Gateway</w:t>
      </w:r>
      <w:proofErr w:type="spellEnd"/>
      <w:r w:rsidRPr="000B3D3C">
        <w:t xml:space="preserve">-strategin och talangpartnerskap. Parlamentet noterar att allianser är en lämplig nivå för att upprätta partnerskap med länder utanför EU, i synnerhet kandidatländer, och kan stärka den internationella dimensionen av Erasmus+, exempelvis genom Erasmus </w:t>
      </w:r>
      <w:proofErr w:type="spellStart"/>
      <w:r w:rsidRPr="000B3D3C">
        <w:t>Mundus</w:t>
      </w:r>
      <w:proofErr w:type="spellEnd"/>
      <w:r w:rsidRPr="000B3D3C">
        <w:t>. Parlamentet uppmanar kommissionen och allianserna att säkerställa att alla berörda partner respekterar EU:s värden och principen om akademisk frihet samt följer Erasmusstadgan för högre utbildning.</w:t>
      </w:r>
    </w:p>
    <w:p w14:paraId="6A2D44FD" w14:textId="77777777" w:rsidR="00534C8C" w:rsidRPr="000B3D3C" w:rsidRDefault="00534C8C" w:rsidP="00534C8C">
      <w:pPr>
        <w:pStyle w:val="NormalHanging12a"/>
      </w:pPr>
      <w:r w:rsidRPr="000B3D3C">
        <w:t>31.</w:t>
      </w:r>
      <w:r w:rsidRPr="000B3D3C">
        <w:tab/>
        <w:t>Europaparlamentet konstaterar att det inom ramen för allianserna testas innovativa sätt att undervisa och inhämta kunskap, till exempel europeiska utbildningsavsnitt, mikromeriter, blandad mobilitet i utbildningssyfte samt automatiskt erkännande av kvalifikationer. Parlamentet betonar behovet av att investera i säker digital infrastruktur och stärka befintliga initiativ, som det europeiska studentkortet.</w:t>
      </w:r>
    </w:p>
    <w:p w14:paraId="65BC854F" w14:textId="77777777" w:rsidR="00534C8C" w:rsidRPr="000B3D3C" w:rsidRDefault="00534C8C" w:rsidP="00534C8C">
      <w:pPr>
        <w:pStyle w:val="NormalHanging12a"/>
      </w:pPr>
      <w:r w:rsidRPr="000B3D3C">
        <w:t>32.</w:t>
      </w:r>
      <w:r w:rsidRPr="000B3D3C">
        <w:tab/>
        <w:t xml:space="preserve">Europaparlamentet betonar behovet av att stärka </w:t>
      </w:r>
      <w:proofErr w:type="spellStart"/>
      <w:r w:rsidRPr="000B3D3C">
        <w:t>interoperabiliteten</w:t>
      </w:r>
      <w:proofErr w:type="spellEnd"/>
      <w:r w:rsidRPr="000B3D3C">
        <w:t xml:space="preserve"> mellan datorsystemen och jämka ihop europeiska och nationella strategier för att inrätta verkliga virtuella europeiska </w:t>
      </w:r>
      <w:proofErr w:type="spellStart"/>
      <w:r w:rsidRPr="000B3D3C">
        <w:t>interuniversitära</w:t>
      </w:r>
      <w:proofErr w:type="spellEnd"/>
      <w:r w:rsidRPr="000B3D3C">
        <w:t xml:space="preserve"> campus. Parlamentet uppmuntrar till utökat samarbete mellan allianser för att möjliggöra säker, kompatibel studentidentifiering, kursregistrering och utbyte av akademiska meriter samt investeringar i integrering av ny utbildningsteknik.</w:t>
      </w:r>
    </w:p>
    <w:p w14:paraId="0C531B04" w14:textId="77777777" w:rsidR="00534C8C" w:rsidRPr="000B3D3C" w:rsidRDefault="00534C8C" w:rsidP="00534C8C">
      <w:pPr>
        <w:pStyle w:val="NormalHanging12a"/>
      </w:pPr>
      <w:r w:rsidRPr="000B3D3C">
        <w:t>33.</w:t>
      </w:r>
      <w:r w:rsidRPr="000B3D3C">
        <w:tab/>
        <w:t>Europaparlamentet betonar behovet av att utöka användningen av mikromeriter, med utgångspunkt i bästa praxis, för att integrera allianserna i en bredare lärandemiljö och överbrygga deras arbete med andra institutioner för icke-formellt lärande. Parlamentet noterar att utbildning och kompetenshöjning genom mikromeriter kan underlätta en flexibel översyn, utvidgning och modernisering av universitetsexamina.</w:t>
      </w:r>
    </w:p>
    <w:p w14:paraId="6B4030D5" w14:textId="77777777" w:rsidR="00534C8C" w:rsidRPr="000B3D3C" w:rsidRDefault="00534C8C" w:rsidP="00534C8C">
      <w:pPr>
        <w:pStyle w:val="NormalHanging12a"/>
      </w:pPr>
      <w:r w:rsidRPr="000B3D3C">
        <w:t>34.</w:t>
      </w:r>
      <w:r w:rsidRPr="000B3D3C">
        <w:tab/>
        <w:t xml:space="preserve">Europaparlamentet uppmanar kommissionen att i eventuella framtida ansökningsomgångar överväga att lägga till kriterier som har med EU:s strategiska oberoende och konkurrenskraft att göra, såsom </w:t>
      </w:r>
      <w:proofErr w:type="spellStart"/>
      <w:r w:rsidRPr="000B3D3C">
        <w:t>resiliens</w:t>
      </w:r>
      <w:proofErr w:type="spellEnd"/>
      <w:r w:rsidRPr="000B3D3C">
        <w:t>, energi, klimatförändringarna, den digitala omställningen och digitala färdigheter samt försvar, samtidigt som man beaktar de centrala målen om respekt för EU:s värden, högkvalitativ utbildning och innovation.</w:t>
      </w:r>
    </w:p>
    <w:p w14:paraId="189E470E" w14:textId="77777777" w:rsidR="00534C8C" w:rsidRPr="000B3D3C" w:rsidRDefault="00534C8C" w:rsidP="00534C8C">
      <w:pPr>
        <w:pStyle w:val="NormalHanging12a"/>
      </w:pPr>
      <w:r w:rsidRPr="000B3D3C">
        <w:lastRenderedPageBreak/>
        <w:t>35.</w:t>
      </w:r>
      <w:r w:rsidRPr="000B3D3C">
        <w:tab/>
        <w:t>Europaparlamentet betonar att allianserna måste ha lämpliga strukturer och tillräcklig kapacitet för att stödja överföring från den akademiska världen till näringslivet, i syfte att bidra till förverkligandet av EU:s ambitioner om strategiskt oberoende. Parlamentet uppmanar kommissionen att undanröja hinder som försvårar effektivt utbyte och sammanslagning av gemensamma resurser och kunskaper, genom att exempelvis underlätta gemensam rekrytering av akademisk personal och forskare samt utveckla och använda gemensamma anläggningar.</w:t>
      </w:r>
    </w:p>
    <w:p w14:paraId="0B189851" w14:textId="77777777" w:rsidR="00534C8C" w:rsidRPr="000B3D3C" w:rsidRDefault="00534C8C" w:rsidP="00534C8C">
      <w:pPr>
        <w:pStyle w:val="NormalHanging12a"/>
      </w:pPr>
      <w:r w:rsidRPr="000B3D3C">
        <w:t>36.</w:t>
      </w:r>
      <w:r w:rsidRPr="000B3D3C">
        <w:tab/>
        <w:t>Europaparlamentet understryker att det behövs effektiva och tillgängliga medvetenhetshöjande informationskampanjer om allianserna mellan Europauniversiteten för att främja större engagemang, särskilt på lokal nivå och bland studenter, eftersom initiativet för närvarande inte åtnjuter något stort erkännande.</w:t>
      </w:r>
    </w:p>
    <w:p w14:paraId="4997FFB1" w14:textId="77777777" w:rsidR="00534C8C" w:rsidRDefault="00534C8C" w:rsidP="00534C8C">
      <w:pPr>
        <w:pStyle w:val="NormalHanging12a"/>
      </w:pPr>
      <w:r w:rsidRPr="000B3D3C">
        <w:t>37.</w:t>
      </w:r>
      <w:r w:rsidRPr="000B3D3C">
        <w:tab/>
        <w:t>Europaparlamentet uppmanar den ungerska regeringen att respektera rättsstatsprincipen och EU:s värden och att införa de nödvändiga reformerna så att ungerska studenter, lärare och forskare vid offentligt finansierade universitet kan dra nytta av Erasmus+</w:t>
      </w:r>
      <w:r w:rsidRPr="000B3D3C">
        <w:noBreakHyphen/>
        <w:t>programmet och bidra till de bredare målen för det europeiska utbildnings- och forskningssamarbetet.</w:t>
      </w:r>
    </w:p>
    <w:p w14:paraId="51DAF3DB" w14:textId="77777777" w:rsidR="004309FD" w:rsidRDefault="004309FD" w:rsidP="004309FD">
      <w:pPr>
        <w:pStyle w:val="NormalHanging12a"/>
        <w:ind w:left="0" w:firstLine="0"/>
        <w:jc w:val="center"/>
        <w:rPr>
          <w:szCs w:val="24"/>
        </w:rPr>
      </w:pPr>
      <w:r>
        <w:rPr>
          <w:szCs w:val="24"/>
        </w:rPr>
        <w:t>°</w:t>
      </w:r>
    </w:p>
    <w:p w14:paraId="57CA050E" w14:textId="77777777" w:rsidR="004309FD" w:rsidRDefault="004309FD" w:rsidP="004309FD">
      <w:pPr>
        <w:pStyle w:val="NormalHanging12a"/>
        <w:ind w:left="0" w:firstLine="0"/>
        <w:jc w:val="center"/>
        <w:rPr>
          <w:szCs w:val="24"/>
        </w:rPr>
      </w:pPr>
      <w:r>
        <w:rPr>
          <w:szCs w:val="24"/>
        </w:rPr>
        <w:t>°         °</w:t>
      </w:r>
    </w:p>
    <w:p w14:paraId="6738FFD7" w14:textId="035BDD2A" w:rsidR="000B3D3C" w:rsidRPr="000B3D3C" w:rsidRDefault="00534C8C" w:rsidP="000B3D3C">
      <w:pPr>
        <w:pStyle w:val="NormalHanging12a"/>
      </w:pPr>
      <w:r w:rsidRPr="000B3D3C">
        <w:t>38.</w:t>
      </w:r>
      <w:r w:rsidRPr="000B3D3C">
        <w:tab/>
        <w:t>Europaparlamentet uppdrar åt talmannen att översända denna resolution till rådet och kommissionen.</w:t>
      </w:r>
    </w:p>
    <w:p w14:paraId="659563C0" w14:textId="07B67D8C" w:rsidR="00E365E1" w:rsidRPr="000B3D3C" w:rsidRDefault="00E365E1" w:rsidP="002724C6"/>
    <w:sectPr w:rsidR="00E365E1" w:rsidRPr="000B3D3C" w:rsidSect="000B3D3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29B64" w14:textId="77777777" w:rsidR="002724C6" w:rsidRPr="000B3D3C" w:rsidRDefault="002724C6">
      <w:r w:rsidRPr="000B3D3C">
        <w:separator/>
      </w:r>
    </w:p>
  </w:endnote>
  <w:endnote w:type="continuationSeparator" w:id="0">
    <w:p w14:paraId="025F2032" w14:textId="77777777" w:rsidR="002724C6" w:rsidRPr="000B3D3C" w:rsidRDefault="002724C6">
      <w:r w:rsidRPr="000B3D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1CD57" w14:textId="77777777" w:rsidR="00064002" w:rsidRPr="000B3D3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ABEFC" w14:textId="77777777" w:rsidR="00064002" w:rsidRPr="000B3D3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2B319" w14:textId="77777777" w:rsidR="00064002" w:rsidRPr="000B3D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99BB1" w14:textId="77777777" w:rsidR="002724C6" w:rsidRPr="000B3D3C" w:rsidRDefault="002724C6">
      <w:r w:rsidRPr="000B3D3C">
        <w:separator/>
      </w:r>
    </w:p>
  </w:footnote>
  <w:footnote w:type="continuationSeparator" w:id="0">
    <w:p w14:paraId="192C8444" w14:textId="77777777" w:rsidR="002724C6" w:rsidRPr="000B3D3C" w:rsidRDefault="002724C6">
      <w:r w:rsidRPr="000B3D3C">
        <w:continuationSeparator/>
      </w:r>
    </w:p>
  </w:footnote>
  <w:footnote w:id="1">
    <w:p w14:paraId="10AB64F4" w14:textId="23207FED" w:rsidR="00534C8C" w:rsidRPr="00823CF7" w:rsidRDefault="00534C8C" w:rsidP="000B3D3C">
      <w:pPr>
        <w:pStyle w:val="FootnoteText"/>
        <w:ind w:left="567" w:hanging="567"/>
        <w:rPr>
          <w:sz w:val="24"/>
          <w:lang w:val="fi-FI"/>
        </w:rPr>
      </w:pPr>
      <w:r w:rsidRPr="000B3D3C">
        <w:rPr>
          <w:rStyle w:val="FootnoteReference"/>
          <w:sz w:val="24"/>
          <w:lang w:val="sv-SE"/>
        </w:rPr>
        <w:footnoteRef/>
      </w:r>
      <w:r w:rsidR="000B3D3C" w:rsidRPr="00823CF7">
        <w:rPr>
          <w:sz w:val="24"/>
          <w:lang w:val="fi-FI"/>
        </w:rPr>
        <w:t xml:space="preserve"> </w:t>
      </w:r>
      <w:r w:rsidR="000B3D3C" w:rsidRPr="00823CF7">
        <w:rPr>
          <w:sz w:val="24"/>
          <w:lang w:val="fi-FI"/>
        </w:rPr>
        <w:tab/>
      </w:r>
      <w:r w:rsidRPr="00823CF7">
        <w:rPr>
          <w:sz w:val="24"/>
          <w:lang w:val="fi-FI"/>
        </w:rPr>
        <w:t xml:space="preserve">EUT L 189, 28.5.2021, s. 1, </w:t>
      </w:r>
      <w:r w:rsidRPr="00823CF7">
        <w:rPr>
          <w:sz w:val="24"/>
          <w:szCs w:val="24"/>
          <w:lang w:val="fi-FI"/>
        </w:rPr>
        <w:t xml:space="preserve">ELI: </w:t>
      </w:r>
      <w:r w:rsidR="00EF24ED">
        <w:fldChar w:fldCharType="begin"/>
      </w:r>
      <w:r w:rsidR="00EF24ED" w:rsidRPr="00300DA5">
        <w:rPr>
          <w:lang w:val="fi-FI"/>
        </w:rPr>
        <w:instrText>HYPERLINK "http://data.europa.eu/eli/reg/2021/817/oj"</w:instrText>
      </w:r>
      <w:r w:rsidR="00EF24ED">
        <w:fldChar w:fldCharType="separate"/>
      </w:r>
      <w:r w:rsidRPr="00823CF7">
        <w:rPr>
          <w:rStyle w:val="Hyperlink"/>
          <w:sz w:val="24"/>
          <w:szCs w:val="24"/>
          <w:lang w:val="fi-FI"/>
        </w:rPr>
        <w:t>http://data.europa.eu/eli/reg/2021/817/oj</w:t>
      </w:r>
      <w:r w:rsidR="00EF24ED">
        <w:rPr>
          <w:rStyle w:val="Hyperlink"/>
          <w:sz w:val="24"/>
          <w:szCs w:val="24"/>
          <w:lang w:val="fi-FI"/>
        </w:rPr>
        <w:fldChar w:fldCharType="end"/>
      </w:r>
      <w:r w:rsidRPr="00823CF7">
        <w:rPr>
          <w:sz w:val="24"/>
          <w:lang w:val="fi-FI"/>
        </w:rPr>
        <w:t>.</w:t>
      </w:r>
    </w:p>
  </w:footnote>
  <w:footnote w:id="2">
    <w:p w14:paraId="1A4CA262" w14:textId="1DF0A44C" w:rsidR="00534C8C" w:rsidRPr="00823CF7" w:rsidRDefault="00534C8C" w:rsidP="000B3D3C">
      <w:pPr>
        <w:pStyle w:val="FootnoteText"/>
        <w:ind w:left="567" w:hanging="567"/>
        <w:rPr>
          <w:sz w:val="24"/>
          <w:lang w:val="fr-BE"/>
        </w:rPr>
      </w:pPr>
      <w:r w:rsidRPr="000B3D3C">
        <w:rPr>
          <w:rStyle w:val="FootnoteReference"/>
          <w:sz w:val="24"/>
          <w:lang w:val="sv-SE"/>
        </w:rPr>
        <w:footnoteRef/>
      </w:r>
      <w:r w:rsidR="000B3D3C" w:rsidRPr="00823CF7">
        <w:rPr>
          <w:sz w:val="24"/>
          <w:lang w:val="fr-BE"/>
        </w:rPr>
        <w:t xml:space="preserve"> </w:t>
      </w:r>
      <w:r w:rsidR="000B3D3C" w:rsidRPr="00823CF7">
        <w:rPr>
          <w:sz w:val="24"/>
          <w:lang w:val="fr-BE"/>
        </w:rPr>
        <w:tab/>
      </w:r>
      <w:r w:rsidRPr="00823CF7">
        <w:rPr>
          <w:sz w:val="24"/>
          <w:lang w:val="fr-BE"/>
        </w:rPr>
        <w:t>EUT C 389, 18.11.2019, s. 1.</w:t>
      </w:r>
    </w:p>
  </w:footnote>
  <w:footnote w:id="3">
    <w:p w14:paraId="08FE56DB" w14:textId="0DBAD71B" w:rsidR="00534C8C" w:rsidRPr="00823CF7" w:rsidRDefault="00534C8C" w:rsidP="000B3D3C">
      <w:pPr>
        <w:pStyle w:val="FootnoteText"/>
        <w:ind w:left="567" w:hanging="567"/>
        <w:rPr>
          <w:sz w:val="24"/>
          <w:lang w:val="fr-BE"/>
        </w:rPr>
      </w:pPr>
      <w:r w:rsidRPr="000B3D3C">
        <w:rPr>
          <w:rStyle w:val="FootnoteReference"/>
          <w:sz w:val="24"/>
          <w:lang w:val="sv-SE"/>
        </w:rPr>
        <w:footnoteRef/>
      </w:r>
      <w:r w:rsidR="000B3D3C" w:rsidRPr="00823CF7">
        <w:rPr>
          <w:sz w:val="24"/>
          <w:lang w:val="fr-BE"/>
        </w:rPr>
        <w:t xml:space="preserve"> </w:t>
      </w:r>
      <w:r w:rsidR="000B3D3C" w:rsidRPr="00823CF7">
        <w:rPr>
          <w:sz w:val="24"/>
          <w:lang w:val="fr-BE"/>
        </w:rPr>
        <w:tab/>
      </w:r>
      <w:r w:rsidRPr="00823CF7">
        <w:rPr>
          <w:sz w:val="24"/>
          <w:lang w:val="fr-BE"/>
        </w:rPr>
        <w:t>EUT C 504, 14.12.2021, s. 9.</w:t>
      </w:r>
    </w:p>
  </w:footnote>
  <w:footnote w:id="4">
    <w:p w14:paraId="2056CD74" w14:textId="494EA006" w:rsidR="00534C8C" w:rsidRPr="00823CF7" w:rsidRDefault="00534C8C" w:rsidP="000B3D3C">
      <w:pPr>
        <w:pStyle w:val="FootnoteText"/>
        <w:ind w:left="567" w:hanging="567"/>
        <w:rPr>
          <w:sz w:val="24"/>
          <w:lang w:val="fi-FI"/>
        </w:rPr>
      </w:pPr>
      <w:r w:rsidRPr="000B3D3C">
        <w:rPr>
          <w:rStyle w:val="FootnoteReference"/>
          <w:sz w:val="24"/>
          <w:lang w:val="sv-SE"/>
        </w:rPr>
        <w:footnoteRef/>
      </w:r>
      <w:r w:rsidR="000B3D3C" w:rsidRPr="00823CF7">
        <w:rPr>
          <w:sz w:val="24"/>
          <w:lang w:val="fi-FI"/>
        </w:rPr>
        <w:t xml:space="preserve"> </w:t>
      </w:r>
      <w:r w:rsidR="000B3D3C" w:rsidRPr="00823CF7">
        <w:rPr>
          <w:sz w:val="24"/>
          <w:lang w:val="fi-FI"/>
        </w:rPr>
        <w:tab/>
      </w:r>
      <w:r w:rsidRPr="00823CF7">
        <w:rPr>
          <w:sz w:val="24"/>
          <w:lang w:val="fi-FI"/>
        </w:rPr>
        <w:t xml:space="preserve">EUT C, C/2024/3364, 14.6.2024, </w:t>
      </w:r>
      <w:r w:rsidRPr="00823CF7">
        <w:rPr>
          <w:sz w:val="24"/>
          <w:szCs w:val="24"/>
          <w:lang w:val="fi-FI"/>
        </w:rPr>
        <w:t xml:space="preserve">ELI: </w:t>
      </w:r>
      <w:r w:rsidR="00EF24ED">
        <w:fldChar w:fldCharType="begin"/>
      </w:r>
      <w:r w:rsidR="00EF24ED" w:rsidRPr="00300DA5">
        <w:rPr>
          <w:lang w:val="fi-FI"/>
        </w:rPr>
        <w:instrText>HYPERLINK "http://data.europa.eu/eli/C/2024/3364/oj"</w:instrText>
      </w:r>
      <w:r w:rsidR="00EF24ED">
        <w:fldChar w:fldCharType="separate"/>
      </w:r>
      <w:r w:rsidRPr="00823CF7">
        <w:rPr>
          <w:rStyle w:val="Hyperlink"/>
          <w:sz w:val="24"/>
          <w:szCs w:val="24"/>
          <w:lang w:val="fi-FI"/>
        </w:rPr>
        <w:t>http://data.europa.eu/eli/C/2024/3364/oj</w:t>
      </w:r>
      <w:r w:rsidR="00EF24ED">
        <w:rPr>
          <w:rStyle w:val="Hyperlink"/>
          <w:sz w:val="24"/>
          <w:szCs w:val="24"/>
          <w:lang w:val="fi-FI"/>
        </w:rPr>
        <w:fldChar w:fldCharType="end"/>
      </w:r>
      <w:r w:rsidRPr="00823CF7">
        <w:rPr>
          <w:sz w:val="24"/>
          <w:lang w:val="fi-FI"/>
        </w:rPr>
        <w:t>.</w:t>
      </w:r>
    </w:p>
  </w:footnote>
  <w:footnote w:id="5">
    <w:p w14:paraId="3D148FF7" w14:textId="3E69A7BC" w:rsidR="00534C8C" w:rsidRPr="00823CF7" w:rsidRDefault="00534C8C" w:rsidP="000B3D3C">
      <w:pPr>
        <w:pStyle w:val="FootnoteText"/>
        <w:ind w:left="567" w:hanging="567"/>
        <w:rPr>
          <w:sz w:val="24"/>
          <w:lang w:val="fi-FI"/>
        </w:rPr>
      </w:pPr>
      <w:r w:rsidRPr="000B3D3C">
        <w:rPr>
          <w:rStyle w:val="FootnoteReference"/>
          <w:sz w:val="24"/>
          <w:lang w:val="sv-SE"/>
        </w:rPr>
        <w:footnoteRef/>
      </w:r>
      <w:r w:rsidR="000B3D3C" w:rsidRPr="00823CF7">
        <w:rPr>
          <w:sz w:val="24"/>
          <w:lang w:val="fi-FI"/>
        </w:rPr>
        <w:t xml:space="preserve"> </w:t>
      </w:r>
      <w:r w:rsidR="000B3D3C" w:rsidRPr="00823CF7">
        <w:rPr>
          <w:sz w:val="24"/>
          <w:lang w:val="fi-FI"/>
        </w:rPr>
        <w:tab/>
      </w:r>
      <w:r w:rsidRPr="00823CF7">
        <w:rPr>
          <w:sz w:val="24"/>
          <w:lang w:val="fi-FI"/>
        </w:rPr>
        <w:t xml:space="preserve">EUT L 431, 2.12.2021, s. 1, </w:t>
      </w:r>
      <w:r w:rsidRPr="00823CF7">
        <w:rPr>
          <w:sz w:val="24"/>
          <w:szCs w:val="24"/>
          <w:lang w:val="fi-FI"/>
        </w:rPr>
        <w:t xml:space="preserve">ELI: </w:t>
      </w:r>
      <w:r w:rsidR="00EF24ED">
        <w:fldChar w:fldCharType="begin"/>
      </w:r>
      <w:r w:rsidR="00EF24ED" w:rsidRPr="00300DA5">
        <w:rPr>
          <w:lang w:val="fi-FI"/>
        </w:rPr>
        <w:instrText>HYPERLINK "http://data.europa.eu/eli/reco/2021/2122/oj"</w:instrText>
      </w:r>
      <w:r w:rsidR="00EF24ED">
        <w:fldChar w:fldCharType="separate"/>
      </w:r>
      <w:r w:rsidRPr="00823CF7">
        <w:rPr>
          <w:rStyle w:val="Hyperlink"/>
          <w:sz w:val="24"/>
          <w:szCs w:val="24"/>
          <w:lang w:val="fi-FI"/>
        </w:rPr>
        <w:t>http://data.europa.eu/eli/reco/2021/2122/oj</w:t>
      </w:r>
      <w:r w:rsidR="00EF24ED">
        <w:rPr>
          <w:rStyle w:val="Hyperlink"/>
          <w:sz w:val="24"/>
          <w:szCs w:val="24"/>
          <w:lang w:val="fi-FI"/>
        </w:rPr>
        <w:fldChar w:fldCharType="end"/>
      </w:r>
      <w:r w:rsidRPr="00823CF7">
        <w:rPr>
          <w:sz w:val="24"/>
          <w:szCs w:val="24"/>
          <w:lang w:val="fi-FI"/>
        </w:rPr>
        <w:t>.</w:t>
      </w:r>
    </w:p>
  </w:footnote>
  <w:footnote w:id="6">
    <w:p w14:paraId="58E3D2BE" w14:textId="26C61B12" w:rsidR="00534C8C" w:rsidRPr="00823CF7" w:rsidRDefault="00534C8C" w:rsidP="000B3D3C">
      <w:pPr>
        <w:pStyle w:val="FootnoteText"/>
        <w:ind w:left="567" w:hanging="567"/>
        <w:rPr>
          <w:sz w:val="24"/>
          <w:lang w:val="fi-FI"/>
        </w:rPr>
      </w:pPr>
      <w:r w:rsidRPr="00FA1CB1">
        <w:rPr>
          <w:rStyle w:val="FootnoteReference"/>
          <w:sz w:val="24"/>
          <w:lang w:val="sv-SE"/>
        </w:rPr>
        <w:footnoteRef/>
      </w:r>
      <w:r w:rsidR="000B3D3C" w:rsidRPr="00823CF7">
        <w:rPr>
          <w:sz w:val="24"/>
          <w:u w:color="0000FF"/>
          <w:lang w:val="fi-FI"/>
        </w:rPr>
        <w:t xml:space="preserve"> </w:t>
      </w:r>
      <w:r w:rsidR="000B3D3C" w:rsidRPr="00823CF7">
        <w:rPr>
          <w:sz w:val="24"/>
          <w:u w:color="0000FF"/>
          <w:lang w:val="fi-FI"/>
        </w:rPr>
        <w:tab/>
      </w:r>
      <w:proofErr w:type="spellStart"/>
      <w:r w:rsidRPr="00823CF7">
        <w:rPr>
          <w:sz w:val="24"/>
          <w:u w:color="0000FF"/>
          <w:lang w:val="fi-FI"/>
        </w:rPr>
        <w:t>Europeiska</w:t>
      </w:r>
      <w:proofErr w:type="spellEnd"/>
      <w:r w:rsidRPr="00823CF7">
        <w:rPr>
          <w:sz w:val="24"/>
          <w:u w:color="0000FF"/>
          <w:lang w:val="fi-FI"/>
        </w:rPr>
        <w:t xml:space="preserve"> </w:t>
      </w:r>
      <w:proofErr w:type="spellStart"/>
      <w:r w:rsidRPr="00823CF7">
        <w:rPr>
          <w:sz w:val="24"/>
          <w:u w:color="0000FF"/>
          <w:lang w:val="fi-FI"/>
        </w:rPr>
        <w:t>kommissionen</w:t>
      </w:r>
      <w:proofErr w:type="spellEnd"/>
      <w:r w:rsidRPr="00823CF7">
        <w:rPr>
          <w:sz w:val="24"/>
          <w:u w:color="0000FF"/>
          <w:lang w:val="fi-FI"/>
        </w:rPr>
        <w:t xml:space="preserve">, </w:t>
      </w:r>
      <w:hyperlink r:id="rId1" w:history="1">
        <w:r w:rsidRPr="00823CF7">
          <w:rPr>
            <w:sz w:val="24"/>
            <w:u w:color="0000FF"/>
            <w:lang w:val="fi-FI"/>
          </w:rPr>
          <w:t xml:space="preserve">generaldirektoratet för utbildning, ungdom, idrott och kultur m.fl., </w:t>
        </w:r>
        <w:r w:rsidRPr="00823CF7">
          <w:rPr>
            <w:i/>
            <w:iCs/>
            <w:sz w:val="24"/>
            <w:u w:color="0000FF"/>
            <w:lang w:val="fi-FI"/>
          </w:rPr>
          <w:t>Report on the outcomes and transformational potential of the European Universities initiative</w:t>
        </w:r>
        <w:r w:rsidRPr="00823CF7">
          <w:rPr>
            <w:sz w:val="24"/>
            <w:u w:color="0000FF"/>
            <w:lang w:val="fi-FI"/>
          </w:rPr>
          <w:t>, Europeiska unionens publikationsbyrå, 2025</w:t>
        </w:r>
      </w:hyperlink>
      <w:r w:rsidR="00FA1CB1" w:rsidRPr="00823CF7">
        <w:rPr>
          <w:sz w:val="24"/>
          <w:u w:color="0000FF"/>
          <w:lang w:val="fi-FI"/>
        </w:rPr>
        <w:t>,</w:t>
      </w:r>
      <w:r w:rsidR="00FA1CB1">
        <w:rPr>
          <w:sz w:val="24"/>
          <w:u w:color="0000FF"/>
          <w:lang w:val="fi-FI"/>
        </w:rPr>
        <w:t xml:space="preserve"> </w:t>
      </w:r>
      <w:hyperlink r:id="rId2" w:history="1">
        <w:r w:rsidR="00FA1CB1" w:rsidRPr="00823CF7">
          <w:rPr>
            <w:rStyle w:val="Hyperlink"/>
            <w:sz w:val="24"/>
            <w:lang w:val="fi-FI"/>
          </w:rPr>
          <w:t>https://data.europa.eu/doi/10.2766/32313</w:t>
        </w:r>
      </w:hyperlink>
      <w:r w:rsidR="00FA1CB1" w:rsidRPr="00823CF7">
        <w:rPr>
          <w:color w:val="0000FF"/>
          <w:sz w:val="24"/>
          <w:lang w:val="fi-FI"/>
        </w:rPr>
        <w:t>.</w:t>
      </w:r>
    </w:p>
  </w:footnote>
  <w:footnote w:id="7">
    <w:p w14:paraId="37189EF6" w14:textId="079F9711" w:rsidR="00534C8C" w:rsidRPr="00823CF7" w:rsidRDefault="00534C8C" w:rsidP="000B3D3C">
      <w:pPr>
        <w:pStyle w:val="FootnoteText"/>
        <w:ind w:left="567" w:hanging="567"/>
        <w:rPr>
          <w:sz w:val="24"/>
          <w:lang w:val="fr-BE"/>
        </w:rPr>
      </w:pPr>
      <w:r w:rsidRPr="000B3D3C">
        <w:rPr>
          <w:rStyle w:val="FootnoteReference"/>
          <w:sz w:val="24"/>
          <w:lang w:val="sv-SE"/>
        </w:rPr>
        <w:footnoteRef/>
      </w:r>
      <w:r w:rsidR="000B3D3C" w:rsidRPr="00823CF7">
        <w:rPr>
          <w:sz w:val="24"/>
          <w:lang w:val="fr-BE"/>
        </w:rPr>
        <w:t xml:space="preserve"> </w:t>
      </w:r>
      <w:r w:rsidR="000B3D3C" w:rsidRPr="00823CF7">
        <w:rPr>
          <w:sz w:val="24"/>
          <w:lang w:val="fr-BE"/>
        </w:rPr>
        <w:tab/>
      </w:r>
      <w:r w:rsidRPr="00823CF7">
        <w:rPr>
          <w:sz w:val="24"/>
          <w:lang w:val="fr-BE"/>
        </w:rPr>
        <w:t>EUT C 32, 27.1.2023, s. 58.</w:t>
      </w:r>
    </w:p>
  </w:footnote>
  <w:footnote w:id="8">
    <w:p w14:paraId="46971856" w14:textId="2C257B15" w:rsidR="00534C8C" w:rsidRPr="00823CF7" w:rsidRDefault="00534C8C" w:rsidP="000B3D3C">
      <w:pPr>
        <w:pStyle w:val="FootnoteText"/>
        <w:ind w:left="567" w:hanging="567"/>
        <w:rPr>
          <w:sz w:val="24"/>
          <w:lang w:val="fr-BE"/>
        </w:rPr>
      </w:pPr>
      <w:r w:rsidRPr="000B3D3C">
        <w:rPr>
          <w:rStyle w:val="FootnoteReference"/>
          <w:sz w:val="24"/>
          <w:lang w:val="sv-SE"/>
        </w:rPr>
        <w:footnoteRef/>
      </w:r>
      <w:r w:rsidR="000B3D3C" w:rsidRPr="00823CF7">
        <w:rPr>
          <w:sz w:val="24"/>
          <w:lang w:val="fr-BE"/>
        </w:rPr>
        <w:t xml:space="preserve"> </w:t>
      </w:r>
      <w:r w:rsidR="000B3D3C" w:rsidRPr="00823CF7">
        <w:rPr>
          <w:sz w:val="24"/>
          <w:lang w:val="fr-BE"/>
        </w:rPr>
        <w:tab/>
      </w:r>
      <w:r w:rsidRPr="00823CF7">
        <w:rPr>
          <w:sz w:val="24"/>
          <w:lang w:val="fr-BE"/>
        </w:rPr>
        <w:t>EUT C 385, 22.9.2021, s. 2.</w:t>
      </w:r>
    </w:p>
  </w:footnote>
  <w:footnote w:id="9">
    <w:p w14:paraId="2D8D7455" w14:textId="661130C9" w:rsidR="00534C8C" w:rsidRPr="000B3D3C" w:rsidRDefault="00534C8C" w:rsidP="000B3D3C">
      <w:pPr>
        <w:pStyle w:val="FootnoteText"/>
        <w:ind w:left="567" w:hanging="567"/>
        <w:rPr>
          <w:sz w:val="24"/>
          <w:lang w:val="sv-SE"/>
        </w:rPr>
      </w:pPr>
      <w:r w:rsidRPr="000B3D3C">
        <w:rPr>
          <w:rStyle w:val="FootnoteReference"/>
          <w:sz w:val="24"/>
          <w:lang w:val="sv-SE"/>
        </w:rPr>
        <w:footnoteRef/>
      </w:r>
      <w:r w:rsidR="000B3D3C" w:rsidRPr="000B3D3C">
        <w:rPr>
          <w:sz w:val="24"/>
          <w:lang w:val="sv-SE"/>
        </w:rPr>
        <w:t xml:space="preserve"> </w:t>
      </w:r>
      <w:r w:rsidR="000B3D3C" w:rsidRPr="000B3D3C">
        <w:rPr>
          <w:sz w:val="24"/>
          <w:lang w:val="sv-SE"/>
        </w:rPr>
        <w:tab/>
      </w:r>
      <w:r w:rsidRPr="000B3D3C">
        <w:rPr>
          <w:sz w:val="24"/>
          <w:lang w:val="sv-SE"/>
        </w:rPr>
        <w:t>EUT C 479, 16.12.2022, s. 65.</w:t>
      </w:r>
    </w:p>
  </w:footnote>
  <w:footnote w:id="10">
    <w:p w14:paraId="26B4B999" w14:textId="03231C93" w:rsidR="00534C8C" w:rsidRPr="000B3D3C" w:rsidRDefault="00534C8C" w:rsidP="000B3D3C">
      <w:pPr>
        <w:pStyle w:val="FootnoteText"/>
        <w:ind w:left="567" w:hanging="567"/>
        <w:rPr>
          <w:sz w:val="24"/>
          <w:lang w:val="sv-SE"/>
        </w:rPr>
      </w:pPr>
      <w:r w:rsidRPr="000B3D3C">
        <w:rPr>
          <w:rStyle w:val="FootnoteReference"/>
          <w:sz w:val="24"/>
          <w:lang w:val="sv-SE"/>
        </w:rPr>
        <w:footnoteRef/>
      </w:r>
      <w:r w:rsidR="000B3D3C" w:rsidRPr="000B3D3C">
        <w:rPr>
          <w:sz w:val="24"/>
          <w:lang w:val="sv-SE"/>
        </w:rPr>
        <w:t xml:space="preserve"> </w:t>
      </w:r>
      <w:r w:rsidR="000B3D3C" w:rsidRPr="000B3D3C">
        <w:rPr>
          <w:sz w:val="24"/>
          <w:lang w:val="sv-SE"/>
        </w:rPr>
        <w:tab/>
      </w:r>
      <w:r w:rsidRPr="000B3D3C">
        <w:rPr>
          <w:sz w:val="24"/>
          <w:lang w:val="sv-SE"/>
        </w:rPr>
        <w:t>I enlighet med artikel 2 i fördraget om Europeiska unionen och Europeiska unionens stadga om de grundläggande rättigheterna.</w:t>
      </w:r>
    </w:p>
  </w:footnote>
  <w:footnote w:id="11">
    <w:p w14:paraId="7E40D874" w14:textId="64549B08" w:rsidR="00534C8C" w:rsidRPr="000B3D3C" w:rsidRDefault="00534C8C" w:rsidP="000B3D3C">
      <w:pPr>
        <w:pStyle w:val="FootnoteText"/>
        <w:ind w:left="567" w:hanging="567"/>
        <w:rPr>
          <w:sz w:val="24"/>
          <w:lang w:val="sv-SE"/>
        </w:rPr>
      </w:pPr>
      <w:r w:rsidRPr="000B3D3C">
        <w:rPr>
          <w:rStyle w:val="FootnoteReference"/>
          <w:sz w:val="24"/>
          <w:lang w:val="sv-SE"/>
        </w:rPr>
        <w:footnoteRef/>
      </w:r>
      <w:r w:rsidR="000B3D3C" w:rsidRPr="000B3D3C">
        <w:rPr>
          <w:sz w:val="24"/>
          <w:lang w:val="sv-SE"/>
        </w:rPr>
        <w:t xml:space="preserve"> </w:t>
      </w:r>
      <w:r w:rsidR="000B3D3C" w:rsidRPr="000B3D3C">
        <w:rPr>
          <w:sz w:val="24"/>
          <w:lang w:val="sv-SE"/>
        </w:rPr>
        <w:tab/>
      </w:r>
      <w:r w:rsidRPr="000B3D3C">
        <w:rPr>
          <w:sz w:val="24"/>
          <w:lang w:val="sv-SE"/>
        </w:rPr>
        <w:t>Enligt definitionen i Europaparlamentets och rådets förordning (EU) 2021/817 av den 20 maj 2021.</w:t>
      </w:r>
    </w:p>
  </w:footnote>
  <w:footnote w:id="12">
    <w:p w14:paraId="18BCCAFC" w14:textId="6A58187C" w:rsidR="00534C8C" w:rsidRPr="000B3D3C" w:rsidRDefault="00534C8C" w:rsidP="000B3D3C">
      <w:pPr>
        <w:pStyle w:val="FootnoteText"/>
        <w:ind w:left="567" w:hanging="567"/>
        <w:rPr>
          <w:sz w:val="24"/>
          <w:lang w:val="sv-SE"/>
        </w:rPr>
      </w:pPr>
      <w:r w:rsidRPr="000B3D3C">
        <w:rPr>
          <w:rStyle w:val="FootnoteReference"/>
          <w:sz w:val="24"/>
          <w:lang w:val="sv-SE"/>
        </w:rPr>
        <w:footnoteRef/>
      </w:r>
      <w:r w:rsidR="000B3D3C" w:rsidRPr="000B3D3C">
        <w:rPr>
          <w:sz w:val="24"/>
          <w:lang w:val="sv-SE"/>
        </w:rPr>
        <w:t xml:space="preserve"> </w:t>
      </w:r>
      <w:r w:rsidR="000B3D3C" w:rsidRPr="000B3D3C">
        <w:rPr>
          <w:sz w:val="24"/>
          <w:lang w:val="sv-SE"/>
        </w:rPr>
        <w:tab/>
      </w:r>
      <w:r w:rsidRPr="000B3D3C">
        <w:rPr>
          <w:sz w:val="24"/>
          <w:lang w:val="sv-SE"/>
        </w:rPr>
        <w:t>Arbetsdokument från kommissionens avdelningar SWD(2024)0291.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FD6F6" w14:textId="77777777" w:rsidR="00064002" w:rsidRPr="000B3D3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806E3" w14:textId="77777777" w:rsidR="00064002" w:rsidRPr="000B3D3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06381" w14:textId="77777777" w:rsidR="00064002" w:rsidRPr="000B3D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1929422">
    <w:abstractNumId w:val="9"/>
  </w:num>
  <w:num w:numId="2" w16cid:durableId="1514760523">
    <w:abstractNumId w:val="9"/>
  </w:num>
  <w:num w:numId="3" w16cid:durableId="1246841370">
    <w:abstractNumId w:val="7"/>
  </w:num>
  <w:num w:numId="4" w16cid:durableId="1551963663">
    <w:abstractNumId w:val="7"/>
  </w:num>
  <w:num w:numId="5" w16cid:durableId="1703941399">
    <w:abstractNumId w:val="6"/>
  </w:num>
  <w:num w:numId="6" w16cid:durableId="60829357">
    <w:abstractNumId w:val="6"/>
  </w:num>
  <w:num w:numId="7" w16cid:durableId="789974811">
    <w:abstractNumId w:val="5"/>
  </w:num>
  <w:num w:numId="8" w16cid:durableId="1826311868">
    <w:abstractNumId w:val="5"/>
  </w:num>
  <w:num w:numId="9" w16cid:durableId="772673216">
    <w:abstractNumId w:val="4"/>
  </w:num>
  <w:num w:numId="10" w16cid:durableId="1679692069">
    <w:abstractNumId w:val="4"/>
  </w:num>
  <w:num w:numId="11" w16cid:durableId="1262492637">
    <w:abstractNumId w:val="8"/>
  </w:num>
  <w:num w:numId="12" w16cid:durableId="1984845513">
    <w:abstractNumId w:val="8"/>
  </w:num>
  <w:num w:numId="13" w16cid:durableId="571038546">
    <w:abstractNumId w:val="3"/>
  </w:num>
  <w:num w:numId="14" w16cid:durableId="1652097955">
    <w:abstractNumId w:val="3"/>
  </w:num>
  <w:num w:numId="15" w16cid:durableId="681664056">
    <w:abstractNumId w:val="2"/>
  </w:num>
  <w:num w:numId="16" w16cid:durableId="314260532">
    <w:abstractNumId w:val="2"/>
  </w:num>
  <w:num w:numId="17" w16cid:durableId="397366224">
    <w:abstractNumId w:val="1"/>
  </w:num>
  <w:num w:numId="18" w16cid:durableId="1480150801">
    <w:abstractNumId w:val="1"/>
  </w:num>
  <w:num w:numId="19" w16cid:durableId="1781102416">
    <w:abstractNumId w:val="0"/>
  </w:num>
  <w:num w:numId="20" w16cid:durableId="136381627">
    <w:abstractNumId w:val="0"/>
  </w:num>
  <w:num w:numId="21" w16cid:durableId="167254410">
    <w:abstractNumId w:val="9"/>
  </w:num>
  <w:num w:numId="22" w16cid:durableId="1007707410">
    <w:abstractNumId w:val="7"/>
  </w:num>
  <w:num w:numId="23" w16cid:durableId="1756856145">
    <w:abstractNumId w:val="6"/>
  </w:num>
  <w:num w:numId="24" w16cid:durableId="488257261">
    <w:abstractNumId w:val="5"/>
  </w:num>
  <w:num w:numId="25" w16cid:durableId="586772353">
    <w:abstractNumId w:val="4"/>
  </w:num>
  <w:num w:numId="26" w16cid:durableId="162792023">
    <w:abstractNumId w:val="8"/>
  </w:num>
  <w:num w:numId="27" w16cid:durableId="693455999">
    <w:abstractNumId w:val="3"/>
  </w:num>
  <w:num w:numId="28" w16cid:durableId="1008021175">
    <w:abstractNumId w:val="2"/>
  </w:num>
  <w:num w:numId="29" w16cid:durableId="1232736586">
    <w:abstractNumId w:val="1"/>
  </w:num>
  <w:num w:numId="30" w16cid:durableId="1424916243">
    <w:abstractNumId w:val="0"/>
  </w:num>
  <w:num w:numId="31" w16cid:durableId="1261648444">
    <w:abstractNumId w:val="9"/>
  </w:num>
  <w:num w:numId="32" w16cid:durableId="596057583">
    <w:abstractNumId w:val="7"/>
  </w:num>
  <w:num w:numId="33" w16cid:durableId="1991209197">
    <w:abstractNumId w:val="6"/>
  </w:num>
  <w:num w:numId="34" w16cid:durableId="639919364">
    <w:abstractNumId w:val="5"/>
  </w:num>
  <w:num w:numId="35" w16cid:durableId="2013558805">
    <w:abstractNumId w:val="4"/>
  </w:num>
  <w:num w:numId="36" w16cid:durableId="926769755">
    <w:abstractNumId w:val="8"/>
  </w:num>
  <w:num w:numId="37" w16cid:durableId="2140613202">
    <w:abstractNumId w:val="3"/>
  </w:num>
  <w:num w:numId="38" w16cid:durableId="1802651701">
    <w:abstractNumId w:val="2"/>
  </w:num>
  <w:num w:numId="39" w16cid:durableId="1834681263">
    <w:abstractNumId w:val="1"/>
  </w:num>
  <w:num w:numId="40" w16cid:durableId="1544101061">
    <w:abstractNumId w:val="0"/>
  </w:num>
  <w:num w:numId="41" w16cid:durableId="2054847308">
    <w:abstractNumId w:val="10"/>
  </w:num>
  <w:num w:numId="42" w16cid:durableId="1642149567">
    <w:abstractNumId w:val="10"/>
  </w:num>
  <w:num w:numId="43" w16cid:durableId="1952855184">
    <w:abstractNumId w:val="10"/>
  </w:num>
  <w:num w:numId="44" w16cid:durableId="21244952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5/2025"/>
    <w:docVar w:name="dvlangue" w:val="SV"/>
    <w:docVar w:name="dvnumam" w:val="0"/>
    <w:docVar w:name="dvpe" w:val="770.272"/>
    <w:docVar w:name="dvrapporteur" w:val="Föredragande: "/>
    <w:docVar w:name="dvtitre" w:val="Europaparlamentets resolution av den xx xx 2025 om en ny vision för allianser mellan Europauniversiteten(2025/2036(INI))"/>
  </w:docVars>
  <w:rsids>
    <w:rsidRoot w:val="002724C6"/>
    <w:rsid w:val="00002272"/>
    <w:rsid w:val="00064002"/>
    <w:rsid w:val="000677B9"/>
    <w:rsid w:val="000831BA"/>
    <w:rsid w:val="000A42CC"/>
    <w:rsid w:val="000B3D3C"/>
    <w:rsid w:val="000C541E"/>
    <w:rsid w:val="000E7DD9"/>
    <w:rsid w:val="0010095E"/>
    <w:rsid w:val="00125B37"/>
    <w:rsid w:val="00187494"/>
    <w:rsid w:val="001F32AE"/>
    <w:rsid w:val="001F3B63"/>
    <w:rsid w:val="002724C6"/>
    <w:rsid w:val="002767FF"/>
    <w:rsid w:val="002B18FE"/>
    <w:rsid w:val="002B5493"/>
    <w:rsid w:val="00300DA5"/>
    <w:rsid w:val="00343214"/>
    <w:rsid w:val="00361C00"/>
    <w:rsid w:val="00395FA1"/>
    <w:rsid w:val="003E15D4"/>
    <w:rsid w:val="00411CCE"/>
    <w:rsid w:val="0041666E"/>
    <w:rsid w:val="00421060"/>
    <w:rsid w:val="004309FD"/>
    <w:rsid w:val="00471C19"/>
    <w:rsid w:val="004867E3"/>
    <w:rsid w:val="00494A28"/>
    <w:rsid w:val="004B534D"/>
    <w:rsid w:val="004C0004"/>
    <w:rsid w:val="004C5D52"/>
    <w:rsid w:val="0050519A"/>
    <w:rsid w:val="005072A1"/>
    <w:rsid w:val="00514517"/>
    <w:rsid w:val="00534C8C"/>
    <w:rsid w:val="00545827"/>
    <w:rsid w:val="00560270"/>
    <w:rsid w:val="00577984"/>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3CF7"/>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56EA"/>
    <w:rsid w:val="00A778C7"/>
    <w:rsid w:val="00AB441E"/>
    <w:rsid w:val="00AB6293"/>
    <w:rsid w:val="00AE0928"/>
    <w:rsid w:val="00AF3B82"/>
    <w:rsid w:val="00B12E95"/>
    <w:rsid w:val="00B1359A"/>
    <w:rsid w:val="00B22876"/>
    <w:rsid w:val="00B558F0"/>
    <w:rsid w:val="00BD48FE"/>
    <w:rsid w:val="00BD7BD8"/>
    <w:rsid w:val="00BE6ADC"/>
    <w:rsid w:val="00C0317C"/>
    <w:rsid w:val="00C05BFE"/>
    <w:rsid w:val="00C23CD4"/>
    <w:rsid w:val="00C61C0C"/>
    <w:rsid w:val="00C941CB"/>
    <w:rsid w:val="00CB6AB1"/>
    <w:rsid w:val="00CC2357"/>
    <w:rsid w:val="00CF071A"/>
    <w:rsid w:val="00D058B8"/>
    <w:rsid w:val="00D56C11"/>
    <w:rsid w:val="00D834A0"/>
    <w:rsid w:val="00D872DF"/>
    <w:rsid w:val="00D91E21"/>
    <w:rsid w:val="00DA7FCD"/>
    <w:rsid w:val="00DD00F6"/>
    <w:rsid w:val="00E365E1"/>
    <w:rsid w:val="00E820A4"/>
    <w:rsid w:val="00EB006A"/>
    <w:rsid w:val="00EB4772"/>
    <w:rsid w:val="00EC4DFE"/>
    <w:rsid w:val="00ED169E"/>
    <w:rsid w:val="00ED4235"/>
    <w:rsid w:val="00EF24ED"/>
    <w:rsid w:val="00F04346"/>
    <w:rsid w:val="00F075DC"/>
    <w:rsid w:val="00F149E9"/>
    <w:rsid w:val="00F5134D"/>
    <w:rsid w:val="00F74202"/>
    <w:rsid w:val="00F87713"/>
    <w:rsid w:val="00FA1CB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5F18A2"/>
  <w15:chartTrackingRefBased/>
  <w15:docId w15:val="{DF02025A-9739-4440-B3ED-668D59760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34C8C"/>
    <w:pPr>
      <w:spacing w:before="480" w:after="240"/>
    </w:pPr>
    <w:rPr>
      <w:snapToGrid w:val="0"/>
      <w:lang w:eastAsia="en-US"/>
    </w:rPr>
  </w:style>
  <w:style w:type="paragraph" w:customStyle="1" w:styleId="NormalHanging12a">
    <w:name w:val="NormalHanging12a"/>
    <w:basedOn w:val="Normal"/>
    <w:rsid w:val="00534C8C"/>
    <w:pPr>
      <w:widowControl/>
      <w:spacing w:after="240"/>
      <w:ind w:left="567" w:hanging="567"/>
    </w:pPr>
    <w:rPr>
      <w:snapToGrid w:val="0"/>
      <w:lang w:eastAsia="en-US"/>
    </w:rPr>
  </w:style>
  <w:style w:type="character" w:customStyle="1" w:styleId="Bold">
    <w:name w:val="Bold"/>
    <w:uiPriority w:val="1"/>
    <w:rsid w:val="00534C8C"/>
    <w:rPr>
      <w:b/>
    </w:rPr>
  </w:style>
  <w:style w:type="character" w:customStyle="1" w:styleId="Italic">
    <w:name w:val="Italic"/>
    <w:uiPriority w:val="1"/>
    <w:rsid w:val="00534C8C"/>
    <w:rPr>
      <w:i/>
    </w:rPr>
  </w:style>
  <w:style w:type="paragraph" w:customStyle="1" w:styleId="Normal12a24b">
    <w:name w:val="Normal12a24b"/>
    <w:basedOn w:val="Normal"/>
    <w:rsid w:val="00534C8C"/>
    <w:pPr>
      <w:spacing w:before="360" w:after="240"/>
    </w:pPr>
    <w:rPr>
      <w:snapToGrid w:val="0"/>
      <w:lang w:eastAsia="en-US"/>
    </w:rPr>
  </w:style>
  <w:style w:type="character" w:styleId="Hyperlink">
    <w:name w:val="Hyperlink"/>
    <w:basedOn w:val="DefaultParagraphFont"/>
    <w:rsid w:val="00534C8C"/>
    <w:rPr>
      <w:color w:val="0000FF"/>
      <w:u w:val="single"/>
    </w:rPr>
  </w:style>
  <w:style w:type="paragraph" w:styleId="Revision">
    <w:name w:val="Revision"/>
    <w:hidden/>
    <w:uiPriority w:val="99"/>
    <w:semiHidden/>
    <w:rsid w:val="00A556EA"/>
    <w:rPr>
      <w:sz w:val="24"/>
      <w:lang w:val="sv-SE"/>
    </w:rPr>
  </w:style>
  <w:style w:type="character" w:styleId="UnresolvedMention">
    <w:name w:val="Unresolved Mention"/>
    <w:basedOn w:val="DefaultParagraphFont"/>
    <w:uiPriority w:val="99"/>
    <w:semiHidden/>
    <w:unhideWhenUsed/>
    <w:rsid w:val="00577984"/>
    <w:rPr>
      <w:color w:val="605E5C"/>
      <w:shd w:val="clear" w:color="auto" w:fill="E1DFDD"/>
    </w:rPr>
  </w:style>
  <w:style w:type="character" w:styleId="FollowedHyperlink">
    <w:name w:val="FollowedHyperlink"/>
    <w:basedOn w:val="DefaultParagraphFont"/>
    <w:rsid w:val="005779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ata.europa.eu/doi/10.2766/32313" TargetMode="External"/><Relationship Id="rId1" Type="http://schemas.openxmlformats.org/officeDocument/2006/relationships/hyperlink" Target="https://data.europa.eu/doi/10.2766/323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3383</Words>
  <Characters>22870</Characters>
  <Application>Microsoft Office Word</Application>
  <DocSecurity>0</DocSecurity>
  <Lines>190</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2025-09-11T12:22:00Z</dcterms:created>
  <dcterms:modified xsi:type="dcterms:W3CDTF">2025-09-11T12:22:00Z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A10-0135/2025</vt:lpwstr>
  </property>
  <property fmtid="{D5CDD505-2E9C-101B-9397-08002B2CF9AE}" pid="4" name="&lt;Type&gt;">
    <vt:lpwstr>RR</vt:lpwstr>
  </property>
</Properties>
</file>