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2A81" w14:paraId="04B8B3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60520B" w14:textId="780AC883" w:rsidR="00751A4A" w:rsidRPr="00A82A81" w:rsidRDefault="00F82EDA" w:rsidP="0010095E">
            <w:pPr>
              <w:pStyle w:val="EPName"/>
            </w:pPr>
            <w:r w:rsidRPr="00A82A81">
              <w:t>Европейски</w:t>
            </w:r>
            <w:r w:rsidR="0018567D" w:rsidRPr="00A82A81">
              <w:t xml:space="preserve"> парламент</w:t>
            </w:r>
          </w:p>
          <w:p w14:paraId="5638432A" w14:textId="53E1C55E" w:rsidR="00751A4A" w:rsidRPr="00A82A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2A81">
              <w:t>2024</w:t>
            </w:r>
            <w:r w:rsidR="00F82EDA">
              <w:t> – </w:t>
            </w:r>
            <w:r w:rsidR="00817416" w:rsidRPr="00A82A81">
              <w:t>202</w:t>
            </w:r>
            <w:r w:rsidRPr="00A82A81">
              <w:t>9</w:t>
            </w:r>
          </w:p>
        </w:tc>
        <w:tc>
          <w:tcPr>
            <w:tcW w:w="2268" w:type="dxa"/>
            <w:shd w:val="clear" w:color="auto" w:fill="auto"/>
          </w:tcPr>
          <w:p w14:paraId="477593ED" w14:textId="77777777" w:rsidR="00751A4A" w:rsidRPr="00A82A81" w:rsidRDefault="00187494" w:rsidP="0010095E">
            <w:pPr>
              <w:pStyle w:val="EPLogo"/>
            </w:pPr>
            <w:r w:rsidRPr="00A82A81">
              <w:rPr>
                <w:noProof/>
                <w:lang w:eastAsia="ja-JP"/>
              </w:rPr>
              <w:drawing>
                <wp:inline distT="0" distB="0" distL="0" distR="0" wp14:anchorId="09E8330C" wp14:editId="2BFB16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CFFABC" w14:textId="77777777" w:rsidR="00D058B8" w:rsidRPr="00A82A81" w:rsidRDefault="00D058B8" w:rsidP="004C5D52">
      <w:pPr>
        <w:pStyle w:val="LineTop"/>
      </w:pPr>
    </w:p>
    <w:p w14:paraId="11D2D092" w14:textId="77777777" w:rsidR="00680577" w:rsidRPr="00A82A81" w:rsidRDefault="0018567D" w:rsidP="00680577">
      <w:pPr>
        <w:pStyle w:val="EPBodyTA1"/>
      </w:pPr>
      <w:r w:rsidRPr="00A82A81">
        <w:t>ПРИЕТИ ТЕКСТОВЕ</w:t>
      </w:r>
    </w:p>
    <w:p w14:paraId="5F983572" w14:textId="77777777" w:rsidR="00D058B8" w:rsidRPr="00A82A81" w:rsidRDefault="00D058B8" w:rsidP="00D058B8">
      <w:pPr>
        <w:pStyle w:val="LineBottom"/>
      </w:pPr>
    </w:p>
    <w:p w14:paraId="6D475065" w14:textId="5B5A2751" w:rsidR="0018567D" w:rsidRPr="00A82A81" w:rsidRDefault="0018567D" w:rsidP="0018567D">
      <w:pPr>
        <w:pStyle w:val="ATHeading1"/>
      </w:pPr>
      <w:bookmarkStart w:id="0" w:name="TANumber"/>
      <w:r w:rsidRPr="00A82A81">
        <w:t>P10_TA(2025)0</w:t>
      </w:r>
      <w:r w:rsidR="005A3127" w:rsidRPr="00BD0E74">
        <w:rPr>
          <w:lang w:val="ru-RU"/>
        </w:rPr>
        <w:t>197</w:t>
      </w:r>
      <w:bookmarkEnd w:id="0"/>
    </w:p>
    <w:p w14:paraId="63E427CD" w14:textId="77777777" w:rsidR="0018567D" w:rsidRPr="00A82A81" w:rsidRDefault="0018567D" w:rsidP="0018567D">
      <w:pPr>
        <w:pStyle w:val="ATHeading2"/>
      </w:pPr>
      <w:bookmarkStart w:id="1" w:name="title"/>
      <w:r w:rsidRPr="00A82A81">
        <w:t>Прилагане и рационализиране на правилата на вътрешния пазар на ЕС с цел укрепване на единния пазар</w:t>
      </w:r>
      <w:bookmarkEnd w:id="1"/>
    </w:p>
    <w:p w14:paraId="42D7E014" w14:textId="77777777" w:rsidR="0018567D" w:rsidRPr="00A82A81" w:rsidRDefault="0018567D" w:rsidP="0018567D">
      <w:pPr>
        <w:rPr>
          <w:i/>
          <w:vanish/>
        </w:rPr>
      </w:pPr>
      <w:r w:rsidRPr="00A82A81">
        <w:rPr>
          <w:i/>
        </w:rPr>
        <w:fldChar w:fldCharType="begin"/>
      </w:r>
      <w:r w:rsidRPr="00A82A81">
        <w:rPr>
          <w:i/>
        </w:rPr>
        <w:instrText xml:space="preserve"> TC"(</w:instrText>
      </w:r>
      <w:bookmarkStart w:id="2" w:name="DocNumber"/>
      <w:r w:rsidRPr="00A82A81">
        <w:rPr>
          <w:i/>
        </w:rPr>
        <w:instrText>A10-0151/2025</w:instrText>
      </w:r>
      <w:bookmarkEnd w:id="2"/>
      <w:r w:rsidRPr="00A82A81">
        <w:rPr>
          <w:i/>
        </w:rPr>
        <w:instrText xml:space="preserve"> - Докладчик: Анна-Мая Хенриксон)"\l3 \n&gt; \* MERGEFORMAT </w:instrText>
      </w:r>
      <w:r w:rsidRPr="00A82A81">
        <w:rPr>
          <w:i/>
        </w:rPr>
        <w:fldChar w:fldCharType="end"/>
      </w:r>
    </w:p>
    <w:p w14:paraId="6EBC3BBA" w14:textId="77777777" w:rsidR="0018567D" w:rsidRPr="00A82A81" w:rsidRDefault="0018567D" w:rsidP="0018567D">
      <w:pPr>
        <w:rPr>
          <w:vanish/>
        </w:rPr>
      </w:pPr>
      <w:bookmarkStart w:id="3" w:name="Commission"/>
      <w:r w:rsidRPr="00A82A81">
        <w:rPr>
          <w:vanish/>
        </w:rPr>
        <w:t>Комисия по вътрешния пазар и защита на потребителите</w:t>
      </w:r>
      <w:bookmarkEnd w:id="3"/>
    </w:p>
    <w:p w14:paraId="464C2DF4" w14:textId="77777777" w:rsidR="0018567D" w:rsidRPr="00A82A81" w:rsidRDefault="0018567D" w:rsidP="0018567D">
      <w:pPr>
        <w:rPr>
          <w:vanish/>
        </w:rPr>
      </w:pPr>
      <w:bookmarkStart w:id="4" w:name="PE"/>
      <w:r w:rsidRPr="00A82A81">
        <w:rPr>
          <w:vanish/>
        </w:rPr>
        <w:t>PE769.908</w:t>
      </w:r>
      <w:bookmarkEnd w:id="4"/>
    </w:p>
    <w:p w14:paraId="738BCC52" w14:textId="022DC3C1" w:rsidR="0018567D" w:rsidRPr="00A82A81" w:rsidRDefault="0018567D" w:rsidP="0018567D">
      <w:pPr>
        <w:pStyle w:val="ATHeading3"/>
      </w:pPr>
      <w:bookmarkStart w:id="5" w:name="Sujet"/>
      <w:r w:rsidRPr="00A82A81">
        <w:t xml:space="preserve">Резолюция на Европейския парламент от </w:t>
      </w:r>
      <w:r w:rsidR="00F82EDA">
        <w:t>11 септември</w:t>
      </w:r>
      <w:r w:rsidR="00F82EDA" w:rsidRPr="00A82A81">
        <w:t xml:space="preserve"> </w:t>
      </w:r>
      <w:r w:rsidRPr="00A82A81">
        <w:t>2025 г. относно прилагането и рационализирането на правилата на вътрешния пазар на ЕС с цел укрепване на единния пазар</w:t>
      </w:r>
      <w:bookmarkEnd w:id="5"/>
      <w:r w:rsidRPr="00A82A81">
        <w:t xml:space="preserve"> </w:t>
      </w:r>
      <w:bookmarkStart w:id="6" w:name="References"/>
      <w:r w:rsidRPr="00A82A81">
        <w:t>(2025/2009(INI))</w:t>
      </w:r>
      <w:bookmarkEnd w:id="6"/>
    </w:p>
    <w:p w14:paraId="54A2566D" w14:textId="77777777" w:rsidR="00D95E37" w:rsidRPr="00A82A81" w:rsidRDefault="00D95E37" w:rsidP="00D95E37">
      <w:pPr>
        <w:pStyle w:val="EPComma"/>
      </w:pPr>
      <w:r w:rsidRPr="00A82A81">
        <w:rPr>
          <w:rStyle w:val="Italic"/>
        </w:rPr>
        <w:t>Европейският парламент</w:t>
      </w:r>
      <w:r w:rsidRPr="00A82A81">
        <w:t>,</w:t>
      </w:r>
    </w:p>
    <w:p w14:paraId="72DA7C7F" w14:textId="77809B97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съобщението на Комисията от 11 февруари 2025 г., озаглавено „Работна програма на Комисията за 2025 г. – Заедно напред: по-решителен, опростен и експедитивен Съюз“ (</w:t>
      </w:r>
      <w:r w:rsidR="00F82EDA" w:rsidRPr="005A3127">
        <w:t>COM(2025)0045</w:t>
      </w:r>
      <w:r w:rsidRPr="00A82A81">
        <w:t>),</w:t>
      </w:r>
    </w:p>
    <w:p w14:paraId="42E6F95D" w14:textId="77777777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документа „Политически насоки за мандата 2024 – 2029 г. на Комисията“, представен от избрания председател на Комисията на 18 юли 2024 г.,</w:t>
      </w:r>
    </w:p>
    <w:p w14:paraId="31F94DE9" w14:textId="1BDDE4E5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съобщението на Комисията от 11 февруари 2025 г., озаглавено „Една опростена и по-експедитивна Европа: Съобщение относно изпълнението и опростяването“ (</w:t>
      </w:r>
      <w:r w:rsidR="00F82EDA" w:rsidRPr="005A3127">
        <w:t>COM(2025)0047</w:t>
      </w:r>
      <w:r w:rsidRPr="00A82A81">
        <w:t>),</w:t>
      </w:r>
    </w:p>
    <w:p w14:paraId="442EB76A" w14:textId="2AA2F48B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съобщението на Комисията от 29 януари 2025 г., озаглавено „Компас за конкурентоспособността на ЕС“ (</w:t>
      </w:r>
      <w:r w:rsidR="00F82EDA" w:rsidRPr="005A3127">
        <w:t>COM(2025)0030</w:t>
      </w:r>
      <w:r w:rsidRPr="00A82A81">
        <w:t>),</w:t>
      </w:r>
    </w:p>
    <w:p w14:paraId="4F3F3A32" w14:textId="488C39AF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съобщението на Комисията от 29 януари 2025 г., озаглавено „Годишен доклад от 2025 г. за единния пазар и конкурентоспособността“ (</w:t>
      </w:r>
      <w:r w:rsidR="00F82EDA" w:rsidRPr="005A3127">
        <w:t>COM(2025)0026</w:t>
      </w:r>
      <w:r w:rsidRPr="00A82A81">
        <w:t>),</w:t>
      </w:r>
    </w:p>
    <w:p w14:paraId="47A85E17" w14:textId="77777777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 xml:space="preserve">като взе предвид доклада на Марио Драги от 9 септември 2024 г., озаглавен „The </w:t>
      </w:r>
      <w:proofErr w:type="spellStart"/>
      <w:r w:rsidRPr="00A82A81">
        <w:t>future</w:t>
      </w:r>
      <w:proofErr w:type="spellEnd"/>
      <w:r w:rsidRPr="00A82A81">
        <w:t xml:space="preserve"> </w:t>
      </w:r>
      <w:proofErr w:type="spellStart"/>
      <w:r w:rsidRPr="00A82A81">
        <w:t>of</w:t>
      </w:r>
      <w:proofErr w:type="spellEnd"/>
      <w:r w:rsidRPr="00A82A81">
        <w:t xml:space="preserve"> </w:t>
      </w:r>
      <w:proofErr w:type="spellStart"/>
      <w:r w:rsidRPr="00A82A81">
        <w:t>European</w:t>
      </w:r>
      <w:proofErr w:type="spellEnd"/>
      <w:r w:rsidRPr="00A82A81">
        <w:t xml:space="preserve"> </w:t>
      </w:r>
      <w:proofErr w:type="spellStart"/>
      <w:r w:rsidRPr="00A82A81">
        <w:t>competitiveness</w:t>
      </w:r>
      <w:proofErr w:type="spellEnd"/>
      <w:r w:rsidRPr="00A82A81">
        <w:t>“ (Бъдещето на европейската конкурентоспособност),</w:t>
      </w:r>
    </w:p>
    <w:p w14:paraId="212E6E9A" w14:textId="77777777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доклада на Енрико Лета от 10 април 2024 г., озаглавен „</w:t>
      </w:r>
      <w:proofErr w:type="spellStart"/>
      <w:r w:rsidRPr="00A82A81">
        <w:t>Much</w:t>
      </w:r>
      <w:proofErr w:type="spellEnd"/>
      <w:r w:rsidRPr="00A82A81">
        <w:t xml:space="preserve"> </w:t>
      </w:r>
      <w:proofErr w:type="spellStart"/>
      <w:r w:rsidRPr="00A82A81">
        <w:t>more</w:t>
      </w:r>
      <w:proofErr w:type="spellEnd"/>
      <w:r w:rsidRPr="00A82A81">
        <w:t xml:space="preserve"> </w:t>
      </w:r>
      <w:proofErr w:type="spellStart"/>
      <w:r w:rsidRPr="00A82A81">
        <w:t>than</w:t>
      </w:r>
      <w:proofErr w:type="spellEnd"/>
      <w:r w:rsidRPr="00A82A81">
        <w:t xml:space="preserve"> a </w:t>
      </w:r>
      <w:proofErr w:type="spellStart"/>
      <w:r w:rsidRPr="00A82A81">
        <w:t>market</w:t>
      </w:r>
      <w:proofErr w:type="spellEnd"/>
      <w:r w:rsidRPr="00A82A81">
        <w:t>“ (Много повече от пазар),</w:t>
      </w:r>
    </w:p>
    <w:p w14:paraId="0D55C00C" w14:textId="77777777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 xml:space="preserve">като взе предвид доклада на Саули </w:t>
      </w:r>
      <w:proofErr w:type="spellStart"/>
      <w:r w:rsidRPr="00A82A81">
        <w:t>Нинистьо</w:t>
      </w:r>
      <w:proofErr w:type="spellEnd"/>
      <w:r w:rsidRPr="00A82A81">
        <w:t xml:space="preserve"> от 30 октомври 2024 г., озаглавен „</w:t>
      </w:r>
      <w:proofErr w:type="spellStart"/>
      <w:r w:rsidRPr="00A82A81">
        <w:t>Safer</w:t>
      </w:r>
      <w:proofErr w:type="spellEnd"/>
      <w:r w:rsidRPr="00A82A81">
        <w:t xml:space="preserve"> </w:t>
      </w:r>
      <w:proofErr w:type="spellStart"/>
      <w:r w:rsidRPr="00A82A81">
        <w:t>Together</w:t>
      </w:r>
      <w:proofErr w:type="spellEnd"/>
      <w:r w:rsidRPr="00A82A81">
        <w:t xml:space="preserve"> – </w:t>
      </w:r>
      <w:proofErr w:type="spellStart"/>
      <w:r w:rsidRPr="00A82A81">
        <w:t>Strengthening</w:t>
      </w:r>
      <w:proofErr w:type="spellEnd"/>
      <w:r w:rsidRPr="00A82A81">
        <w:t xml:space="preserve"> </w:t>
      </w:r>
      <w:proofErr w:type="spellStart"/>
      <w:r w:rsidRPr="00A82A81">
        <w:t>Europe’s</w:t>
      </w:r>
      <w:proofErr w:type="spellEnd"/>
      <w:r w:rsidRPr="00A82A81">
        <w:t xml:space="preserve"> </w:t>
      </w:r>
      <w:proofErr w:type="spellStart"/>
      <w:r w:rsidRPr="00A82A81">
        <w:t>Civilian</w:t>
      </w:r>
      <w:proofErr w:type="spellEnd"/>
      <w:r w:rsidRPr="00A82A81">
        <w:t xml:space="preserve"> </w:t>
      </w:r>
      <w:proofErr w:type="spellStart"/>
      <w:r w:rsidRPr="00A82A81">
        <w:t>and</w:t>
      </w:r>
      <w:proofErr w:type="spellEnd"/>
      <w:r w:rsidRPr="00A82A81">
        <w:t xml:space="preserve"> </w:t>
      </w:r>
      <w:proofErr w:type="spellStart"/>
      <w:r w:rsidRPr="00A82A81">
        <w:t>Military</w:t>
      </w:r>
      <w:proofErr w:type="spellEnd"/>
      <w:r w:rsidRPr="00A82A81">
        <w:t xml:space="preserve"> </w:t>
      </w:r>
      <w:proofErr w:type="spellStart"/>
      <w:r w:rsidRPr="00A82A81">
        <w:t>Preparedness</w:t>
      </w:r>
      <w:proofErr w:type="spellEnd"/>
      <w:r w:rsidRPr="00A82A81">
        <w:t xml:space="preserve"> </w:t>
      </w:r>
      <w:proofErr w:type="spellStart"/>
      <w:r w:rsidRPr="00A82A81">
        <w:t>and</w:t>
      </w:r>
      <w:proofErr w:type="spellEnd"/>
      <w:r w:rsidRPr="00A82A81">
        <w:t xml:space="preserve"> </w:t>
      </w:r>
      <w:proofErr w:type="spellStart"/>
      <w:r w:rsidRPr="00A82A81">
        <w:t>Readiness</w:t>
      </w:r>
      <w:proofErr w:type="spellEnd"/>
      <w:r w:rsidRPr="00A82A81">
        <w:t>“ (Заедно в по-голяма безопасност – укрепване на гражданската и военната подготвеност и готовност на Европа),</w:t>
      </w:r>
    </w:p>
    <w:p w14:paraId="2DB54562" w14:textId="77777777" w:rsidR="00D95E37" w:rsidRPr="00A82A81" w:rsidRDefault="00D95E37" w:rsidP="00D95E37">
      <w:pPr>
        <w:pStyle w:val="NormalHanging12a"/>
      </w:pPr>
      <w:r w:rsidRPr="00A82A81">
        <w:lastRenderedPageBreak/>
        <w:t>–</w:t>
      </w:r>
      <w:r w:rsidRPr="00A82A81">
        <w:tab/>
        <w:t>като взе предвид своята резолюция от 18 януари 2023 г. относно 30-ата годишнина от създаването на единния пазар: отбелязване на постиженията и поглед към бъдещото развитие</w:t>
      </w:r>
      <w:r w:rsidRPr="00A82A81">
        <w:rPr>
          <w:rStyle w:val="FootnoteReference"/>
        </w:rPr>
        <w:footnoteReference w:id="1"/>
      </w:r>
      <w:r w:rsidRPr="00A82A81">
        <w:t>,</w:t>
      </w:r>
    </w:p>
    <w:p w14:paraId="1E337CD9" w14:textId="77777777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член 55 от своя Правилник за дейността,</w:t>
      </w:r>
    </w:p>
    <w:p w14:paraId="384945CF" w14:textId="77777777" w:rsidR="00D95E37" w:rsidRPr="00A82A81" w:rsidRDefault="00D95E37" w:rsidP="00D95E37">
      <w:pPr>
        <w:pStyle w:val="NormalHanging12a"/>
      </w:pPr>
      <w:r w:rsidRPr="00A82A81">
        <w:t>–</w:t>
      </w:r>
      <w:r w:rsidRPr="00A82A81">
        <w:tab/>
        <w:t>като взе предвид доклада на комисията по вътрешния пазар и защита на потребителите (A10-0151/2025),</w:t>
      </w:r>
    </w:p>
    <w:p w14:paraId="6E07D9C8" w14:textId="77777777" w:rsidR="00D95E37" w:rsidRPr="00A82A81" w:rsidRDefault="00D95E37" w:rsidP="00D95E37">
      <w:pPr>
        <w:pStyle w:val="NormalHanging12a"/>
      </w:pPr>
      <w:r w:rsidRPr="00A82A81">
        <w:t>А.</w:t>
      </w:r>
      <w:r w:rsidRPr="00A82A81">
        <w:tab/>
        <w:t>като има предвид, че ЕС е един от най-големите икономически блокове в света с население от около 450 милиона души; като има предвид, че осигуряването на конкурентна, пригодна за целта и опростена регулаторна среда е от съществено значение за укрепването на позицията на ЕС в световен мащаб, за насърчаването на дългосрочния растеж, доверието и защитата на потребителите, иновациите и завършването на двойния преход;</w:t>
      </w:r>
    </w:p>
    <w:p w14:paraId="3E3AC7B7" w14:textId="77777777" w:rsidR="00D95E37" w:rsidRPr="00A82A81" w:rsidRDefault="00D95E37" w:rsidP="00D95E37">
      <w:pPr>
        <w:pStyle w:val="NormalHanging12a"/>
      </w:pPr>
      <w:r w:rsidRPr="00A82A81">
        <w:t>Б.</w:t>
      </w:r>
      <w:r w:rsidRPr="00A82A81">
        <w:tab/>
        <w:t>като има предвид, че Комисията е определила цели за намаляване на административните разходи с 25% за всички дружества и с 35% за малките и средните предприятия (МСП) до 2029 г.; като има предвид, че в съобщението на Комисията, озаглавено „Една опростена и по-експедитивна Европа“, се подчертава необходимостта от постигане на бързи и видими подобрения чрез по-интелигентно регулиране, по-ефективно прилагане и по-добро ангажиране на заинтересованите страни; като има предвид, че тези усилия следва да бъдат замислени така, че да бъдат от полза за предприятията, потребителите и обществото като цяло чрез подобряване на достъпа до пазара, намаляване на ненужната тежест и гарантиране на справедливи еднакви условия на конкуренция, като същевременно се отстояват основните цели на политиката на ЕС и високите социални и екологични стандарти;</w:t>
      </w:r>
    </w:p>
    <w:p w14:paraId="700C8D45" w14:textId="77777777" w:rsidR="00D95E37" w:rsidRPr="00A82A81" w:rsidRDefault="00D95E37" w:rsidP="00D95E37">
      <w:pPr>
        <w:pStyle w:val="NormalHanging12a"/>
        <w:rPr>
          <w:bCs/>
          <w:iCs/>
        </w:rPr>
      </w:pPr>
      <w:r w:rsidRPr="00A82A81">
        <w:t>В.</w:t>
      </w:r>
      <w:r w:rsidRPr="00A82A81">
        <w:tab/>
        <w:t>като има предвид, че докладите на Драги и Лета посочиха фрагментацията на вътрешния пазар, регулаторната сложност и непоследователното прилагане на правилата на ЕС като основни пречки пред конкурентоспособността на единния пазар на ЕС; като има предвид, че според доклада на Драги насърчаването на по-стабилна и предсказуема регулаторна среда, с акцент върху необходимите и пропорционални законодателни действия, би могло да спомогне за засилване на конкурентоспособността на ЕС;</w:t>
      </w:r>
    </w:p>
    <w:p w14:paraId="2C948F72" w14:textId="77777777" w:rsidR="00D95E37" w:rsidRPr="00A82A81" w:rsidRDefault="00D95E37" w:rsidP="00D95E37">
      <w:pPr>
        <w:pStyle w:val="NormalHanging12a"/>
      </w:pPr>
      <w:r w:rsidRPr="00A82A81">
        <w:t>Г.</w:t>
      </w:r>
      <w:r w:rsidRPr="00A82A81">
        <w:tab/>
        <w:t xml:space="preserve">като има предвид, че в констатациите в доклада </w:t>
      </w:r>
      <w:proofErr w:type="spellStart"/>
      <w:r w:rsidRPr="00A82A81">
        <w:t>Нинистьо</w:t>
      </w:r>
      <w:proofErr w:type="spellEnd"/>
      <w:r w:rsidRPr="00A82A81">
        <w:t xml:space="preserve"> относно опростяването и укрепването на отбранителната промишленост на ЕС се подчертава стратегическата необходимост от рационализиране на разпоредбите в ключови сектори, за да се намали разпокъсаността, да се ускорят обществените поръчки и да се подобрят доставките с цел подпомагане на отбранителните отрасли и даване на възможност на държавите членки да изпълняват поставените от тях жизнено важни цели, свързани с разходите за отбрана, както и да се насърчават европейската сигурност и конкурентоспособност;</w:t>
      </w:r>
    </w:p>
    <w:p w14:paraId="5A4FDA29" w14:textId="77777777" w:rsidR="00D95E37" w:rsidRPr="00A82A81" w:rsidRDefault="00D95E37" w:rsidP="00D95E37">
      <w:pPr>
        <w:pStyle w:val="NormalHanging12a"/>
      </w:pPr>
      <w:r w:rsidRPr="00A82A81">
        <w:t>Д.</w:t>
      </w:r>
      <w:r w:rsidRPr="00A82A81">
        <w:tab/>
        <w:t xml:space="preserve">като има предвид, че годишният доклад от 2025 г. за единния пазар и конкурентоспособността и информационното табло за единния пазар и конкурентоспособността предоставят критична информация за текущото </w:t>
      </w:r>
      <w:r w:rsidRPr="00A82A81">
        <w:lastRenderedPageBreak/>
        <w:t>състояние на единния пазар, бизнес настроенията и секторната конкурентоспособност; като има предвид, че секторът на услугите продължава да бъде по-слабо интегриран от сектора на стоките; като има предвид, че липсата на хармонизация продължава да възпрепятства предоставянето на трансгранични услуги, особено от МСП; като има предвид, че последните статистически данни показват, че сроковете за издаване на разрешения за откриване и извършване на стопанска дейност в ЕС остават значително по-дълги, което създава пречки пред инвестициите и иновациите</w:t>
      </w:r>
      <w:r w:rsidRPr="00A82A81">
        <w:rPr>
          <w:rStyle w:val="FootnoteReference"/>
        </w:rPr>
        <w:footnoteReference w:id="2"/>
      </w:r>
      <w:r w:rsidRPr="00A82A81">
        <w:t xml:space="preserve">; </w:t>
      </w:r>
    </w:p>
    <w:p w14:paraId="44713741" w14:textId="77777777" w:rsidR="00D95E37" w:rsidRPr="00A82A81" w:rsidRDefault="00D95E37" w:rsidP="00D95E37">
      <w:pPr>
        <w:pStyle w:val="NormalHanging12a"/>
      </w:pPr>
      <w:r w:rsidRPr="00A82A81">
        <w:t>Е.</w:t>
      </w:r>
      <w:r w:rsidRPr="00A82A81">
        <w:tab/>
        <w:t xml:space="preserve">като има предвид, че регулаторната разпокъсаност, сложността, припокриването и непоследователното прилагане на правилата на ЕС за вътрешния пазар създават необосновани пречки и ненужна административна тежест, които оказват непропорционално въздействие върху МСП, малките дружества със средна пазарна капитализация и стартиращите предприятия, представляващи 99% от предприятията в ЕС, като ограничават техния капацитет за иновации, инвестиции, разрастване, ефективна конкуренция и участие в трансгранични дейности в рамките на единния пазар и на световните пазари; като има предвид, че тестът за МСП и по-доброто прилагане и опростяване, когато е необходимо и обосновано, на правилата на ЕС, са от съществено значение за гарантиране на пропорционалност в правната рамка; като има предвид, че както се подчертава в доклада на Драги, разликата в конкурентоспособността на ЕС се дължи и на незадоволителните резултати на големите предприятия, и като има предвид, че успешните дружества на вътрешния пазар, които също така извличат стойност от световните пазари, са от жизненоважно значение за създаването на просперитет за ЕС и неговите граждани; </w:t>
      </w:r>
    </w:p>
    <w:p w14:paraId="466182B8" w14:textId="77777777" w:rsidR="00D95E37" w:rsidRPr="00A82A81" w:rsidRDefault="00D95E37" w:rsidP="00D95E37">
      <w:pPr>
        <w:pStyle w:val="NormalHanging12a"/>
      </w:pPr>
      <w:r w:rsidRPr="00A82A81">
        <w:t>Ж.</w:t>
      </w:r>
      <w:r w:rsidRPr="00A82A81">
        <w:tab/>
        <w:t>като има предвид, че строгото прилагане на правилата на единния пазар, включително чрез по-бързи и ефективни производства за установяване на нарушение, следва да бъде разглеждано като от съществено значение за гарантиране на лоялната конкуренция и на доверието на предприятията, както и за защита на потребителите от последиците от фрагментацията на пазара и ограничения избор; като има предвид, че усилията за подобряване, рационализиране и опростяване на законодателната рамка на ЕС следва също така да се съсредоточат върху повишаването на качеството, яснотата и съгласуваността, върху намаляването на разпокъсаността при прилагането на правилата на ЕС, както и върху гарантирането, че законодателството е лесно разбираемо за органите и всички заинтересовани страни;</w:t>
      </w:r>
    </w:p>
    <w:p w14:paraId="25E098F9" w14:textId="77777777" w:rsidR="00D95E37" w:rsidRPr="00A82A81" w:rsidRDefault="00D95E37" w:rsidP="00D95E37">
      <w:pPr>
        <w:pStyle w:val="NormalHanging12a"/>
      </w:pPr>
      <w:r w:rsidRPr="00A82A81">
        <w:t>З.</w:t>
      </w:r>
      <w:r w:rsidRPr="00A82A81">
        <w:tab/>
        <w:t xml:space="preserve">като има предвид, че Компасът за конкурентоспособността и работната програма на Комисията за 2025 г. определят амбициозни цели на политиките, насочени към укрепване на устойчивостта на единния пазар, намаляване на административната тежест и привеждане на регулаторната рамка в съответствие с най-добрите практики в световен мащаб; като има предвид, че е важно промишлената стратегия на ЕС да бъде обвързана допълнително със стратегията за единния пазар, за да се засили конкурентоспособността на икономиката на ЕС, </w:t>
      </w:r>
      <w:r w:rsidRPr="00A82A81">
        <w:lastRenderedPageBreak/>
        <w:t xml:space="preserve">включително чрез подкрепа за разработването и внедряването на чисти и стратегически технологии; </w:t>
      </w:r>
    </w:p>
    <w:p w14:paraId="345950EA" w14:textId="77777777" w:rsidR="00D95E37" w:rsidRPr="00A82A81" w:rsidRDefault="00D95E37" w:rsidP="00D95E37">
      <w:pPr>
        <w:pStyle w:val="NormalHanging12a"/>
      </w:pPr>
      <w:r w:rsidRPr="00A82A81">
        <w:t>И.</w:t>
      </w:r>
      <w:r w:rsidRPr="00A82A81">
        <w:tab/>
        <w:t>като има предвид, че в усилията за опростяване на регулаторната среда на вътрешния пазар на ЕС следва да се вземат предвид гледните точки на предприятията, профсъюзите, потребителите, участниците от гражданското общество, академичните среди и други заинтересовани страни, за да се гарантира, че политиките на ЕС подкрепят икономическия растеж и качествените работни места и създават положителна среда за частни инвестиции и иновации и за постигане на целите на политиката, като например устойчивост, цифровизация и защита на потребителите, чрез всеобхватни, прозрачни и приобщаващи обществени консултации, като се обръща специално внимание на специфичните нужди и перспективи на МСП и стартиращите предприятия, както и на други заинтересовани страни с ограничен капацитет, като се гарантира, че усилията за опростяване не ощетяват първопроходците или не премахват стимулите за иновативни предприятия;</w:t>
      </w:r>
    </w:p>
    <w:p w14:paraId="6181ED48" w14:textId="77777777" w:rsidR="00D95E37" w:rsidRPr="00A82A81" w:rsidRDefault="00D95E37" w:rsidP="00D95E37">
      <w:pPr>
        <w:pStyle w:val="NormalHanging12a"/>
      </w:pPr>
      <w:r w:rsidRPr="00A82A81">
        <w:t>Й.</w:t>
      </w:r>
      <w:r w:rsidRPr="00A82A81">
        <w:tab/>
        <w:t>като има предвид, че неоправданите национални пречки пред свободното движение на стоки и услуги подкопават функционирането на единния пазар и поради това следва да бъдат преодолявани и предотвратявани; като има предвид, че Международният валутен фонд е изчислил, че пречките на вътрешния пазар в ЕС са равностойни на 45% тарифа в производството и 110% в услугите; като има предвид, че подобно фрагментиране отслабва конкуренцията, възпрепятства производителността и растежа и засяга непропорционално МСП;</w:t>
      </w:r>
    </w:p>
    <w:p w14:paraId="5078DFE9" w14:textId="77777777" w:rsidR="00D95E37" w:rsidRPr="00A82A81" w:rsidRDefault="00D95E37" w:rsidP="00D95E37">
      <w:pPr>
        <w:pStyle w:val="NormalHanging12a"/>
      </w:pPr>
      <w:r w:rsidRPr="00A82A81">
        <w:t>К.</w:t>
      </w:r>
      <w:r w:rsidRPr="00A82A81">
        <w:tab/>
        <w:t>като има предвид, че въздействието на териториалните ограничения на доставките (ТОД) върху единния пазар, МСП и покупателната способност на гражданите на ЕС е значително, тъй като според Комисията ТОД струват на потребителите в ЕС повече от 14 милиарда евро годишно;</w:t>
      </w:r>
    </w:p>
    <w:p w14:paraId="4832D80B" w14:textId="77777777" w:rsidR="00D95E37" w:rsidRPr="00A82A81" w:rsidRDefault="00D95E37" w:rsidP="00D95E37">
      <w:pPr>
        <w:pStyle w:val="Normal12a24b"/>
        <w:rPr>
          <w:rStyle w:val="BoldItalic"/>
        </w:rPr>
      </w:pPr>
      <w:r w:rsidRPr="00A82A81">
        <w:rPr>
          <w:rStyle w:val="BoldItalic"/>
        </w:rPr>
        <w:t>Укрепване на единния пазар с цел повишаване на конкурентоспособността и глобалното влияние на ЕС</w:t>
      </w:r>
    </w:p>
    <w:p w14:paraId="6196F523" w14:textId="77777777" w:rsidR="00D95E37" w:rsidRPr="00A82A81" w:rsidRDefault="00D95E37" w:rsidP="00D95E37">
      <w:pPr>
        <w:pStyle w:val="Normal12a24b"/>
        <w:ind w:left="720" w:hanging="720"/>
      </w:pPr>
      <w:r w:rsidRPr="00A82A81">
        <w:t>1.</w:t>
      </w:r>
      <w:r w:rsidRPr="00A82A81">
        <w:tab/>
        <w:t>подчертава, че ЕС изостава по отношение на конкурентоспособността в световен мащаб, по-специално в определени сектори; признава, че пропуските в прилагането, регулаторната разпокъсаност и излишната административна тежест са сред основните фактори за изоставането на ЕС в инвестициите, иновациите, създаването на работни места и възможностите за стопанска дейност; подчертава, че популяризирането, рационализирането и опростяването на правилата и правилното и навременно прилагане, както и ефективното налагане на общи правила засилват единния пазар, като по този начин повишават конкурентоспособността, икономическия просперитет, заетостта, развитието на умения, висококачествените работни места, високите екологични стандарти и иновациите;</w:t>
      </w:r>
    </w:p>
    <w:p w14:paraId="77472311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2.</w:t>
      </w:r>
      <w:r w:rsidRPr="00A82A81">
        <w:tab/>
        <w:t xml:space="preserve">признава, че за да се гарантира просперитетът на ЕС, е необходимо да бъдат подобрена регулаторната съгласуваност и да бъде намалена административната тежест за предприятията, по-специално по-малките и стартиращите предприятия; поради това настоява, че пречките, които понастоящем възпрепятстват растежа, създаването на работни места и инвестициите, трябва </w:t>
      </w:r>
      <w:r w:rsidRPr="00A82A81">
        <w:lastRenderedPageBreak/>
        <w:t>да бъдат премахнати и че ресурсите следва да бъдат насочени към насърчаване на иновациите и поощряване на растежа, като същевременно биват гарантирани еднакви условия на конкуренция („равен терен“), основани на високи социални и екологични стандарти; подчертава необходимостта от мобилизиране на частни инвестиции и подчертава, че следва да се обръща специално внимание на намаляването на разходите на МСП за привеждане в съответствие чрез цифрови инструменти и целенасочени дерогации; подчертава, че специално изготвените разпоредби за МСП трябва да вървят ръка за ръка с реформи за преодоляване на трайните пречки, пред които са изправени дружествата във фазата на разрастване, като същевременно се дава възможност на по-големите дружества да извършват дейност и да се конкурират трансгранично и в международен план;</w:t>
      </w:r>
    </w:p>
    <w:p w14:paraId="7F193DD4" w14:textId="77777777" w:rsidR="00D95E37" w:rsidRPr="00A82A81" w:rsidRDefault="00D95E37" w:rsidP="00D95E37">
      <w:pPr>
        <w:pStyle w:val="Normal12a24b"/>
        <w:ind w:left="720" w:hanging="720"/>
      </w:pPr>
      <w:r w:rsidRPr="00A82A81">
        <w:t>3.</w:t>
      </w:r>
      <w:r w:rsidRPr="00A82A81">
        <w:tab/>
        <w:t xml:space="preserve">подчертава, че повишаването на хармонизацията, рационализирането на процесите и правилното изпълнение, ефективното прилагане, спазването, мониторингът и гарантираното прилагане на законодателството на ЕС са от жизненоважно значение за правилното функциониране на единния пазар и за постигането на ключови политически цели на ЕС; приветства целите на Комисията за повишаване на конкурентоспособността, новаторството и производителността чрез опростяване, рационализиране и по-добро прилагане и изпълнение на правилата на ЕС; призовава Комисията да предприеме действия във връзка с препоръките, съдържащи се в докладите на Драги, Лета и </w:t>
      </w:r>
      <w:proofErr w:type="spellStart"/>
      <w:r w:rsidRPr="00A82A81">
        <w:t>Нинистьо</w:t>
      </w:r>
      <w:proofErr w:type="spellEnd"/>
      <w:r w:rsidRPr="00A82A81">
        <w:t>, с конкретни мерки и ясни срокове;</w:t>
      </w:r>
    </w:p>
    <w:p w14:paraId="0665FB8F" w14:textId="77777777" w:rsidR="00D95E37" w:rsidRPr="00A82A81" w:rsidRDefault="00D95E37" w:rsidP="00D95E37">
      <w:pPr>
        <w:pStyle w:val="Normal12a24b"/>
        <w:rPr>
          <w:rStyle w:val="BoldItalic"/>
        </w:rPr>
      </w:pPr>
      <w:r w:rsidRPr="00A82A81">
        <w:rPr>
          <w:rStyle w:val="BoldItalic"/>
        </w:rPr>
        <w:t>Рационализиране на правилата, по-добро изпълнение и стабилно правоприлагане за предвидима и конкурентоспособна бизнес среда</w:t>
      </w:r>
    </w:p>
    <w:p w14:paraId="11705513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4.</w:t>
      </w:r>
      <w:r w:rsidRPr="00A82A81">
        <w:tab/>
        <w:t>подчертава, че рационализирането и опростяването на регулаторната рамка са насочени към улесняване на процесите на спазване, като същевременно се отстояват основните цели на политиките на ЕС, като се гарантира, че социалните и екологичните стандарти, както и цифровите права и защитата на потребителите не са компрометирани, и се гарантира стабилна и предсказуема регулаторна среда за предприятията, която осигурява правна яснота и сигурност за всички; подчертава, че конкурентоспособността и иновациите, особено в контекста на настоящата криза, свързана с разходите за живот, трябва да водят до резултати, които са от полза за потребителите; подчертава, че опростяването следва също така да засилва дългосрочните цели на ЕС, включително цифровизацията на икономиката, зеления преход и защитата на потребителите, като същевременно се гарантира технологична неутралност;</w:t>
      </w:r>
    </w:p>
    <w:p w14:paraId="1D7C6F41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5.</w:t>
      </w:r>
      <w:r w:rsidRPr="00A82A81">
        <w:tab/>
        <w:t xml:space="preserve">счита, че добре функциониращият единен пазар, в който правилата се прилагат и изпълняват по правилен, съгласуван и ефективен начин, е споделена отговорност на институциите на ЕС и на държавите членки; подчертава, че свръхрегулирането („позлатяването“) на директивите на ЕС и фрагментираното прилагане на правилата на ЕС продължават да бъдат пречка за единния пазар, тъй като обременяват непропорционално МСП и стартиращите предприятия; изисква от Комисията да гарантира, че правилата на ЕС се прилагат правилно във всички държави членки по хармонизиран начин, за да бъдат преодолявани трансграничните пречки; поради това настоятелно призовава държавите членки </w:t>
      </w:r>
      <w:r w:rsidRPr="00A82A81">
        <w:lastRenderedPageBreak/>
        <w:t>да се справят със свръхрегулирането и да гарантират, че националните мерки за прилагане се публикуват прозрачно и своевременно, както и да избягват непоследователното прилагане на законодателството на ЕС, като същевременно признават правото на държавите членки да поддържат или въвеждат национални мерки при условията, предвидени в Договорите; призовава за засилено сътрудничество между съществуващите органи от различни държави членки и между националните регулаторни органи и регулаторните органи на ЕС; насърчава Европейската комисия да подкрепя държавите членки в постигането на по-хармонизирано прилагане на правото на ЕС чрез допълнително улесняване на структурирания обмен и взаимното обучение, включително чрез организирането на семинари за транспониране и разработването и използването на сравнителни инструменти и практики;</w:t>
      </w:r>
    </w:p>
    <w:p w14:paraId="49C4D0AD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6.</w:t>
      </w:r>
      <w:r w:rsidRPr="00A82A81">
        <w:tab/>
        <w:t xml:space="preserve">изисква от Комисията да гарантира, че настоящото и бъдещото законодателство остават пропорционални и не добавят ненужна тежест за предприятията, работниците, потребителите и органите, като същевременно се уверява, че постига целите си, както и да включва в своите имащи значение инициативи клауза за ранен преглед, без да увеличава административната тежест в процеса; счита, че клаузите за преразглеждане, извън цялостната ефективност на законодателството, следва да служат за конкретна оценка на въздействието на законодателството върху конкурентоспособността на ЕС и следва да се използват за оценка на необходимостта от преразглеждане на съответните законодателни актове, които ненужно възпрепятстват конкурентоспособността; препоръчва подобни прегледи да оценяват и цифровата готовност на законодателството и неговата приспособимост към иновациите; настоятелно призовава Комисията да установи и приложи ясна методика и опростена базова линия за намаляване на тежестта и за измерване и наблюдение на напредъка към установените цели, което да даде възможност за ефективни действия и отчетност; признава, че постигането на значимо намаляване на административната тежест е споделена отговорност между институциите на ЕС и държавите членки и трябва да се преследва, като същевременно се спазват изцяло основните цели на политиките на ЕС; призовава </w:t>
      </w:r>
      <w:proofErr w:type="spellStart"/>
      <w:r w:rsidRPr="00A82A81">
        <w:t>съзаконодателите</w:t>
      </w:r>
      <w:proofErr w:type="spellEnd"/>
      <w:r w:rsidRPr="00A82A81">
        <w:t xml:space="preserve"> да гарантират, че законодателството на ЕС е целенасочено, пропорционално и пригодно за целта и че принципите на по-добро регулиране биват зачитани на всички етапи на цикъла на политиките;</w:t>
      </w:r>
    </w:p>
    <w:p w14:paraId="1E86624E" w14:textId="77777777" w:rsidR="00D95E37" w:rsidRPr="00A82A81" w:rsidRDefault="00D95E37" w:rsidP="00D95E37">
      <w:pPr>
        <w:pStyle w:val="Normal12a24b"/>
        <w:ind w:left="720" w:hanging="720"/>
      </w:pPr>
      <w:r w:rsidRPr="00A82A81">
        <w:t>7.</w:t>
      </w:r>
      <w:r w:rsidRPr="00A82A81">
        <w:tab/>
        <w:t xml:space="preserve">настоятелно призовава Комисията да изготвя висококачествени оценки на въздействието, които са неразделна част от законодателството на ЕС и са важни за гарантирането на стабилни правни актове, на всички законодателни предложения, включително делегирани актове и актове за изпълнение; подчертава, че оценките на въздействието следва да отчитат кумулативното въздействие на разпоредбите и да оценяват оперативната съвместимост между новите и съществуващите правила, особено по отношение на изискванията за докладване; настоява всички оценки на въздействието да включват проверка на конкурентоспособността, по-специално оценка на въздействието върху МСП, стартиращите предприятия и  предприятията със средна капитализация, както и върху ;нововъзникващите технологии с висок темп на растеж; подчертава, че проверката на конкурентоспособността следва да се прилага систематично за всички съответни законодателни предложения, като се има предвид и тяхното междусекторно въздействие и въздействието на националните странични </w:t>
      </w:r>
      <w:r w:rsidRPr="00A82A81">
        <w:lastRenderedPageBreak/>
        <w:t>ефекти, и че нейните констатации следва да бъдат вземани предвид, както е посочено и в Компаса за конкурентоспособността на ЕС; счита, че Комитетът за регулаторен контрол играе важна роля за осигуряване на качеството на оценките на въздействието, проверките за пригодност и основните оценки на Комисията, и подчертава, че той трябва да действа по прозрачен начин и трябва да разполага със средствата и независимостта, за да извършва безпристрастен, строг и висококачествен контрол на всички оценки на въздействието и законодателни предложения на Комисията и да изразява загриженост в случай на липсващи оценки на въздействието; препоръчва укрепване на мандата на Комитета и укрепване на неговия капацитет чрез подходящи ресурси, за да може той да изпълнява пълноценно и ефективно своите задачи;</w:t>
      </w:r>
    </w:p>
    <w:p w14:paraId="2475FB91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8.</w:t>
      </w:r>
      <w:r w:rsidRPr="00A82A81">
        <w:tab/>
        <w:t xml:space="preserve">призовава за извършване на оценки на въздействието на съществените изменения, предложени от Парламента и Съвета, на предложенията на Комисията, както вече беше договорено от </w:t>
      </w:r>
      <w:proofErr w:type="spellStart"/>
      <w:r w:rsidRPr="00A82A81">
        <w:t>съзаконодателите</w:t>
      </w:r>
      <w:proofErr w:type="spellEnd"/>
      <w:r w:rsidRPr="00A82A81">
        <w:t xml:space="preserve"> през 2016 г.</w:t>
      </w:r>
      <w:r w:rsidRPr="00A82A81">
        <w:rPr>
          <w:vertAlign w:val="superscript"/>
        </w:rPr>
        <w:footnoteReference w:id="3"/>
      </w:r>
      <w:r w:rsidRPr="00A82A81">
        <w:t>, когато това е целесъобразно и необходимо за законодателния процес, като се има предвид и графикът на законодателния процес; призовава за ефективно прилагане на разпоредбите на Междуинституционалното споразумение за по-добро законотворчество и предлага по-нататъшно разработване и използване на методология за оценки на въздействието и проверки на конкурентоспособността за Комисията, Европейския парламент, Съвета и държавите членки; подчертава, че една целесъобразна оценка на въздействието следва да включва  потенциалните краткосрочни и дългосрочни разходи и ползи, чрез интегрирана и балансирана оценка на икономическите, екологичните и социалните последствия и посредством използването на качествени и количествени анализи.</w:t>
      </w:r>
    </w:p>
    <w:p w14:paraId="5D40AA1D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9.</w:t>
      </w:r>
      <w:r w:rsidRPr="00A82A81">
        <w:tab/>
        <w:t>счита, че е от жизненоважно значение да се избягват припокриването и да бъдат отстранявани неясните определения и случаите на непоследователност между различните правни актове, особено що се отнася до законодателството за единния пазар, обхващащо стоките, услугите и цифровите технологии, като се имат предвид съответните им специфики, за да се повиши правната яснота и ефикасност; настоятелно призовава Комисията да отдава приоритет на оценките в тези области, с цел гарантиране на предсказуема и съгласувана правна рамка, която позволява на предприятията да се занимават с дългосрочно планиране и инвестиции; подчертава, че ефективното въвеждане, изпълнение и еднакво прилагане на съществуващата правна рамка трябва да има приоритет пред предлагането на ново законодателство;</w:t>
      </w:r>
    </w:p>
    <w:p w14:paraId="14CAFC78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10.</w:t>
      </w:r>
      <w:r w:rsidRPr="00A82A81">
        <w:tab/>
        <w:t xml:space="preserve">настоятелно призовава Комисията да гарантира по-структуриран, прозрачен и приобщаващ процес на консултации със заинтересованите страни, включително преглед на системата на експертните групи; призовава за мерки за укрепване на представителството на МСП и стартиращите предприятия и за адаптиране на консултациите към нуждите на МСП и други заинтересовани страни с ограничен капацитет, като се дава достатъчно време за отговор и се подобрява достъпността, за да се гарантират приобщаващи и добре информирани процеси </w:t>
      </w:r>
      <w:r w:rsidRPr="00A82A81">
        <w:lastRenderedPageBreak/>
        <w:t>на вземане на решения и да се подобри качеството на правилата на единния пазар; подчертава, че засилването на ангажираността на заинтересованите страни, включително адекватно географско представителство, е от съществено значение за задълбочаването на единния пазар, като по този начин се осигурява неговото ефективно функциониране и се отразява неговото многообразие; допълнително подчертава ключовата роля на гражданското общество в процеса на вземане на решения, като се гарантира плурализъм на гледните точки и справедливо и балансирано представителство; подкрепя установяването на редовни диалози относно прилагането, включително със социалните партньори;</w:t>
      </w:r>
    </w:p>
    <w:p w14:paraId="4A444A94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11.</w:t>
      </w:r>
      <w:r w:rsidRPr="00A82A81">
        <w:tab/>
        <w:t xml:space="preserve">призовава Комисията да разработи механизъм за определяне на ясни срокове за публикуване на насоки и мерки за прилагане, преди даден регламент да влезе в сила, за да се избегне регулаторна несигурност и забавяне на прилагането; настоява тези насоки също така да бъдат изготвяни по приобщаващ и балансиран начин и да служат като инструмент за улесняване на спазването, вместо да се превръщат в допълнителна тежест; подчертава освен това, че те следва да бъдат кратки и ясни, по-специално за МСП; изисква използването на законодателство от ниво 2, като например делегирани актове и актове за изпълнение, да бъде ограничено до технически въпроси, да се гарантират ясни срокове и достатъчни срокове за предизвестие за икономическите оператори и да бъдат в съответствие с мандата, определен от </w:t>
      </w:r>
      <w:proofErr w:type="spellStart"/>
      <w:r w:rsidRPr="00A82A81">
        <w:t>съзаконодателите</w:t>
      </w:r>
      <w:proofErr w:type="spellEnd"/>
      <w:r w:rsidRPr="00A82A81">
        <w:t>;</w:t>
      </w:r>
    </w:p>
    <w:p w14:paraId="38EDF871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12.</w:t>
      </w:r>
      <w:r w:rsidRPr="00A82A81">
        <w:tab/>
        <w:t xml:space="preserve">подчертава значението на стартиращите и разрастващите се предприятия за стимулиране на иновациите и осигуряване на бъдещото лидерство на ЕС в критични отрасли; настоятелно призовава Комисията и </w:t>
      </w:r>
      <w:proofErr w:type="spellStart"/>
      <w:r w:rsidRPr="00A82A81">
        <w:t>съзаконодателите</w:t>
      </w:r>
      <w:proofErr w:type="spellEnd"/>
      <w:r w:rsidRPr="00A82A81">
        <w:t xml:space="preserve"> да гарантират, че бъдещите регламенти са предназначени да подкрепят иновациите и винаги да поддържат високи стандарти; предлага включването на регулаторни лаборатории в бъдещите регламенти, засягащи иновативните сектори, когато това е целесъобразно, със специален акцент върху ползите за МСП и стартиращите предприятия; застъпва се за създаването на „иновационни центрове на ЕС“ във всички държави членки;</w:t>
      </w:r>
    </w:p>
    <w:p w14:paraId="1C60D760" w14:textId="77777777" w:rsidR="00D95E37" w:rsidRPr="00A82A81" w:rsidRDefault="00D95E37" w:rsidP="00D95E37">
      <w:pPr>
        <w:pStyle w:val="Normal12a24b"/>
        <w:ind w:left="720" w:hanging="720"/>
        <w:rPr>
          <w:iCs/>
        </w:rPr>
      </w:pPr>
      <w:r w:rsidRPr="00A82A81">
        <w:t>13.</w:t>
      </w:r>
      <w:r w:rsidRPr="00A82A81">
        <w:tab/>
        <w:t>приветства назначаването на член на Комисията, отговарящ за изпълнението и опростяването; призовава Комисията да разполага с подходящи ресурси и правомощия, за да гарантира, в сътрудничество с колегията на членовете на Комисията, правилното прилагане и налагане на законодателството на ЕС и специфичното за отделните сектори опростяване; настоятелно призовава всички членове на Комисията систематично да извършват оценки на нуждите от рационализиране и изпълнение в рамките на съответните си области на политиката и да работят в тясно сътрудничество и координация, за да гарантират съгласуваност и да постигнат осезаеми резултати по отношение на опростяването и рационализирането; призовава Комисията да продължи да представя предложения за опростяване и рационализиране на законодателството в областта на единния пазар, когато това е необходимо и обосновано от оценки на въздействието; подчертава, че новите предложения за опростяване следва да подобряват регулаторната съгласуваност, да съхраняват правната предсказуемост за дружествата и да не подкопават договорените цели на политиката;</w:t>
      </w:r>
    </w:p>
    <w:p w14:paraId="4A334CED" w14:textId="77777777" w:rsidR="00D95E37" w:rsidRPr="00A82A81" w:rsidRDefault="00D95E37" w:rsidP="00D95E37">
      <w:pPr>
        <w:pStyle w:val="Normal12a24b"/>
        <w:ind w:left="720" w:hanging="720"/>
      </w:pPr>
      <w:r w:rsidRPr="00A82A81">
        <w:lastRenderedPageBreak/>
        <w:t>14.</w:t>
      </w:r>
      <w:r w:rsidRPr="00A82A81">
        <w:tab/>
        <w:t>отбелязва, че въпреки че Комисията е подобрила откриването и коригирането на нарушения на правото на ЕС, прилагането на правилата на ЕС и коригирането на нарушенията на единния пазар все още отнема твърде много време; призовава Комисията да отстоява своята роля на пазител на Договорите, като използва пълноценно своите правомощия за правоприлагане, включително започването на производства за установяване на неизпълнение на задължения, когато е необходимо, за да гарантира своевременното, последователно и ефективно гарантирано прилагане на правилата на единния пазар, а също така чрез извършване на преглед на производствата за установяване на нарушение да гарантира по-експедитивни, по-автоматични и по-</w:t>
      </w:r>
      <w:proofErr w:type="spellStart"/>
      <w:r w:rsidRPr="00A82A81">
        <w:t>предсказуми</w:t>
      </w:r>
      <w:proofErr w:type="spellEnd"/>
      <w:r w:rsidRPr="00A82A81">
        <w:t xml:space="preserve"> реакции; препоръчва разширяване на производствата за установяване на неизпълнение на задължения с цел справяне със системните нарушения на правилата на единния пазар; подчертава необходимостта от преодоляване на регулаторната разпокъсаност, която подкопава еднаквите условия на конкуренция и правната сигурност, като същевременно признава свободата на действие на държавите членки, предвидена в Договорите, за прилагане на директивите;</w:t>
      </w:r>
    </w:p>
    <w:p w14:paraId="2D1AEBC7" w14:textId="77777777" w:rsidR="00D95E37" w:rsidRPr="00A82A81" w:rsidRDefault="00D95E37" w:rsidP="00D95E37">
      <w:pPr>
        <w:pStyle w:val="Normal12a24b"/>
        <w:rPr>
          <w:rStyle w:val="BoldItalic"/>
        </w:rPr>
      </w:pPr>
      <w:r w:rsidRPr="00A82A81">
        <w:rPr>
          <w:rStyle w:val="BoldItalic"/>
        </w:rPr>
        <w:t>Разгръщане на пълния потенциал на единния пазар</w:t>
      </w:r>
    </w:p>
    <w:p w14:paraId="7CD3F64C" w14:textId="77777777" w:rsidR="00D95E37" w:rsidRPr="00A82A81" w:rsidRDefault="00D95E37" w:rsidP="00D95E37">
      <w:pPr>
        <w:pStyle w:val="Normal12a24b"/>
        <w:ind w:left="567" w:hanging="567"/>
        <w:rPr>
          <w:bCs/>
          <w:iCs/>
        </w:rPr>
      </w:pPr>
      <w:r w:rsidRPr="00A82A81">
        <w:t>15.</w:t>
      </w:r>
      <w:r w:rsidRPr="00A82A81">
        <w:tab/>
        <w:t>насърчава Комисията и държавите членки да използват по-ефективно и съгласувано настоящия набор от инструменти за съответствие и сътрудничество; призовава в този контекст Комисията да засилва съществуващите инструменти за правоприлагане и сътрудничество, като например SOLVIT, звената за контакт относно продукти и Работната група по въпросите на правоприлагането във връзка с единния пазар с цел справяне с въпросите, свързани с функционирането на единния пазар; освен това насърчава Комисията да извърши опис на инструментите, механизмите и процесите, използвани за разработване на законодателни и незаконодателни инициативи, и да наблюдава и налага спазването на законодателството на ЕС с цел подобряване на тяхната съгласуваност, премахване на дублирането и консолидирането и рационализирането им, и въз основа на този опис да обмисли възможността за разширяване на настоящите мрежи и инструменти; настоятелно призовава правоприлагащите органи и компетентните органи в държавите членки да засилят сътрудничеството и взаимната подкрепа, за да се преодолее необоснованата регулаторна разпокъсаност и да се гарантира по-рационализирано, пригодно за целта и хармонизирано прилагане на правилата на единния пазар, и изразява подкрепа за създаването на платформи за координация на национално равнище, за да се улесни ефективното и съгласувано прилагане и транспониране на правилата на ЕС;</w:t>
      </w:r>
    </w:p>
    <w:p w14:paraId="6A9CCCF9" w14:textId="77777777" w:rsidR="00D95E37" w:rsidRPr="00A82A81" w:rsidRDefault="00D95E37" w:rsidP="00D95E37">
      <w:pPr>
        <w:pStyle w:val="Normal12a24b"/>
        <w:ind w:left="567" w:hanging="567"/>
        <w:rPr>
          <w:iCs/>
        </w:rPr>
      </w:pPr>
      <w:r w:rsidRPr="00A82A81">
        <w:t>16.</w:t>
      </w:r>
      <w:r w:rsidRPr="00A82A81">
        <w:tab/>
        <w:t>подчертава решаващата роля на свободното движение на услуги за отключване на икономическия потенциал, като отбелязва, че интеграцията в този сектор остава по-слаба, отколкото в сектора на стоките, с недостатъчно трансгранично измерение на услугите на единния пазар; ето защо подчертава необходимостта да се гарантира последователното прилагане на Директивата за услугите</w:t>
      </w:r>
      <w:r w:rsidRPr="00A82A81">
        <w:rPr>
          <w:iCs/>
          <w:vertAlign w:val="superscript"/>
        </w:rPr>
        <w:footnoteReference w:id="4"/>
      </w:r>
      <w:r w:rsidRPr="00A82A81">
        <w:t xml:space="preserve">, чието прилагане е успяло само частично да постигне поставената в директивата цел </w:t>
      </w:r>
      <w:r w:rsidRPr="00A82A81">
        <w:lastRenderedPageBreak/>
        <w:t>поради съществуващите необосновани пречки, които са особено обременителни за МСП  и които приемат различни форми и ограничават способността за предоставяне на услуги през граница; отбелязва важната роля на секторите на услугите в наскоро публикуваната стратегия за единния пазар; призовава за нови инициативи и целенасочени и ефективни мерки в ключови сектори за единния пазар, с които се преодоляват продължаващите необосновани пречки и се засилва интеграцията на пазара, без да се правят компромиси със социалните стандарти, като същевременно се запазва регулаторната съгласуваност и се предотвратява разпокъсаността на правилата на единния пазар;</w:t>
      </w:r>
    </w:p>
    <w:p w14:paraId="1C7066F8" w14:textId="77777777" w:rsidR="00D95E37" w:rsidRPr="00A82A81" w:rsidRDefault="00D95E37" w:rsidP="00D95E37">
      <w:pPr>
        <w:pStyle w:val="NormalHanging12a"/>
        <w:rPr>
          <w:bCs/>
          <w:iCs/>
          <w:shd w:val="clear" w:color="auto" w:fill="FFFFFF" w:themeFill="background1"/>
        </w:rPr>
      </w:pPr>
      <w:r w:rsidRPr="00A82A81">
        <w:rPr>
          <w:shd w:val="clear" w:color="auto" w:fill="FFFFFF" w:themeFill="background1"/>
        </w:rPr>
        <w:t>17.</w:t>
      </w:r>
      <w:r w:rsidRPr="00A82A81">
        <w:rPr>
          <w:shd w:val="clear" w:color="auto" w:fill="FFFFFF" w:themeFill="background1"/>
        </w:rPr>
        <w:tab/>
        <w:t>изразява съжаление поради факта, че процедурата по уведомяване съгласно Директивата за услугите не се използва достатъчно; призовава държавите членки да гарантират систематичното, навременно и прозрачно прилагане на процедурите за уведомяване съгласно Директивата за услугите и Директивата за прозрачността в рамките на единния пазар</w:t>
      </w:r>
      <w:r w:rsidRPr="00A82A81">
        <w:rPr>
          <w:rStyle w:val="FootnoteReference"/>
          <w:bCs/>
          <w:iCs/>
          <w:shd w:val="clear" w:color="auto" w:fill="FFFFFF" w:themeFill="background1"/>
        </w:rPr>
        <w:footnoteReference w:id="5"/>
      </w:r>
      <w:r w:rsidRPr="00A82A81">
        <w:rPr>
          <w:shd w:val="clear" w:color="auto" w:fill="FFFFFF" w:themeFill="background1"/>
        </w:rPr>
        <w:t>;</w:t>
      </w:r>
    </w:p>
    <w:p w14:paraId="1F2AEAE6" w14:textId="77777777" w:rsidR="00D95E37" w:rsidRPr="00A82A81" w:rsidRDefault="00D95E37" w:rsidP="00D95E37">
      <w:pPr>
        <w:pStyle w:val="NormalHanging12a"/>
        <w:rPr>
          <w:bCs/>
          <w:iCs/>
        </w:rPr>
      </w:pPr>
      <w:r w:rsidRPr="00A82A81">
        <w:t>18.</w:t>
      </w:r>
      <w:r w:rsidRPr="00A82A81">
        <w:tab/>
      </w:r>
      <w:r w:rsidRPr="00A82A81">
        <w:rPr>
          <w:shd w:val="clear" w:color="auto" w:fill="FFFFFF" w:themeFill="background1"/>
        </w:rPr>
        <w:t>призовава Комисията да предлага ефективни законодателни и незаконодателни инструменти за предотвратяване на нови пречки пред единния пазар, когато това е необходимо и обосновано;</w:t>
      </w:r>
    </w:p>
    <w:p w14:paraId="4C8232E0" w14:textId="77777777" w:rsidR="00D95E37" w:rsidRPr="00A82A81" w:rsidRDefault="00D95E37" w:rsidP="00D95E37">
      <w:pPr>
        <w:pStyle w:val="NormalHanging12a"/>
        <w:rPr>
          <w:bCs/>
          <w:iCs/>
          <w:shd w:val="clear" w:color="auto" w:fill="FFFFFF" w:themeFill="background1"/>
        </w:rPr>
      </w:pPr>
      <w:r w:rsidRPr="00A82A81">
        <w:t>19.</w:t>
      </w:r>
      <w:r w:rsidRPr="00A82A81">
        <w:tab/>
        <w:t>призовава Комисията да проучи различни методи за справяне с териториалните ограничения на доставките, включително ограниченията, които не се изискват от закона, като например непропорционални езикови изисквания за етикетиране на продуктите, тъй като те представляват трайни пречки, които намаляват конкуренцията и оказват въздействие върху разходите за живот;</w:t>
      </w:r>
    </w:p>
    <w:p w14:paraId="39E6937E" w14:textId="77777777" w:rsidR="00D95E37" w:rsidRPr="00A82A81" w:rsidRDefault="00D95E37" w:rsidP="00D95E37">
      <w:pPr>
        <w:pStyle w:val="NormalHanging12a"/>
      </w:pPr>
      <w:r w:rsidRPr="00A82A81">
        <w:rPr>
          <w:shd w:val="clear" w:color="auto" w:fill="FFFFFF" w:themeFill="background1"/>
        </w:rPr>
        <w:t>20</w:t>
      </w:r>
      <w:r w:rsidRPr="00A82A81">
        <w:t>.</w:t>
      </w:r>
      <w:r w:rsidRPr="00A82A81">
        <w:tab/>
      </w:r>
      <w:r w:rsidRPr="00A82A81">
        <w:rPr>
          <w:shd w:val="clear" w:color="auto" w:fill="FFFFFF" w:themeFill="background1"/>
        </w:rPr>
        <w:t>отбелязва, че опростяването на административните процедури, като например лицензирането и сертифицирането, както и рационализирането на процесите на съответствие, е от съществено значение за намаляване на разходите и правната несигурност, по-специално за МСП; подчертава, че рационализираните процеси биха позволили на МСП да работят по-ефективно в рамките на единния пазар</w:t>
      </w:r>
      <w:r w:rsidRPr="00A82A81">
        <w:t>;</w:t>
      </w:r>
    </w:p>
    <w:p w14:paraId="5DB513A0" w14:textId="486851DD" w:rsidR="00D95E37" w:rsidRPr="00A82A81" w:rsidRDefault="00D95E37" w:rsidP="00D95E37">
      <w:pPr>
        <w:pStyle w:val="NormalHanging12a"/>
        <w:rPr>
          <w:bCs/>
          <w:iCs/>
        </w:rPr>
      </w:pPr>
      <w:r w:rsidRPr="00A82A81">
        <w:t>21.</w:t>
      </w:r>
      <w:r w:rsidRPr="00A82A81">
        <w:tab/>
        <w:t>отбелязва, че непоследователността при прилагането, правоприлагането и координирането на правилата на ЕС спъва ефективното функциониране на единния пазар и би могла да оказва отрицателно въздействие върху свободното движение на работници и специалисти; подчертава, че административните пречки и непоследователното признаване на квалификациите рискуват да увеличат недостига на работна ръка и умения и да отслабят конкурентоспособността на ЕС; настоятелно призовава Комисията да продължи да оценява прилагането на Директивата за професионалните квалификации</w:t>
      </w:r>
      <w:r w:rsidRPr="00A82A81">
        <w:rPr>
          <w:rStyle w:val="FootnoteReference"/>
          <w:iCs/>
        </w:rPr>
        <w:footnoteReference w:id="6"/>
      </w:r>
      <w:r w:rsidRPr="00A82A81">
        <w:t xml:space="preserve"> във всички държави членки и да определя мерки за справяне с несъответствията в процесите на признаване; подчертава необходимостта от рационализирани, автоматични процедури и </w:t>
      </w:r>
      <w:r w:rsidRPr="00A82A81">
        <w:lastRenderedPageBreak/>
        <w:t xml:space="preserve">ускорени механизми за улесняване на признаването на професионални квалификации, особено в сектори, изправени пред недостиг на работна ръка; призовава Комисията да гарантира, че правилата на единния пазар за свободното движение на работници зачитат настоящите социални стандарти в държавите членки, като същевременно подчертава значението на премахването на необоснованите пречки; решително подкрепя цифровизацията на формуляр А1, изискван по линия на Регламент </w:t>
      </w:r>
      <w:r w:rsidR="00736686" w:rsidRPr="00A82A81">
        <w:rPr>
          <w:shd w:val="clear" w:color="auto" w:fill="FFFFFF"/>
        </w:rPr>
        <w:t>(ЕО) № </w:t>
      </w:r>
      <w:r w:rsidRPr="00A82A81">
        <w:t>883/2004</w:t>
      </w:r>
      <w:r w:rsidRPr="00A82A81">
        <w:rPr>
          <w:rStyle w:val="FootnoteReference"/>
          <w:bCs/>
          <w:iCs/>
        </w:rPr>
        <w:footnoteReference w:id="7"/>
      </w:r>
      <w:r w:rsidRPr="00A82A81">
        <w:t>,  във всички държави членки с цел рационализиране на процедурите за предоставяне на трансгранични услуги;</w:t>
      </w:r>
    </w:p>
    <w:p w14:paraId="06BECC93" w14:textId="77777777" w:rsidR="00D95E37" w:rsidRPr="00A82A81" w:rsidRDefault="00D95E37" w:rsidP="00D95E37">
      <w:pPr>
        <w:pStyle w:val="NormalHanging12a"/>
        <w:rPr>
          <w:bCs/>
          <w:iCs/>
        </w:rPr>
      </w:pPr>
      <w:r w:rsidRPr="00A82A81">
        <w:t>22.</w:t>
      </w:r>
      <w:r w:rsidRPr="00A82A81">
        <w:tab/>
        <w:t>счита, че единният пазар играе ключова роля по време на криза, ако държавите членки могат да действат координирано; в този контекст счита, че наскоро приетият Законодателен акт за извънредните ситуации и устойчивостта на вътрешния пазар (IMERA)</w:t>
      </w:r>
      <w:r w:rsidRPr="00A82A81">
        <w:rPr>
          <w:rStyle w:val="FootnoteReference"/>
          <w:bCs/>
          <w:iCs/>
        </w:rPr>
        <w:footnoteReference w:id="8"/>
      </w:r>
      <w:r w:rsidRPr="00A82A81">
        <w:t xml:space="preserve"> ще бъде от голямо значение за осигуряване на такава координация, за да се предотврати недостигът и да се осигури безпроблемното функциониране на единния пазар, включително свободното движение на стоки и услуги от първа необходимост в целия ЕС;</w:t>
      </w:r>
    </w:p>
    <w:p w14:paraId="60BAE902" w14:textId="77777777" w:rsidR="00D95E37" w:rsidRPr="00A82A81" w:rsidRDefault="00D95E37" w:rsidP="00D95E37">
      <w:pPr>
        <w:pStyle w:val="NormalHanging12a"/>
        <w:rPr>
          <w:iCs/>
        </w:rPr>
      </w:pPr>
      <w:r w:rsidRPr="00A82A81">
        <w:t>23.</w:t>
      </w:r>
      <w:r w:rsidRPr="00A82A81">
        <w:tab/>
        <w:t>припомня значението на общите стандарти за функционирането на единния пазар; подчертава значението на запазването на системата за стандартизация на ЕС, като същевременно се подобрява тя там, където са установени проблеми, и да се поддържа нейната оперативна цялост;</w:t>
      </w:r>
    </w:p>
    <w:p w14:paraId="7D89E81C" w14:textId="77777777" w:rsidR="00D95E37" w:rsidRPr="00A82A81" w:rsidRDefault="00D95E37" w:rsidP="00D95E37">
      <w:pPr>
        <w:pStyle w:val="NormalHanging12a"/>
        <w:rPr>
          <w:bCs/>
          <w:iCs/>
        </w:rPr>
      </w:pPr>
      <w:r w:rsidRPr="00A82A81">
        <w:t>24.</w:t>
      </w:r>
      <w:r w:rsidRPr="00A82A81">
        <w:tab/>
        <w:t xml:space="preserve">настоятелно призовава Комисията да намалява ненужните тежести за докладване чрез прилагане на целенасочени мерки, като например удължаване на интервалите за докладване, премахване на излишните задължения и гарантиране на пропорционалност в специфичните за отделните сектори изисквания, без да се прави компромис с целите на политиките, които изискванията имат за цел да прилагат; отново заявява необходимостта да се гарантира съгласуваността на задълженията за докладване, произтичащи от различните законодателни актове на ЕС; подчертава значението на принципа „мисли първо за малките“, както и на персонализираните подходи за МСП и стартиращите предприятия, за насърчаване на цифрова бизнес среда, подкрепяна от надеждни цифрови идентичности, сигурен обмен на данни и законно признати цифрови уведомления; подчертава, че е важно да се спазва принципът на </w:t>
      </w:r>
      <w:proofErr w:type="spellStart"/>
      <w:r w:rsidRPr="00A82A81">
        <w:t>еднократност</w:t>
      </w:r>
      <w:proofErr w:type="spellEnd"/>
      <w:r w:rsidRPr="00A82A81">
        <w:t xml:space="preserve">, за да се рационализират процедурите за спазване на изискванията, и отново изтъква значението на хармонизирането на форматите за докладване и цифровите интерфейси във всички държави членки, когато това е осъществимо; подчертава, че са необходими обосновани и пропорционални изисквания за докладване, за да се гарантира правилното наблюдение и спазване на приетите правила, като по този </w:t>
      </w:r>
      <w:r w:rsidRPr="00A82A81">
        <w:lastRenderedPageBreak/>
        <w:t xml:space="preserve">начин се осигурява ефективно прилагане и подобрено събиране на данни за даване на насоки за бъдещи политически инициативи; </w:t>
      </w:r>
    </w:p>
    <w:p w14:paraId="2E9A7A13" w14:textId="77777777" w:rsidR="00D95E37" w:rsidRPr="00A82A81" w:rsidRDefault="00D95E37" w:rsidP="00D95E37">
      <w:pPr>
        <w:pStyle w:val="NormalHanging12a"/>
      </w:pPr>
      <w:r w:rsidRPr="00A82A81">
        <w:t>25.</w:t>
      </w:r>
      <w:r w:rsidRPr="00A82A81">
        <w:tab/>
        <w:t>подчертава, че новата законодателна рамка има за цел да подобри вътрешния пазар на стоки и да засили условията за пускане на широка гама от продукти на пазара на ЕС; призовава Комисията да я преразгледа, за да я направи устойчива на промени в бъдещето, като гарантира нейната адаптивност към променящите се геополитически предизвикателства и изискванията на цифровия и екологичния преход, като по този начин повиши цялостната конкурентоспособност на нашия единен пазар;</w:t>
      </w:r>
    </w:p>
    <w:p w14:paraId="774A0723" w14:textId="77777777" w:rsidR="00D95E37" w:rsidRPr="00A82A81" w:rsidRDefault="00D95E37" w:rsidP="00D95E37">
      <w:pPr>
        <w:pStyle w:val="NormalHanging12a"/>
      </w:pPr>
      <w:r w:rsidRPr="00A82A81">
        <w:t>26.</w:t>
      </w:r>
      <w:r w:rsidRPr="00A82A81">
        <w:tab/>
        <w:t>приветства намерението на Комисията да предложи нов правен режим за целия ЕС – „28-и правен режим“, насочен към създаване на бизнес среда, която подкрепя растежа и разрастването на МСП, включително по-малки и иновативни дружества, като по този начин се подхранва конкурентоспособността на ЕС в световен мащаб; отбелязва, че новият режим би могъл да улесни разработването и внедряването на предстоящия европейски бизнес портфейл;</w:t>
      </w:r>
    </w:p>
    <w:p w14:paraId="6E00BA8E" w14:textId="77777777" w:rsidR="00D95E37" w:rsidRPr="00A82A81" w:rsidRDefault="00D95E37" w:rsidP="00D95E37">
      <w:pPr>
        <w:pStyle w:val="Normal12a24b"/>
        <w:rPr>
          <w:rStyle w:val="BoldItalic"/>
        </w:rPr>
      </w:pPr>
      <w:r w:rsidRPr="00A82A81">
        <w:rPr>
          <w:rStyle w:val="BoldItalic"/>
        </w:rPr>
        <w:t>Възприемане на цифровизацията и изкуствения интелект за растеж и управление</w:t>
      </w:r>
    </w:p>
    <w:p w14:paraId="2D01C8B5" w14:textId="77777777" w:rsidR="00D95E37" w:rsidRPr="00A82A81" w:rsidRDefault="00D95E37" w:rsidP="00D95E37">
      <w:pPr>
        <w:pStyle w:val="Normal12a24b"/>
        <w:ind w:left="567" w:hanging="567"/>
      </w:pPr>
      <w:r w:rsidRPr="00A82A81">
        <w:t>27.</w:t>
      </w:r>
      <w:r w:rsidRPr="00A82A81">
        <w:tab/>
        <w:t>приветства планираната от Комисията проверка за пригодност на достиженията на правото в областта на цифровите технологии; изисква от Комисията да оцени и изясни законодателната рамка и взаимодействието между съществуващите правни актове на ЕС, като например Акта за цифровите услуги</w:t>
      </w:r>
      <w:r w:rsidRPr="00A82A81">
        <w:rPr>
          <w:bCs/>
          <w:iCs/>
          <w:vertAlign w:val="superscript"/>
        </w:rPr>
        <w:footnoteReference w:id="9"/>
      </w:r>
      <w:r w:rsidRPr="00A82A81">
        <w:t>, Общия регламент относно защитата на данните</w:t>
      </w:r>
      <w:r w:rsidRPr="00A82A81">
        <w:rPr>
          <w:bCs/>
          <w:iCs/>
          <w:vertAlign w:val="superscript"/>
        </w:rPr>
        <w:footnoteReference w:id="10"/>
      </w:r>
      <w:r w:rsidRPr="00A82A81">
        <w:t>, Акта за изкуствения интелект</w:t>
      </w:r>
      <w:r w:rsidRPr="00A82A81">
        <w:rPr>
          <w:rStyle w:val="FootnoteReference"/>
          <w:bCs/>
          <w:iCs/>
        </w:rPr>
        <w:footnoteReference w:id="11"/>
      </w:r>
      <w:r w:rsidRPr="00A82A81">
        <w:t>, Регламент относно прозрачността и таргетирането на политическото рекламиране</w:t>
      </w:r>
      <w:r w:rsidRPr="00A82A81">
        <w:rPr>
          <w:rStyle w:val="FootnoteReference"/>
        </w:rPr>
        <w:footnoteReference w:id="12"/>
      </w:r>
      <w:r w:rsidRPr="00A82A81">
        <w:t>, Директивата относно отговорността за вреди, причинени от дефект на стока</w:t>
      </w:r>
      <w:r w:rsidRPr="00A82A81">
        <w:rPr>
          <w:bCs/>
          <w:iCs/>
          <w:vertAlign w:val="superscript"/>
        </w:rPr>
        <w:footnoteReference w:id="13"/>
      </w:r>
      <w:r w:rsidRPr="00A82A81">
        <w:t xml:space="preserve">, правилата за електронната търговия и киберсигурността, както и между тези актове и </w:t>
      </w:r>
      <w:r w:rsidRPr="00A82A81">
        <w:lastRenderedPageBreak/>
        <w:t xml:space="preserve">бъдещите законодателни инициативи преди приемането им от Комисията; настоява регулаторните органи, мрежите от национални органи и заинтересованите страни да бъдат включени в този процес и подчертава, че резултатите от това картографиране следва да послужат за установяване на потенциални припокриващи се, противоречиви разпоредби и потенциални конфликти по прилагането и за преодоляване на тези недостатъци; в допълнение, това следва да служи за подобряване на координацията между правоприлагащите органи в държавите членки и вътрешните служби на Комисията и за подобряване на способността на предприятията да инвестират и да въвеждат иновации в ЕС; настоява Комисията да гарантира, че всички закони, приети и гарантирано прилагани през мандата на Комисията 2019 – 2024 г., се изпълняват и прилагат правилно и </w:t>
      </w:r>
      <w:r w:rsidRPr="00A82A81">
        <w:rPr>
          <w:shd w:val="clear" w:color="auto" w:fill="FFFFFF" w:themeFill="background1"/>
        </w:rPr>
        <w:t>последователно във всички държави членки; призовава Комисията да включва, когато е необходимо и обосновано от оценки на въздействието,</w:t>
      </w:r>
      <w:r w:rsidRPr="00A82A81">
        <w:t xml:space="preserve"> предложения за опростяване в предвидения цифров пакет, насочени към повишаване на съгласуваността, правната яснота и предвидимостта за всички заинтересовани страни, без да се подкопават договорените цели на политиката; </w:t>
      </w:r>
    </w:p>
    <w:p w14:paraId="387D899E" w14:textId="77777777" w:rsidR="00D95E37" w:rsidRPr="00A82A81" w:rsidRDefault="00D95E37" w:rsidP="00D95E37">
      <w:pPr>
        <w:pStyle w:val="NormalHanging12a"/>
      </w:pPr>
      <w:r w:rsidRPr="00A82A81">
        <w:t>28.</w:t>
      </w:r>
      <w:r w:rsidRPr="00A82A81">
        <w:tab/>
        <w:t>отбелязва предстоящия доклад на Комисията относно взаимодействието между Законодателния акт за цифровите услуги и други правни актове и насърчава Комисията да изясни чрез този доклад начина, по който този регламент взаимодейства с други правни актове, включително начини за преодоляване на евентуални припокривания, за да се подпомогне ефективното прилагане и изпълнение на цифровата нормативна уредба на ЕС и да се осигури правна сигурност на доставчиците на услуги, ползвателите, потребителите и регулаторните органи;</w:t>
      </w:r>
    </w:p>
    <w:p w14:paraId="43153F46" w14:textId="77777777" w:rsidR="00D95E37" w:rsidRPr="00A82A81" w:rsidRDefault="00D95E37" w:rsidP="00D95E37">
      <w:pPr>
        <w:pStyle w:val="NormalHanging12a"/>
        <w:rPr>
          <w:bCs/>
          <w:iCs/>
        </w:rPr>
      </w:pPr>
      <w:r w:rsidRPr="00A82A81">
        <w:t>29.</w:t>
      </w:r>
      <w:r w:rsidRPr="00A82A81">
        <w:tab/>
        <w:t xml:space="preserve">подчертава, че политиката в областта на цифровите технологии, особено в нововъзникващите технологии или във връзка с изключително сложни технологии, следва да следва повтарящ се подход, като </w:t>
      </w:r>
      <w:r w:rsidRPr="00A82A81">
        <w:rPr>
          <w:color w:val="000000" w:themeColor="text1"/>
        </w:rPr>
        <w:t>се вземат предвид</w:t>
      </w:r>
      <w:r w:rsidRPr="00A82A81">
        <w:t xml:space="preserve"> и инструменти като структуриран диалог с предприятията и други съответни заинтересовани страни, съвместно регулиране и регулаторни лаборатории, за да се гарантират практически, пропорционални и ориентирани към бъдещето правила, разработени с оглед на иновациите, като същевременно се избягват нежелани последици и се оценява въздействието на наскоро приетите правни актове, преди да се предлагат нови задължения; припомня значението на общите стандарти за функционирането на цифровия единен пазар; подчертава значението на водещата роля на ЕС в стандартизацията на цифровите технологии, както и решаващото значение на трансатлантическото и международното сътрудничество в тази област, за да се гарантира технологичен суверенитет и конкурентоспособност в световен мащаб, по-специално в нововъзникващи области като изкуствения интелект и услугите „в облак“;</w:t>
      </w:r>
    </w:p>
    <w:p w14:paraId="21294835" w14:textId="77777777" w:rsidR="00D95E37" w:rsidRPr="00A82A81" w:rsidRDefault="00D95E37" w:rsidP="00D95E37">
      <w:pPr>
        <w:pStyle w:val="NormalHanging12a"/>
      </w:pPr>
      <w:r w:rsidRPr="00A82A81">
        <w:t>30.</w:t>
      </w:r>
      <w:r w:rsidRPr="00A82A81">
        <w:tab/>
        <w:t xml:space="preserve">признава потенциала на цифровизацията и изкуствения интелект като ключови инструменти за повишаване на конкурентоспособността на ЕС, намаляване на административната тежест, за рационализиране и автоматизиране на административните процедури, включително изискванията за докладване, издаване на лицензи и разрешения и спазване на изискванията , както и за улесняване на навлизането на пазара и оценката на приложимото законодателство; подчертава необходимостта от насърчаване на използването на тези ключови инструменти за повишаване на регулаторната ефективност, подкрепа за по-добро прилагане и мониторинг на законодателството в областта на </w:t>
      </w:r>
      <w:r w:rsidRPr="00A82A81">
        <w:lastRenderedPageBreak/>
        <w:t>единния пазар; отбелязва, че различното равнище на цифровизация за администрациите в държавите членки представлява трансгранична пречка;</w:t>
      </w:r>
    </w:p>
    <w:p w14:paraId="47C3E2AF" w14:textId="77777777" w:rsidR="00D95E37" w:rsidRPr="00A82A81" w:rsidRDefault="00D95E37" w:rsidP="00D95E37">
      <w:pPr>
        <w:pStyle w:val="NormalHanging12a"/>
      </w:pPr>
      <w:r w:rsidRPr="00A82A81">
        <w:t>31.</w:t>
      </w:r>
      <w:r w:rsidRPr="00A82A81">
        <w:tab/>
        <w:t>счита, че електронните инструменти и портали следва да бъдат стандарт за всички изисквания за докладване и административни изисквания, и предвижда интегрирането им в цифрово „обслужване на едно гише“; призовава Комисията да проучи осъществимостта на такова цифрово „обслужване на едно гише“ чрез разширяване на единния цифров портал, за да се улесни рационализиран подход за достъп до информация, административни процедури и услуги за подпомагане на предприятията и да се предлагат повече онлайн услуги както на гражданите, така и на дружествата, особено за МСП, като се използва цифрова публична инфраструктура, като например портфейлите на ЕС за цифрова самоличност и предстоящия европейски бизнес портфейл, и се гарантира съгласуваност чрез рационализиране на тези инструменти във всички съответни законодателни предложения;</w:t>
      </w:r>
    </w:p>
    <w:p w14:paraId="40DC2DB7" w14:textId="77777777" w:rsidR="00D95E37" w:rsidRPr="00A82A81" w:rsidRDefault="00D95E37" w:rsidP="00D95E37">
      <w:pPr>
        <w:pStyle w:val="NormalHanging12a"/>
      </w:pPr>
      <w:r w:rsidRPr="00A82A81">
        <w:t>32.</w:t>
      </w:r>
      <w:r w:rsidRPr="00A82A81">
        <w:tab/>
        <w:t xml:space="preserve">подчертава значението на оперативната съвместимост за намаляване на административната тежест, по-специално необходимостта задълженията за докладване да станат съгласувани и лесни за изпълнение, и призовава Комисията да продължи да проучва начини за подобряване и цифровизиране на процедурите за докладване с цел подобряване на обмена на информация и спазването на изискванията, като същевременно не се натоварват прекомерно дружествата, включително автоматизираното докладване от предприятията към правителствата; приветства техническата система, основана на принципа на </w:t>
      </w:r>
      <w:proofErr w:type="spellStart"/>
      <w:r w:rsidRPr="00A82A81">
        <w:t>еднократност</w:t>
      </w:r>
      <w:proofErr w:type="spellEnd"/>
      <w:r w:rsidRPr="00A82A81">
        <w:t>, като ключов инструмент за осигуряване на възможност за автоматизиран трансграничен обмен на данни и за намаляване на дублиращата се тежест за докладване за предприятията; подчертава, че всички изисквания за споделяне и докладване на данни следва да бъдат разработвани с оглед на цифровизацията, като се гарантира, че изискванията за споделяне и докладване на данни могат да бъдат основани на данни и автоматизирани;</w:t>
      </w:r>
    </w:p>
    <w:p w14:paraId="59D28CA9" w14:textId="77777777" w:rsidR="00D95E37" w:rsidRPr="00A82A81" w:rsidRDefault="00D95E37" w:rsidP="00D95E37">
      <w:pPr>
        <w:pStyle w:val="NormalHanging12a"/>
      </w:pPr>
      <w:r w:rsidRPr="00A82A81">
        <w:t>33.</w:t>
      </w:r>
      <w:r w:rsidRPr="00A82A81">
        <w:tab/>
        <w:t>призовава Комисията да рационализира съществуващите ИТ инструменти, достъпни за икономическите оператори и съответните национални органи, за уведомяване и съобщаване на съответна информация, като например информация за инциденти, коригиращи мерки и други данни за безопасността на продуктите на единния пазар; подчертава, че следва да се разработи единен ИТ инструмент, за да се намалят времето и разходите и да се увеличи спазването на правилата и прилагането;</w:t>
      </w:r>
    </w:p>
    <w:p w14:paraId="7D6B1EA9" w14:textId="77777777" w:rsidR="00D95E37" w:rsidRPr="00A82A81" w:rsidRDefault="00D95E37" w:rsidP="00D95E37">
      <w:pPr>
        <w:pStyle w:val="NormalHanging12a"/>
      </w:pPr>
      <w:r w:rsidRPr="00A82A81">
        <w:t>34.</w:t>
      </w:r>
      <w:r w:rsidRPr="00A82A81">
        <w:tab/>
        <w:t>призовава Комисията да подобри разработването на инструменти за съответствие, като например кодекси за поведение, като гарантира, че те остават в рамките на основните правни задължения, че са практически приложими за дружества от всякакъв мащаб и че са разработени чрез смислени и навременни консултации със заинтересованите страни;</w:t>
      </w:r>
    </w:p>
    <w:p w14:paraId="11842F7C" w14:textId="77777777" w:rsidR="00D95E37" w:rsidRPr="00A82A81" w:rsidRDefault="00D95E37" w:rsidP="00D95E37">
      <w:pPr>
        <w:pStyle w:val="NormalHanging12a"/>
      </w:pPr>
      <w:r w:rsidRPr="00A82A81">
        <w:t>35.</w:t>
      </w:r>
      <w:r w:rsidRPr="00A82A81">
        <w:tab/>
        <w:t xml:space="preserve">подчертава необходимостта от модерна и стабилна цифрова инфраструктура, която да улеснява амбициите на ЕС в областта на цифровизацията и свръхмодерните технологии; призовава за продължаване на инвестициите в разработването на „цифрови магистрали“, които включват трансгранични широколентови мрежи с голям капацитет, 5G коридори, сигурна </w:t>
      </w:r>
      <w:r w:rsidRPr="00A82A81">
        <w:lastRenderedPageBreak/>
        <w:t>децентрализирана инфраструктура за изчисления в облак и периферни изчисления, както и оперативно съвместими цифрови обществени услуги;</w:t>
      </w:r>
    </w:p>
    <w:p w14:paraId="171E65B7" w14:textId="77777777" w:rsidR="00D95E37" w:rsidRPr="00A82A81" w:rsidRDefault="00D95E37" w:rsidP="00D95E37">
      <w:pPr>
        <w:pStyle w:val="NormalHanging12a"/>
      </w:pPr>
      <w:r w:rsidRPr="00A82A81">
        <w:t>36.</w:t>
      </w:r>
      <w:r w:rsidRPr="00A82A81">
        <w:tab/>
        <w:t>призовава за хармонизирано въвеждане на цифрово етикетиране и цифров продуктов паспорт в законодателството на ЕС за продуктите; подчертава техния потенциал за намаляване на тежестта, свързана със спазването на изискванията, за подобряване на достъпа на потребителите до точна информация и за подкрепа на многоезичната оперативна съвместимост, като същевременно се запазва възможността продуктите на потребителите да бъдат придружавани от съществена информация, свързана с безопасността, на хартиен носител; настоятелно призовава Комисията да улеснява разработването на хармонизирани стандарти и подробни насоки, за да се избегне фрагментацията и да се улесни участието на МСП в трансграничната търговия;</w:t>
      </w:r>
    </w:p>
    <w:p w14:paraId="0430E3C4" w14:textId="77777777" w:rsidR="00D95E37" w:rsidRPr="00A82A81" w:rsidRDefault="00D95E37" w:rsidP="00D95E37">
      <w:pPr>
        <w:pStyle w:val="Normal12a24b"/>
        <w:rPr>
          <w:rStyle w:val="BoldItalic"/>
        </w:rPr>
      </w:pPr>
      <w:r w:rsidRPr="00A82A81">
        <w:rPr>
          <w:rStyle w:val="BoldItalic"/>
        </w:rPr>
        <w:t>Подобряване на защитата на потребителите в ерата на цифровите технологии</w:t>
      </w:r>
    </w:p>
    <w:p w14:paraId="629E9837" w14:textId="77777777" w:rsidR="00D95E37" w:rsidRPr="00A82A81" w:rsidRDefault="00D95E37" w:rsidP="00D95E37">
      <w:pPr>
        <w:pStyle w:val="Normal12a24b"/>
        <w:ind w:left="567" w:hanging="567"/>
      </w:pPr>
      <w:r w:rsidRPr="00A82A81">
        <w:t>37.</w:t>
      </w:r>
      <w:r w:rsidRPr="00A82A81">
        <w:tab/>
        <w:t xml:space="preserve">подчертава, че рационализирането на законодателството за защита на потребителите не следва да понижава настоящия висок стандарт за защита на потребителите в целия ЕС; признава значителния напредък, постигнат в укрепването на правилата за защита на потребителите и адаптирането им към новите технологични реалности и реалностите, свързани с устойчивостта; подчертава необходимостта от по-нататъшно засилване на защитата на потребителите, като например в областта на електронната търговия, що се отнася до невярна или подвеждаща информация за продуктите; подчертава, че ефективното прилагане и задълбоченият анализ на законите за защита на потребителите и тяхното въздействие са важни; настоява, че новите законодателни инициативи следва да се съсредоточат върху преодоляването на пропуските в действащото законодателство </w:t>
      </w:r>
      <w:r w:rsidRPr="00A82A81">
        <w:rPr>
          <w:color w:val="000000"/>
        </w:rPr>
        <w:t>или да се справят с</w:t>
      </w:r>
      <w:r w:rsidRPr="00A82A81">
        <w:t xml:space="preserve"> нови обосновани предизвикателства, които не са преодолени в рамките на настоящата правна рамка;</w:t>
      </w:r>
    </w:p>
    <w:p w14:paraId="794250CA" w14:textId="77777777" w:rsidR="00D95E37" w:rsidRPr="00A82A81" w:rsidRDefault="00D95E37" w:rsidP="00D95E37">
      <w:pPr>
        <w:pStyle w:val="NormalHanging12a"/>
      </w:pPr>
      <w:r w:rsidRPr="00A82A81">
        <w:t>38.</w:t>
      </w:r>
      <w:r w:rsidRPr="00A82A81">
        <w:tab/>
        <w:t>подчертава, че бързото разрастване на цифровите платформи и електронната търговия въведе нова пазарна динамика и създаде разширени възможности, предизвикателства и рискове за потребителите; признава, че Актът за цифровите пазари</w:t>
      </w:r>
      <w:r w:rsidRPr="00A82A81">
        <w:rPr>
          <w:rStyle w:val="FootnoteReference"/>
        </w:rPr>
        <w:footnoteReference w:id="14"/>
      </w:r>
      <w:r w:rsidRPr="00A82A81">
        <w:t xml:space="preserve"> и Актът за цифровите услуги представляват важни законодателни инструменти за гарантиране на лоялна конкуренция, </w:t>
      </w:r>
      <w:proofErr w:type="spellStart"/>
      <w:r w:rsidRPr="00A82A81">
        <w:t>оспоримост</w:t>
      </w:r>
      <w:proofErr w:type="spellEnd"/>
      <w:r w:rsidRPr="00A82A81">
        <w:t xml:space="preserve"> и справедливост в цифровите платформи, като същевременно насърчават по-безопасна, надеждна и по-прозрачна цифрова среда и защита на потребителите в цифровата икономика, и призовава за правилно прилагане на това технологично законодателство, за да се гарантира истински, автономен и информиран избор и защита на потребителите и лоялна конкуренция;</w:t>
      </w:r>
    </w:p>
    <w:p w14:paraId="00225B49" w14:textId="77777777" w:rsidR="00D95E37" w:rsidRPr="00A82A81" w:rsidRDefault="00D95E37" w:rsidP="00D95E37">
      <w:pPr>
        <w:pStyle w:val="NormalHanging12a"/>
        <w:rPr>
          <w:bCs/>
          <w:iCs/>
        </w:rPr>
      </w:pPr>
      <w:r w:rsidRPr="00A82A81">
        <w:t>39.</w:t>
      </w:r>
      <w:r w:rsidRPr="00A82A81">
        <w:tab/>
        <w:t xml:space="preserve">отново потвърждава, че законите за защита на потребителите следва да останат в основни линии основани на принципи и съгласувани в различните правни инструменти, но следва също така да позволяват по-конкретни разпоредби, когато </w:t>
      </w:r>
      <w:r w:rsidRPr="00A82A81">
        <w:lastRenderedPageBreak/>
        <w:t>това е необходимо за правна сигурност както за предприятията, така и за потребителите; подчертава значението на избягването на прекомерни или излишни задължения за информиране, които могат да наложат ненужна тежест на предприятията, без да подобрят разбирането от страна на потребителите; призовава за пропорционални и съобразени с целта задължения за информиране на потребителите; отбелязва, че според индекса на условията за потребителите за 2025 г. повечето потребители не са запознати с правата си; призовава Комисията и държавите членки да разработят кампании за повишаване на осведомеността на потребителите;</w:t>
      </w:r>
    </w:p>
    <w:p w14:paraId="25465F38" w14:textId="50BB3F74" w:rsidR="00D95E37" w:rsidRDefault="00D95E37" w:rsidP="00F82EDA">
      <w:pPr>
        <w:pStyle w:val="NormalHanging12a"/>
        <w:rPr>
          <w:snapToGrid/>
          <w:lang w:eastAsia="en-GB"/>
        </w:rPr>
      </w:pPr>
      <w:r w:rsidRPr="00A82A81">
        <w:t>40.</w:t>
      </w:r>
      <w:r w:rsidRPr="00A82A81">
        <w:tab/>
        <w:t>настоятелно призовава Комисията да използва цифрови инструменти за повишаване на прозрачността и доверието на потребителите в трансграничните сделки; призовава за ефективно прилагане на механизмите за правна защита на потребителите, включително тези относно колективната защита, и за пълно прилагане на правата на потребителите в ЕС, включително чрез преразглеждане на Регламента за сътрудничество в областта на защитата на потребителите</w:t>
      </w:r>
      <w:r w:rsidRPr="00A82A81">
        <w:rPr>
          <w:rStyle w:val="FootnoteReference"/>
        </w:rPr>
        <w:footnoteReference w:id="15"/>
      </w:r>
      <w:r w:rsidRPr="00A82A81">
        <w:t>, с акцент върху подобряването на трансграничното прилагане; подчертава освен това значението на преразглеждането на Регламента за сътрудничество в областта на защитата на потребителите за подобряване на трансграничното прилагане и за справяне с нелоялното поведение, особено от страна на търговци извън ЕС; отбелязва значението на засилването на сътрудничеството между различните компетентни органи на държавите членки, включително чрез координирани съвместни проекти за правоприлагане и рационализиране на обмена на информация;</w:t>
      </w:r>
    </w:p>
    <w:p w14:paraId="11DF2739" w14:textId="38F0727A" w:rsidR="00F82EDA" w:rsidRDefault="00F82EDA" w:rsidP="00F82EDA">
      <w:pPr>
        <w:pStyle w:val="NormalHanging12a"/>
        <w:ind w:left="0" w:firstLine="0"/>
        <w:jc w:val="center"/>
      </w:pPr>
      <w:r>
        <w:t>°</w:t>
      </w:r>
    </w:p>
    <w:p w14:paraId="576B2038" w14:textId="43BFDABC" w:rsidR="00F82EDA" w:rsidRDefault="00F82EDA" w:rsidP="00F82EDA">
      <w:pPr>
        <w:pStyle w:val="NormalHanging12a"/>
        <w:ind w:left="0" w:firstLine="0"/>
        <w:jc w:val="center"/>
      </w:pPr>
      <w:r>
        <w:t>°     °</w:t>
      </w:r>
    </w:p>
    <w:p w14:paraId="17BFAF94" w14:textId="33C5F441" w:rsidR="00A82A81" w:rsidRPr="00A82A81" w:rsidRDefault="00D95E37" w:rsidP="00A82A81">
      <w:pPr>
        <w:pStyle w:val="NormalHanging12a"/>
      </w:pPr>
      <w:r w:rsidRPr="00A82A81">
        <w:t>41.</w:t>
      </w:r>
      <w:r w:rsidRPr="00A82A81">
        <w:tab/>
        <w:t>възлага на своя председател да предаде настоящата резолюция съответно на Съвета и на Комисията.</w:t>
      </w:r>
    </w:p>
    <w:p w14:paraId="302E1CEE" w14:textId="277A8DBB" w:rsidR="00E365E1" w:rsidRPr="00A82A81" w:rsidRDefault="00E365E1" w:rsidP="0018567D"/>
    <w:sectPr w:rsidR="00E365E1" w:rsidRPr="00A82A81" w:rsidSect="00A82A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BB2A8" w14:textId="77777777" w:rsidR="0018567D" w:rsidRPr="00A82A81" w:rsidRDefault="0018567D">
      <w:r w:rsidRPr="00A82A81">
        <w:separator/>
      </w:r>
    </w:p>
  </w:endnote>
  <w:endnote w:type="continuationSeparator" w:id="0">
    <w:p w14:paraId="191BBFC5" w14:textId="77777777" w:rsidR="0018567D" w:rsidRPr="00A82A81" w:rsidRDefault="0018567D">
      <w:r w:rsidRPr="00A82A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5CDF" w14:textId="77777777" w:rsidR="00064002" w:rsidRPr="00A82A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73512" w14:textId="77777777" w:rsidR="00064002" w:rsidRPr="00A82A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4A8C" w14:textId="77777777" w:rsidR="00064002" w:rsidRPr="00A82A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F4A97" w14:textId="77777777" w:rsidR="0018567D" w:rsidRPr="00A82A81" w:rsidRDefault="0018567D">
      <w:r w:rsidRPr="00A82A81">
        <w:separator/>
      </w:r>
    </w:p>
  </w:footnote>
  <w:footnote w:type="continuationSeparator" w:id="0">
    <w:p w14:paraId="25F09CB0" w14:textId="77777777" w:rsidR="0018567D" w:rsidRPr="00A82A81" w:rsidRDefault="0018567D">
      <w:r w:rsidRPr="00A82A81">
        <w:continuationSeparator/>
      </w:r>
    </w:p>
  </w:footnote>
  <w:footnote w:id="1">
    <w:p w14:paraId="5F70B978" w14:textId="3743551A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>ОВ С 214, 16.6.2023 г., стр. 8.</w:t>
      </w:r>
    </w:p>
  </w:footnote>
  <w:footnote w:id="2">
    <w:p w14:paraId="028819DF" w14:textId="6D1DF09E" w:rsidR="00D95E37" w:rsidRPr="00A82A81" w:rsidRDefault="00D95E37" w:rsidP="00A82A81">
      <w:pPr>
        <w:pStyle w:val="FootnoteText"/>
        <w:ind w:left="567" w:hanging="567"/>
        <w:rPr>
          <w:sz w:val="24"/>
          <w:vertAlign w:val="superscript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https</w:instrText>
      </w:r>
      <w:r w:rsidR="00BD0E74" w:rsidRPr="00BD0E74">
        <w:rPr>
          <w:lang w:val="ru-RU"/>
        </w:rPr>
        <w:instrText>://</w:instrText>
      </w:r>
      <w:r w:rsidR="00BD0E74">
        <w:instrText>single</w:instrText>
      </w:r>
      <w:r w:rsidR="00BD0E74" w:rsidRPr="00BD0E74">
        <w:rPr>
          <w:lang w:val="ru-RU"/>
        </w:rPr>
        <w:instrText>-</w:instrText>
      </w:r>
      <w:r w:rsidR="00BD0E74">
        <w:instrText>market</w:instrText>
      </w:r>
      <w:r w:rsidR="00BD0E74" w:rsidRPr="00BD0E74">
        <w:rPr>
          <w:lang w:val="ru-RU"/>
        </w:rPr>
        <w:instrText>-</w:instrText>
      </w:r>
      <w:r w:rsidR="00BD0E74">
        <w:instrText>economy</w:instrText>
      </w:r>
      <w:r w:rsidR="00BD0E74" w:rsidRPr="00BD0E74">
        <w:rPr>
          <w:lang w:val="ru-RU"/>
        </w:rPr>
        <w:instrText>.</w:instrText>
      </w:r>
      <w:r w:rsidR="00BD0E74">
        <w:instrText>ec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publications</w:instrText>
      </w:r>
      <w:r w:rsidR="00BD0E74" w:rsidRPr="00BD0E74">
        <w:rPr>
          <w:lang w:val="ru-RU"/>
        </w:rPr>
        <w:instrText>/2025-</w:instrText>
      </w:r>
      <w:r w:rsidR="00BD0E74">
        <w:instrText>annual</w:instrText>
      </w:r>
      <w:r w:rsidR="00BD0E74" w:rsidRPr="00BD0E74">
        <w:rPr>
          <w:lang w:val="ru-RU"/>
        </w:rPr>
        <w:instrText>-</w:instrText>
      </w:r>
      <w:r w:rsidR="00BD0E74">
        <w:instrText>single</w:instrText>
      </w:r>
      <w:r w:rsidR="00BD0E74" w:rsidRPr="00BD0E74">
        <w:rPr>
          <w:lang w:val="ru-RU"/>
        </w:rPr>
        <w:instrText>-</w:instrText>
      </w:r>
      <w:r w:rsidR="00BD0E74">
        <w:instrText>market</w:instrText>
      </w:r>
      <w:r w:rsidR="00BD0E74" w:rsidRPr="00BD0E74">
        <w:rPr>
          <w:lang w:val="ru-RU"/>
        </w:rPr>
        <w:instrText>-</w:instrText>
      </w:r>
      <w:r w:rsidR="00BD0E74">
        <w:instrText>and</w:instrText>
      </w:r>
      <w:r w:rsidR="00BD0E74" w:rsidRPr="00BD0E74">
        <w:rPr>
          <w:lang w:val="ru-RU"/>
        </w:rPr>
        <w:instrText>-</w:instrText>
      </w:r>
      <w:r w:rsidR="00BD0E74">
        <w:instrText>competitiveness</w:instrText>
      </w:r>
      <w:r w:rsidR="00BD0E74" w:rsidRPr="00BD0E74">
        <w:rPr>
          <w:lang w:val="ru-RU"/>
        </w:rPr>
        <w:instrText>-</w:instrText>
      </w:r>
      <w:r w:rsidR="00BD0E74">
        <w:instrText>report</w:instrText>
      </w:r>
      <w:r w:rsidR="00BD0E74" w:rsidRPr="00BD0E74">
        <w:rPr>
          <w:lang w:val="ru-RU"/>
        </w:rPr>
        <w:instrText>_</w:instrText>
      </w:r>
      <w:r w:rsidR="00BD0E74">
        <w:instrText>en</w:instrText>
      </w:r>
      <w:r w:rsidR="00BD0E74" w:rsidRPr="00BD0E74">
        <w:rPr>
          <w:lang w:val="ru-RU"/>
        </w:rPr>
        <w:instrText>"</w:instrText>
      </w:r>
      <w:r w:rsidR="00BD0E74">
        <w:fldChar w:fldCharType="separate"/>
      </w:r>
      <w:r w:rsidRPr="00A82A81">
        <w:rPr>
          <w:rStyle w:val="Hyperlink"/>
          <w:sz w:val="24"/>
          <w:lang w:val="bg-BG"/>
        </w:rPr>
        <w:t>https://single-market-economy.ec.europa.eu/publications/2025-annual-single-market-and-competitiveness-report_en</w:t>
      </w:r>
      <w:r w:rsidR="00BD0E74">
        <w:rPr>
          <w:rStyle w:val="Hyperlink"/>
          <w:sz w:val="24"/>
          <w:lang w:val="bg-BG"/>
        </w:rPr>
        <w:fldChar w:fldCharType="end"/>
      </w:r>
      <w:r w:rsidRPr="00A82A81">
        <w:rPr>
          <w:sz w:val="24"/>
          <w:lang w:val="bg-BG"/>
        </w:rPr>
        <w:t>;</w:t>
      </w:r>
    </w:p>
    <w:p w14:paraId="3A553B5B" w14:textId="30A4CC72" w:rsidR="00D95E37" w:rsidRPr="00A82A81" w:rsidRDefault="00A82A81" w:rsidP="00A82A81">
      <w:pPr>
        <w:pStyle w:val="FootnoteText"/>
        <w:ind w:left="567" w:hanging="567"/>
        <w:rPr>
          <w:sz w:val="24"/>
          <w:vertAlign w:val="superscript"/>
          <w:lang w:val="bg-BG"/>
        </w:rPr>
      </w:pPr>
      <w:r w:rsidRPr="00A82A81">
        <w:rPr>
          <w:sz w:val="24"/>
          <w:lang w:val="bg-BG"/>
        </w:rPr>
        <w:t xml:space="preserve"> </w:t>
      </w:r>
      <w:r w:rsidRPr="00A82A81">
        <w:rPr>
          <w:sz w:val="24"/>
          <w:lang w:val="bg-BG"/>
        </w:rPr>
        <w:tab/>
      </w:r>
      <w:hyperlink r:id="rId1" w:history="1">
        <w:r w:rsidR="00D95E37" w:rsidRPr="00A82A81">
          <w:rPr>
            <w:rStyle w:val="Hyperlink"/>
            <w:sz w:val="24"/>
            <w:lang w:val="bg-BG"/>
          </w:rPr>
          <w:t>https://documents1.worldbank.org/curated/en/600621587713071010/pdf/Doing-Business-in-the-European-Union-2020-Greece-Ireland-and-Italy.pdf</w:t>
        </w:r>
      </w:hyperlink>
      <w:r w:rsidR="00D95E37" w:rsidRPr="00A82A81">
        <w:rPr>
          <w:sz w:val="24"/>
          <w:lang w:val="bg-BG"/>
        </w:rPr>
        <w:t xml:space="preserve">; </w:t>
      </w:r>
    </w:p>
    <w:p w14:paraId="72D2E681" w14:textId="3D43EC62" w:rsidR="00D95E37" w:rsidRPr="00A82A81" w:rsidRDefault="00A82A81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sz w:val="24"/>
          <w:lang w:val="bg-BG"/>
        </w:rPr>
        <w:t xml:space="preserve"> </w:t>
      </w:r>
      <w:r w:rsidRPr="00A82A81">
        <w:rPr>
          <w:sz w:val="24"/>
          <w:lang w:val="bg-BG"/>
        </w:rPr>
        <w:tab/>
      </w:r>
      <w:hyperlink r:id="rId2" w:history="1">
        <w:r w:rsidR="00D95E37" w:rsidRPr="00A82A81">
          <w:rPr>
            <w:rStyle w:val="Hyperlink"/>
            <w:sz w:val="24"/>
            <w:lang w:val="bg-BG"/>
          </w:rPr>
          <w:t>https://www.weforum.org/stories/2024/09/wind-energy-permitting-processes-europe/</w:t>
        </w:r>
      </w:hyperlink>
      <w:r w:rsidR="00D95E37" w:rsidRPr="00A82A81">
        <w:rPr>
          <w:sz w:val="24"/>
          <w:lang w:val="bg-BG"/>
        </w:rPr>
        <w:t xml:space="preserve">. </w:t>
      </w:r>
    </w:p>
  </w:footnote>
  <w:footnote w:id="3">
    <w:p w14:paraId="1FE1C88B" w14:textId="52C934CE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 xml:space="preserve">Междуинституционално споразумение от 13 април 2016 г. между Европейския парламент, Съвета на Европейския съюз и Европейската комисия за по-добро законотворчество, ОВ L 123, 12.5.2016 г., стр. 1, ELI: 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eur</w:instrText>
      </w:r>
      <w:r w:rsidR="00BD0E74" w:rsidRPr="00BD0E74">
        <w:rPr>
          <w:lang w:val="ru-RU"/>
        </w:rPr>
        <w:instrText>-</w:instrText>
      </w:r>
      <w:r w:rsidR="00BD0E74">
        <w:instrText>lex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agree</w:instrText>
      </w:r>
      <w:r w:rsidR="00BD0E74" w:rsidRPr="00BD0E74">
        <w:rPr>
          <w:lang w:val="ru-RU"/>
        </w:rPr>
        <w:instrText>_</w:instrText>
      </w:r>
      <w:r w:rsidR="00BD0E74">
        <w:instrText>interinstit</w:instrText>
      </w:r>
      <w:r w:rsidR="00BD0E74" w:rsidRPr="00BD0E74">
        <w:rPr>
          <w:lang w:val="ru-RU"/>
        </w:rPr>
        <w:instrText>/2016/512/</w:instrText>
      </w:r>
      <w:r w:rsidR="00BD0E74">
        <w:instrText>oj</w:instrText>
      </w:r>
      <w:r w:rsidR="00BD0E74" w:rsidRPr="00BD0E74">
        <w:rPr>
          <w:lang w:val="ru-RU"/>
        </w:rPr>
        <w:instrText>"</w:instrText>
      </w:r>
      <w:r w:rsidR="00BD0E74">
        <w:fldChar w:fldCharType="separate"/>
      </w:r>
      <w:r w:rsidR="00F82EDA" w:rsidRPr="00F82EDA">
        <w:rPr>
          <w:rStyle w:val="Hyperlink"/>
          <w:sz w:val="24"/>
          <w:lang w:val="bg-BG"/>
        </w:rPr>
        <w:t>http://eur-lex.europa.eu/eli/agree_interinstit/2016/512/oj</w:t>
      </w:r>
      <w:r w:rsidR="00BD0E74">
        <w:rPr>
          <w:rStyle w:val="Hyperlink"/>
          <w:sz w:val="24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4">
    <w:p w14:paraId="33D742B4" w14:textId="0FD62D58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 xml:space="preserve">Директива 2006/123/ЕО на Европейския парламент и на Съвета от 12 декември 2006 г. относно услугите на вътрешния пазар </w:t>
      </w:r>
      <w:r w:rsidR="00F82EDA">
        <w:rPr>
          <w:sz w:val="24"/>
          <w:lang w:val="bg-BG"/>
        </w:rPr>
        <w:t>(</w:t>
      </w:r>
      <w:r w:rsidRPr="00A82A81">
        <w:rPr>
          <w:sz w:val="24"/>
          <w:lang w:val="bg-BG"/>
        </w:rPr>
        <w:t xml:space="preserve">ОВ L 376, 27.12.2006 г., стр. 36, ELI: 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dir</w:instrText>
      </w:r>
      <w:r w:rsidR="00BD0E74" w:rsidRPr="00BD0E74">
        <w:rPr>
          <w:lang w:val="ru-RU"/>
        </w:rPr>
        <w:instrText>/2006/123/</w:instrText>
      </w:r>
      <w:r w:rsidR="00BD0E74">
        <w:instrText>oj</w:instrText>
      </w:r>
      <w:r w:rsidR="00BD0E74" w:rsidRPr="00BD0E74">
        <w:rPr>
          <w:lang w:val="ru-RU"/>
        </w:rPr>
        <w:instrText>"</w:instrText>
      </w:r>
      <w:r w:rsidR="00BD0E74">
        <w:fldChar w:fldCharType="separate"/>
      </w:r>
      <w:r w:rsidR="00F82EDA" w:rsidRPr="00740DCE">
        <w:rPr>
          <w:rStyle w:val="Hyperlink"/>
          <w:sz w:val="24"/>
          <w:lang w:val="en-GB"/>
        </w:rPr>
        <w:t>http</w:t>
      </w:r>
      <w:r w:rsidR="00F82EDA" w:rsidRPr="00BD0E74">
        <w:rPr>
          <w:rStyle w:val="Hyperlink"/>
          <w:sz w:val="24"/>
          <w:lang w:val="ru-RU"/>
        </w:rPr>
        <w:t>://</w:t>
      </w:r>
      <w:r w:rsidR="00F82EDA" w:rsidRPr="00740DCE">
        <w:rPr>
          <w:rStyle w:val="Hyperlink"/>
          <w:sz w:val="24"/>
          <w:lang w:val="en-GB"/>
        </w:rPr>
        <w:t>data</w:t>
      </w:r>
      <w:r w:rsidR="00F82EDA" w:rsidRPr="00BD0E74">
        <w:rPr>
          <w:rStyle w:val="Hyperlink"/>
          <w:sz w:val="24"/>
          <w:lang w:val="ru-RU"/>
        </w:rPr>
        <w:t>.</w:t>
      </w:r>
      <w:r w:rsidR="00F82EDA" w:rsidRPr="00740DCE">
        <w:rPr>
          <w:rStyle w:val="Hyperlink"/>
          <w:sz w:val="24"/>
          <w:lang w:val="en-GB"/>
        </w:rPr>
        <w:t>europa</w:t>
      </w:r>
      <w:r w:rsidR="00F82EDA" w:rsidRPr="00BD0E74">
        <w:rPr>
          <w:rStyle w:val="Hyperlink"/>
          <w:sz w:val="24"/>
          <w:lang w:val="ru-RU"/>
        </w:rPr>
        <w:t>.</w:t>
      </w:r>
      <w:r w:rsidR="00F82EDA" w:rsidRPr="00740DCE">
        <w:rPr>
          <w:rStyle w:val="Hyperlink"/>
          <w:sz w:val="24"/>
          <w:lang w:val="en-GB"/>
        </w:rPr>
        <w:t>eu</w:t>
      </w:r>
      <w:r w:rsidR="00F82EDA" w:rsidRPr="00BD0E74">
        <w:rPr>
          <w:rStyle w:val="Hyperlink"/>
          <w:sz w:val="24"/>
          <w:lang w:val="ru-RU"/>
        </w:rPr>
        <w:t>/</w:t>
      </w:r>
      <w:r w:rsidR="00F82EDA" w:rsidRPr="00740DCE">
        <w:rPr>
          <w:rStyle w:val="Hyperlink"/>
          <w:sz w:val="24"/>
          <w:lang w:val="en-GB"/>
        </w:rPr>
        <w:t>eli</w:t>
      </w:r>
      <w:r w:rsidR="00F82EDA" w:rsidRPr="00BD0E74">
        <w:rPr>
          <w:rStyle w:val="Hyperlink"/>
          <w:sz w:val="24"/>
          <w:lang w:val="ru-RU"/>
        </w:rPr>
        <w:t>/</w:t>
      </w:r>
      <w:r w:rsidR="00F82EDA" w:rsidRPr="00740DCE">
        <w:rPr>
          <w:rStyle w:val="Hyperlink"/>
          <w:sz w:val="24"/>
          <w:lang w:val="en-GB"/>
        </w:rPr>
        <w:t>dir</w:t>
      </w:r>
      <w:r w:rsidR="00F82EDA" w:rsidRPr="00BD0E74">
        <w:rPr>
          <w:rStyle w:val="Hyperlink"/>
          <w:sz w:val="24"/>
          <w:lang w:val="ru-RU"/>
        </w:rPr>
        <w:t>/2006/123/</w:t>
      </w:r>
      <w:r w:rsidR="00F82EDA" w:rsidRPr="00740DCE">
        <w:rPr>
          <w:rStyle w:val="Hyperlink"/>
          <w:sz w:val="24"/>
          <w:lang w:val="en-GB"/>
        </w:rPr>
        <w:t>oj</w:t>
      </w:r>
      <w:r w:rsidR="00BD0E74">
        <w:rPr>
          <w:rStyle w:val="Hyperlink"/>
          <w:sz w:val="24"/>
          <w:lang w:val="en-GB"/>
        </w:rPr>
        <w:fldChar w:fldCharType="end"/>
      </w:r>
      <w:r w:rsidR="00F82EDA" w:rsidRPr="00BD0E74">
        <w:rPr>
          <w:sz w:val="24"/>
          <w:lang w:val="ru-RU"/>
        </w:rPr>
        <w:t>).</w:t>
      </w:r>
    </w:p>
  </w:footnote>
  <w:footnote w:id="5">
    <w:p w14:paraId="6426D4CC" w14:textId="0349023D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shd w:val="clear" w:color="auto" w:fill="FFFFFF"/>
          <w:lang w:val="bg-BG"/>
        </w:rPr>
        <w:t xml:space="preserve"> </w:t>
      </w:r>
      <w:r w:rsidR="00A82A81" w:rsidRPr="00A82A81">
        <w:rPr>
          <w:sz w:val="24"/>
          <w:shd w:val="clear" w:color="auto" w:fill="FFFFFF"/>
          <w:lang w:val="bg-BG"/>
        </w:rPr>
        <w:tab/>
      </w:r>
      <w:r w:rsidRPr="00A82A81">
        <w:rPr>
          <w:sz w:val="24"/>
          <w:shd w:val="clear" w:color="auto" w:fill="FFFFFF"/>
          <w:lang w:val="bg-BG"/>
        </w:rPr>
        <w:t>Директива (ЕС) 2015/1535 на Европейския парламент и на Съвета от 9 септември 2015 г. установяваща процедура за предоставянето на информация в сферата на техническите регламенти и правила относно услугите на информационното общество (</w:t>
      </w:r>
      <w:r w:rsidRPr="005A3127">
        <w:rPr>
          <w:rStyle w:val="Emphasis"/>
          <w:i w:val="0"/>
          <w:iCs w:val="0"/>
          <w:sz w:val="24"/>
          <w:shd w:val="clear" w:color="auto" w:fill="FFFFFF"/>
          <w:lang w:val="bg-BG"/>
        </w:rPr>
        <w:t>ОВ L 241, 17.9.2015 г., стр. 1,</w:t>
      </w:r>
      <w:r w:rsidRPr="00A82A81">
        <w:rPr>
          <w:sz w:val="24"/>
          <w:shd w:val="clear" w:color="auto" w:fill="FFFFFF"/>
          <w:lang w:val="bg-BG"/>
        </w:rPr>
        <w:t xml:space="preserve"> ELI:  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dir</w:instrText>
      </w:r>
      <w:r w:rsidR="00BD0E74" w:rsidRPr="00BD0E74">
        <w:rPr>
          <w:lang w:val="ru-RU"/>
        </w:rPr>
        <w:instrText>/2015/1535/</w:instrText>
      </w:r>
      <w:r w:rsidR="00BD0E74">
        <w:instrText>oj</w:instrText>
      </w:r>
      <w:r w:rsidR="00BD0E74" w:rsidRPr="00BD0E74">
        <w:rPr>
          <w:lang w:val="ru-RU"/>
        </w:rPr>
        <w:instrText>" \</w:instrText>
      </w:r>
      <w:r w:rsidR="00BD0E74">
        <w:instrText>o</w:instrText>
      </w:r>
      <w:r w:rsidR="00BD0E74" w:rsidRPr="00BD0E74">
        <w:rPr>
          <w:lang w:val="ru-RU"/>
        </w:rPr>
        <w:instrText xml:space="preserve"> "Предоставя достъп до този документ чрез неговия </w:instrText>
      </w:r>
      <w:r w:rsidR="00BD0E74">
        <w:instrText>ELI URI</w:instrText>
      </w:r>
      <w:r w:rsidR="00BD0E74" w:rsidRPr="00BD0E74">
        <w:rPr>
          <w:lang w:val="ru-RU"/>
        </w:rPr>
        <w:instrText>."</w:instrText>
      </w:r>
      <w:r w:rsidR="00BD0E74">
        <w:fldChar w:fldCharType="separate"/>
      </w:r>
      <w:r w:rsidRPr="00A82A81">
        <w:rPr>
          <w:color w:val="0000FF"/>
          <w:sz w:val="24"/>
          <w:u w:val="single"/>
          <w:shd w:val="clear" w:color="auto" w:fill="FFFFFF"/>
          <w:lang w:val="bg-BG"/>
        </w:rPr>
        <w:t>http://data.europa.eu/eli/dir/2015/1535/oj</w:t>
      </w:r>
      <w:r w:rsidR="00BD0E74">
        <w:rPr>
          <w:color w:val="0000FF"/>
          <w:sz w:val="24"/>
          <w:u w:val="single"/>
          <w:shd w:val="clear" w:color="auto" w:fill="FFFFFF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6">
    <w:p w14:paraId="40BE750B" w14:textId="29188866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shd w:val="clear" w:color="auto" w:fill="FFFFFF"/>
          <w:lang w:val="bg-BG"/>
        </w:rPr>
        <w:t xml:space="preserve"> </w:t>
      </w:r>
      <w:r w:rsidR="00A82A81" w:rsidRPr="00A82A81">
        <w:rPr>
          <w:sz w:val="24"/>
          <w:shd w:val="clear" w:color="auto" w:fill="FFFFFF"/>
          <w:lang w:val="bg-BG"/>
        </w:rPr>
        <w:tab/>
      </w:r>
      <w:r w:rsidRPr="00A82A81">
        <w:rPr>
          <w:sz w:val="24"/>
          <w:shd w:val="clear" w:color="auto" w:fill="FFFFFF"/>
          <w:lang w:val="bg-BG"/>
        </w:rPr>
        <w:t>Директива 2005/36/ЕО на Европейския парламент и на Съвета от 7 септември 2005 г. относно признаването на професионалните квалификации (</w:t>
      </w:r>
      <w:r w:rsidRPr="005A3127">
        <w:rPr>
          <w:rStyle w:val="Emphasis"/>
          <w:i w:val="0"/>
          <w:iCs w:val="0"/>
          <w:sz w:val="24"/>
          <w:shd w:val="clear" w:color="auto" w:fill="FFFFFF"/>
          <w:lang w:val="bg-BG"/>
        </w:rPr>
        <w:t>ОВ L 255, 30.9.2005 г., стр. 22,</w:t>
      </w:r>
      <w:r w:rsidRPr="005A3127">
        <w:rPr>
          <w:i/>
          <w:sz w:val="24"/>
          <w:shd w:val="clear" w:color="auto" w:fill="FFFFFF"/>
          <w:lang w:val="bg-BG"/>
        </w:rPr>
        <w:t xml:space="preserve"> </w:t>
      </w:r>
      <w:r w:rsidRPr="00A82A81">
        <w:rPr>
          <w:sz w:val="24"/>
          <w:shd w:val="clear" w:color="auto" w:fill="FFFFFF"/>
          <w:lang w:val="bg-BG"/>
        </w:rPr>
        <w:t>ELI:  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dir</w:instrText>
      </w:r>
      <w:r w:rsidR="00BD0E74" w:rsidRPr="00BD0E74">
        <w:rPr>
          <w:lang w:val="ru-RU"/>
        </w:rPr>
        <w:instrText>/2005/36/</w:instrText>
      </w:r>
      <w:r w:rsidR="00BD0E74">
        <w:instrText>oj</w:instrText>
      </w:r>
      <w:r w:rsidR="00BD0E74" w:rsidRPr="00BD0E74">
        <w:rPr>
          <w:lang w:val="ru-RU"/>
        </w:rPr>
        <w:instrText>" \</w:instrText>
      </w:r>
      <w:r w:rsidR="00BD0E74">
        <w:instrText>o</w:instrText>
      </w:r>
      <w:r w:rsidR="00BD0E74" w:rsidRPr="00BD0E74">
        <w:rPr>
          <w:lang w:val="ru-RU"/>
        </w:rPr>
        <w:instrText xml:space="preserve"> "Предоставя достъп до този документ чрез неговия </w:instrText>
      </w:r>
      <w:r w:rsidR="00BD0E74">
        <w:instrText>ELI URI</w:instrText>
      </w:r>
      <w:r w:rsidR="00BD0E74" w:rsidRPr="00BD0E74">
        <w:rPr>
          <w:lang w:val="ru-RU"/>
        </w:rPr>
        <w:instrText>."</w:instrText>
      </w:r>
      <w:r w:rsidR="00BD0E74">
        <w:fldChar w:fldCharType="separate"/>
      </w:r>
      <w:r w:rsidRPr="00A82A81">
        <w:rPr>
          <w:color w:val="0000FF"/>
          <w:sz w:val="24"/>
          <w:u w:val="single"/>
          <w:shd w:val="clear" w:color="auto" w:fill="FFFFFF"/>
          <w:lang w:val="bg-BG"/>
        </w:rPr>
        <w:t>http://data.europa.eu/eli/dir/2005/36/oj</w:t>
      </w:r>
      <w:r w:rsidR="00BD0E74">
        <w:rPr>
          <w:color w:val="0000FF"/>
          <w:sz w:val="24"/>
          <w:u w:val="single"/>
          <w:shd w:val="clear" w:color="auto" w:fill="FFFFFF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7">
    <w:p w14:paraId="659D0627" w14:textId="269630E8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shd w:val="clear" w:color="auto" w:fill="FFFFFF"/>
          <w:lang w:val="bg-BG"/>
        </w:rPr>
        <w:t xml:space="preserve"> </w:t>
      </w:r>
      <w:r w:rsidR="00A82A81" w:rsidRPr="00A82A81">
        <w:rPr>
          <w:sz w:val="24"/>
          <w:shd w:val="clear" w:color="auto" w:fill="FFFFFF"/>
          <w:lang w:val="bg-BG"/>
        </w:rPr>
        <w:tab/>
      </w:r>
      <w:r w:rsidRPr="00A82A81">
        <w:rPr>
          <w:sz w:val="24"/>
          <w:shd w:val="clear" w:color="auto" w:fill="FFFFFF"/>
          <w:lang w:val="bg-BG"/>
        </w:rPr>
        <w:t>Регламент (ЕО) № 883/2004 на Европейския парламент и на Съвета от 29 април 2004 г. за координация на системите за социална сигурност (</w:t>
      </w:r>
      <w:r w:rsidRPr="005A3127">
        <w:rPr>
          <w:rStyle w:val="Emphasis"/>
          <w:i w:val="0"/>
          <w:iCs w:val="0"/>
          <w:sz w:val="24"/>
          <w:shd w:val="clear" w:color="auto" w:fill="FFFFFF"/>
          <w:lang w:val="bg-BG"/>
        </w:rPr>
        <w:t>ОВ L 166, 30.4.2004 г., стр. 1,</w:t>
      </w:r>
      <w:r w:rsidRPr="00A82A81">
        <w:rPr>
          <w:sz w:val="24"/>
          <w:shd w:val="clear" w:color="auto" w:fill="FFFFFF"/>
          <w:lang w:val="bg-BG"/>
        </w:rPr>
        <w:t xml:space="preserve"> ELI: 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reg</w:instrText>
      </w:r>
      <w:r w:rsidR="00BD0E74" w:rsidRPr="00BD0E74">
        <w:rPr>
          <w:lang w:val="ru-RU"/>
        </w:rPr>
        <w:instrText>/2004/883/</w:instrText>
      </w:r>
      <w:r w:rsidR="00BD0E74">
        <w:instrText>oj</w:instrText>
      </w:r>
      <w:r w:rsidR="00BD0E74" w:rsidRPr="00BD0E74">
        <w:rPr>
          <w:lang w:val="ru-RU"/>
        </w:rPr>
        <w:instrText>" \</w:instrText>
      </w:r>
      <w:r w:rsidR="00BD0E74">
        <w:instrText>o</w:instrText>
      </w:r>
      <w:r w:rsidR="00BD0E74" w:rsidRPr="00BD0E74">
        <w:rPr>
          <w:lang w:val="ru-RU"/>
        </w:rPr>
        <w:instrText xml:space="preserve"> "Предоставя достъп до този документ чрез неговия </w:instrText>
      </w:r>
      <w:r w:rsidR="00BD0E74">
        <w:instrText>ELI URI</w:instrText>
      </w:r>
      <w:r w:rsidR="00BD0E74" w:rsidRPr="00BD0E74">
        <w:rPr>
          <w:lang w:val="ru-RU"/>
        </w:rPr>
        <w:instrText>."</w:instrText>
      </w:r>
      <w:r w:rsidR="00BD0E74">
        <w:fldChar w:fldCharType="separate"/>
      </w:r>
      <w:r w:rsidRPr="00A82A81">
        <w:rPr>
          <w:color w:val="0000FF"/>
          <w:sz w:val="24"/>
          <w:u w:val="single"/>
          <w:shd w:val="clear" w:color="auto" w:fill="FFFFFF"/>
          <w:lang w:val="bg-BG"/>
        </w:rPr>
        <w:t>http://data.europa.eu/eli/reg/2004/883/oj</w:t>
      </w:r>
      <w:r w:rsidR="00BD0E74">
        <w:rPr>
          <w:color w:val="0000FF"/>
          <w:sz w:val="24"/>
          <w:u w:val="single"/>
          <w:shd w:val="clear" w:color="auto" w:fill="FFFFFF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8">
    <w:p w14:paraId="5401FA3B" w14:textId="6ADF0700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shd w:val="clear" w:color="auto" w:fill="FFFFFF"/>
          <w:lang w:val="bg-BG"/>
        </w:rPr>
        <w:t xml:space="preserve"> </w:t>
      </w:r>
      <w:r w:rsidR="00A82A81" w:rsidRPr="00A82A81">
        <w:rPr>
          <w:sz w:val="24"/>
          <w:shd w:val="clear" w:color="auto" w:fill="FFFFFF"/>
          <w:lang w:val="bg-BG"/>
        </w:rPr>
        <w:tab/>
      </w:r>
      <w:r w:rsidRPr="00A82A81">
        <w:rPr>
          <w:sz w:val="24"/>
          <w:shd w:val="clear" w:color="auto" w:fill="FFFFFF"/>
          <w:lang w:val="bg-BG"/>
        </w:rPr>
        <w:t>Регламент (ЕС) 2024/2747 на Европейския парламент и на Съвета от 9 октомври 2024 г. за създаване на рамка от мерки, отнасящи се до извънредните ситуации на вътрешния пазар и до устойчивостта на вътрешния пазар и за изменение на Регламент (ЕО) № 2679/98 на Съвета (</w:t>
      </w:r>
      <w:r w:rsidR="00F82EDA" w:rsidRPr="00A82A81">
        <w:rPr>
          <w:sz w:val="24"/>
          <w:shd w:val="clear" w:color="auto" w:fill="FFFFFF"/>
          <w:lang w:val="bg-BG"/>
        </w:rPr>
        <w:t>Акт</w:t>
      </w:r>
      <w:r w:rsidRPr="00A82A81">
        <w:rPr>
          <w:sz w:val="24"/>
          <w:shd w:val="clear" w:color="auto" w:fill="FFFFFF"/>
          <w:lang w:val="bg-BG"/>
        </w:rPr>
        <w:t xml:space="preserve"> за извънредните ситуации и устойчивостта на вътрешния пазар) (ОВ L, 2024/2747, 8.11.2024 г., ELI: 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reg</w:instrText>
      </w:r>
      <w:r w:rsidR="00BD0E74" w:rsidRPr="00BD0E74">
        <w:rPr>
          <w:lang w:val="ru-RU"/>
        </w:rPr>
        <w:instrText>/2024/2747/</w:instrText>
      </w:r>
      <w:r w:rsidR="00BD0E74">
        <w:instrText>oj</w:instrText>
      </w:r>
      <w:r w:rsidR="00BD0E74" w:rsidRPr="00BD0E74">
        <w:rPr>
          <w:lang w:val="ru-RU"/>
        </w:rPr>
        <w:instrText>" \</w:instrText>
      </w:r>
      <w:r w:rsidR="00BD0E74">
        <w:instrText>t</w:instrText>
      </w:r>
      <w:r w:rsidR="00BD0E74" w:rsidRPr="00BD0E74">
        <w:rPr>
          <w:lang w:val="ru-RU"/>
        </w:rPr>
        <w:instrText xml:space="preserve"> "_</w:instrText>
      </w:r>
      <w:r w:rsidR="00BD0E74">
        <w:instrText>blank</w:instrText>
      </w:r>
      <w:r w:rsidR="00BD0E74" w:rsidRPr="00BD0E74">
        <w:rPr>
          <w:lang w:val="ru-RU"/>
        </w:rPr>
        <w:instrText>" \</w:instrText>
      </w:r>
      <w:r w:rsidR="00BD0E74">
        <w:instrText>o</w:instrText>
      </w:r>
      <w:r w:rsidR="00BD0E74" w:rsidRPr="00BD0E74">
        <w:rPr>
          <w:lang w:val="ru-RU"/>
        </w:rPr>
        <w:instrText xml:space="preserve"> "Предоставя достъп до този документ чрез неговия </w:instrText>
      </w:r>
      <w:r w:rsidR="00BD0E74">
        <w:instrText>ELI URI</w:instrText>
      </w:r>
      <w:r w:rsidR="00BD0E74" w:rsidRPr="00BD0E74">
        <w:rPr>
          <w:lang w:val="ru-RU"/>
        </w:rPr>
        <w:instrText>."</w:instrText>
      </w:r>
      <w:r w:rsidR="00BD0E74">
        <w:fldChar w:fldCharType="separate"/>
      </w:r>
      <w:r w:rsidRPr="00A82A81">
        <w:rPr>
          <w:color w:val="0000FF"/>
          <w:sz w:val="24"/>
          <w:u w:val="single"/>
          <w:lang w:val="bg-BG"/>
        </w:rPr>
        <w:t>http://data.europa.eu/eli/reg/2024/2747/oj</w:t>
      </w:r>
      <w:r w:rsidR="00BD0E74">
        <w:rPr>
          <w:color w:val="0000FF"/>
          <w:sz w:val="24"/>
          <w:u w:val="single"/>
          <w:lang w:val="bg-BG"/>
        </w:rPr>
        <w:fldChar w:fldCharType="end"/>
      </w:r>
      <w:r w:rsidRPr="00A82A81">
        <w:rPr>
          <w:sz w:val="24"/>
          <w:shd w:val="clear" w:color="auto" w:fill="FFFFFF"/>
          <w:lang w:val="bg-BG"/>
        </w:rPr>
        <w:t>).</w:t>
      </w:r>
    </w:p>
  </w:footnote>
  <w:footnote w:id="9">
    <w:p w14:paraId="6AE99122" w14:textId="44F04FDE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 xml:space="preserve">Регламент (ЕС) 2022/2065 на Европейския парламент и на Съвета от 19 октомври 2022 г. относно единния пазар на цифрови услуги и за изменение на Директива 2000/31/ЕО (Акт за цифровите услуги) (ОВ L 277, 27.10.2022 г., стр. 1, ELI: 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reg</w:instrText>
      </w:r>
      <w:r w:rsidR="00BD0E74" w:rsidRPr="00BD0E74">
        <w:rPr>
          <w:lang w:val="ru-RU"/>
        </w:rPr>
        <w:instrText>/2022/2065/</w:instrText>
      </w:r>
      <w:r w:rsidR="00BD0E74">
        <w:instrText>oj</w:instrText>
      </w:r>
      <w:r w:rsidR="00BD0E74" w:rsidRPr="00BD0E74">
        <w:rPr>
          <w:lang w:val="ru-RU"/>
        </w:rPr>
        <w:instrText>"</w:instrText>
      </w:r>
      <w:r w:rsidR="00BD0E74">
        <w:fldChar w:fldCharType="separate"/>
      </w:r>
      <w:r w:rsidRPr="00A82A81">
        <w:rPr>
          <w:rStyle w:val="Hyperlink"/>
          <w:sz w:val="24"/>
          <w:lang w:val="bg-BG"/>
        </w:rPr>
        <w:t>http://data.europa.eu/eli/reg/2022/2065/oj</w:t>
      </w:r>
      <w:r w:rsidR="00BD0E74">
        <w:rPr>
          <w:rStyle w:val="Hyperlink"/>
          <w:sz w:val="24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10">
    <w:p w14:paraId="1D71AE2E" w14:textId="04501DE5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 xml:space="preserve">Регламент (ЕС) 2016/679 на Европейския парламент и на Съвета от 27 април 2016 г. </w:t>
      </w:r>
      <w:r w:rsidRPr="00A82A81">
        <w:rPr>
          <w:sz w:val="24"/>
          <w:lang w:val="bg-BG"/>
        </w:rPr>
        <w:t xml:space="preserve">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 </w:t>
      </w:r>
      <w:r w:rsidR="00F82EDA">
        <w:rPr>
          <w:sz w:val="24"/>
          <w:lang w:val="bg-BG"/>
        </w:rPr>
        <w:t>(</w:t>
      </w:r>
      <w:r w:rsidRPr="00A82A81">
        <w:rPr>
          <w:sz w:val="24"/>
          <w:lang w:val="bg-BG"/>
        </w:rPr>
        <w:t>ОВ L 119, 4.5.2016 </w:t>
      </w:r>
      <w:r w:rsidRPr="00A82A81">
        <w:rPr>
          <w:sz w:val="24"/>
          <w:lang w:val="bg-BG"/>
        </w:rPr>
        <w:t>г</w:t>
      </w:r>
      <w:r w:rsidR="00BD0E74" w:rsidRPr="00BD0E74">
        <w:rPr>
          <w:sz w:val="24"/>
          <w:lang w:val="ru-RU"/>
        </w:rPr>
        <w:t>.</w:t>
      </w:r>
      <w:r w:rsidRPr="00A82A81">
        <w:rPr>
          <w:sz w:val="24"/>
          <w:lang w:val="bg-BG"/>
        </w:rPr>
        <w:t>, стр. 1</w:t>
      </w:r>
      <w:r w:rsidR="00F82EDA">
        <w:rPr>
          <w:sz w:val="24"/>
          <w:lang w:val="bg-BG"/>
        </w:rPr>
        <w:t xml:space="preserve">, </w:t>
      </w:r>
      <w:r w:rsidRPr="00A82A81">
        <w:rPr>
          <w:sz w:val="24"/>
          <w:lang w:val="bg-BG"/>
        </w:rPr>
        <w:t xml:space="preserve">ELI: </w:t>
      </w:r>
      <w:hyperlink r:id="rId3" w:history="1">
        <w:r w:rsidRPr="00A82A81">
          <w:rPr>
            <w:rStyle w:val="Hyperlink"/>
            <w:sz w:val="24"/>
            <w:lang w:val="bg-BG"/>
          </w:rPr>
          <w:t>http://data.europa.eu/eli/reg/2016/679/oj</w:t>
        </w:r>
      </w:hyperlink>
      <w:r w:rsidRPr="00A82A81">
        <w:rPr>
          <w:sz w:val="24"/>
          <w:lang w:val="bg-BG"/>
        </w:rPr>
        <w:t>).</w:t>
      </w:r>
    </w:p>
  </w:footnote>
  <w:footnote w:id="11">
    <w:p w14:paraId="2D33D2AF" w14:textId="3060ADB4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shd w:val="clear" w:color="auto" w:fill="FFFFFF"/>
          <w:lang w:val="bg-BG"/>
        </w:rPr>
        <w:t xml:space="preserve"> </w:t>
      </w:r>
      <w:r w:rsidR="00A82A81" w:rsidRPr="00A82A81">
        <w:rPr>
          <w:sz w:val="24"/>
          <w:shd w:val="clear" w:color="auto" w:fill="FFFFFF"/>
          <w:lang w:val="bg-BG"/>
        </w:rPr>
        <w:tab/>
      </w:r>
      <w:r w:rsidRPr="00A82A81">
        <w:rPr>
          <w:sz w:val="24"/>
          <w:shd w:val="clear" w:color="auto" w:fill="FFFFFF"/>
          <w:lang w:val="bg-BG"/>
        </w:rPr>
        <w:t>Регламент (ЕС) 2024/1689 на Европейския парламент и на Съвета от 13 юни 2024 г. за установяване на хармонизирани правила относно изкуствения интелект и за изменение на Регламенти (ЕО) № 300/2008, (ЕС) № 167/2013, (ЕС) № 168/2013, (ЕС) 2018/858, (ЕС) 2018/1139 и (ЕС) 2019/2144 и Директиви 2014/90/ЕС, (ЕС) 2016/797 и (ЕС) 2020/1828 (Акт за изкуствения интелект) (ОВ L, 2024/1689, 12.7.2024 г., ELI:  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reg</w:instrText>
      </w:r>
      <w:r w:rsidR="00BD0E74" w:rsidRPr="00BD0E74">
        <w:rPr>
          <w:lang w:val="ru-RU"/>
        </w:rPr>
        <w:instrText>/2024/1689/</w:instrText>
      </w:r>
      <w:r w:rsidR="00BD0E74">
        <w:instrText>oj</w:instrText>
      </w:r>
      <w:r w:rsidR="00BD0E74" w:rsidRPr="00BD0E74">
        <w:rPr>
          <w:lang w:val="ru-RU"/>
        </w:rPr>
        <w:instrText>" \</w:instrText>
      </w:r>
      <w:r w:rsidR="00BD0E74">
        <w:instrText>t</w:instrText>
      </w:r>
      <w:r w:rsidR="00BD0E74" w:rsidRPr="00BD0E74">
        <w:rPr>
          <w:lang w:val="ru-RU"/>
        </w:rPr>
        <w:instrText xml:space="preserve"> "_</w:instrText>
      </w:r>
      <w:r w:rsidR="00BD0E74">
        <w:instrText>blank</w:instrText>
      </w:r>
      <w:r w:rsidR="00BD0E74" w:rsidRPr="00BD0E74">
        <w:rPr>
          <w:lang w:val="ru-RU"/>
        </w:rPr>
        <w:instrText>" \</w:instrText>
      </w:r>
      <w:r w:rsidR="00BD0E74">
        <w:instrText>o</w:instrText>
      </w:r>
      <w:r w:rsidR="00BD0E74" w:rsidRPr="00BD0E74">
        <w:rPr>
          <w:lang w:val="ru-RU"/>
        </w:rPr>
        <w:instrText xml:space="preserve"> "Предоставя достъп до този документ чрез неговия </w:instrText>
      </w:r>
      <w:r w:rsidR="00BD0E74">
        <w:instrText>ELI URI</w:instrText>
      </w:r>
      <w:r w:rsidR="00BD0E74" w:rsidRPr="00BD0E74">
        <w:rPr>
          <w:lang w:val="ru-RU"/>
        </w:rPr>
        <w:instrText>."</w:instrText>
      </w:r>
      <w:r w:rsidR="00BD0E74">
        <w:fldChar w:fldCharType="separate"/>
      </w:r>
      <w:r w:rsidRPr="00A82A81">
        <w:rPr>
          <w:color w:val="0000FF"/>
          <w:sz w:val="24"/>
          <w:u w:val="single"/>
          <w:lang w:val="bg-BG"/>
        </w:rPr>
        <w:t>http://data.europa.eu/eli/reg/2024/1689/oj</w:t>
      </w:r>
      <w:r w:rsidR="00BD0E74">
        <w:rPr>
          <w:color w:val="0000FF"/>
          <w:sz w:val="24"/>
          <w:u w:val="single"/>
          <w:lang w:val="bg-BG"/>
        </w:rPr>
        <w:fldChar w:fldCharType="end"/>
      </w:r>
      <w:r w:rsidRPr="00A82A81">
        <w:rPr>
          <w:sz w:val="24"/>
          <w:shd w:val="clear" w:color="auto" w:fill="FFFFFF"/>
          <w:lang w:val="bg-BG"/>
        </w:rPr>
        <w:t>).</w:t>
      </w:r>
    </w:p>
  </w:footnote>
  <w:footnote w:id="12">
    <w:p w14:paraId="3826515A" w14:textId="24633AAD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>Регламент (ЕС) 2024/900 на Европейския парламент и на Съвета от 13 март 2024</w:t>
      </w:r>
      <w:r w:rsidR="00F82EDA">
        <w:rPr>
          <w:sz w:val="24"/>
          <w:lang w:val="bg-BG"/>
        </w:rPr>
        <w:t> </w:t>
      </w:r>
      <w:r w:rsidR="00F82EDA" w:rsidRPr="00A82A81">
        <w:rPr>
          <w:sz w:val="24"/>
          <w:lang w:val="bg-BG"/>
        </w:rPr>
        <w:t>г</w:t>
      </w:r>
      <w:r w:rsidR="00F82EDA">
        <w:rPr>
          <w:sz w:val="24"/>
          <w:lang w:val="bg-BG"/>
        </w:rPr>
        <w:t>.</w:t>
      </w:r>
      <w:r w:rsidR="00F82EDA" w:rsidRPr="00A82A81">
        <w:rPr>
          <w:sz w:val="24"/>
          <w:lang w:val="bg-BG"/>
        </w:rPr>
        <w:t xml:space="preserve"> </w:t>
      </w:r>
      <w:r w:rsidRPr="00A82A81">
        <w:rPr>
          <w:sz w:val="24"/>
          <w:lang w:val="bg-BG"/>
        </w:rPr>
        <w:t xml:space="preserve">относно прозрачността и таргетирането на политическото рекламиране (ОВ L, 2024/900, 20.3.2024 г., ELI: 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reg</w:instrText>
      </w:r>
      <w:r w:rsidR="00BD0E74" w:rsidRPr="00BD0E74">
        <w:rPr>
          <w:lang w:val="ru-RU"/>
        </w:rPr>
        <w:instrText>/2024/900/</w:instrText>
      </w:r>
      <w:r w:rsidR="00BD0E74">
        <w:instrText>oj</w:instrText>
      </w:r>
      <w:r w:rsidR="00BD0E74" w:rsidRPr="00BD0E74">
        <w:rPr>
          <w:lang w:val="ru-RU"/>
        </w:rPr>
        <w:instrText>"</w:instrText>
      </w:r>
      <w:r w:rsidR="00BD0E74">
        <w:fldChar w:fldCharType="separate"/>
      </w:r>
      <w:r w:rsidRPr="00A82A81">
        <w:rPr>
          <w:rStyle w:val="Hyperlink"/>
          <w:sz w:val="24"/>
          <w:lang w:val="bg-BG"/>
        </w:rPr>
        <w:t>http://data.europa.eu/eli/reg/2024/900/oj</w:t>
      </w:r>
      <w:r w:rsidR="00BD0E74">
        <w:rPr>
          <w:rStyle w:val="Hyperlink"/>
          <w:sz w:val="24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13">
    <w:p w14:paraId="310BB201" w14:textId="383C069D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 xml:space="preserve">Директива (ЕС) 2024/2853 на Европейския парламент и на Съвета от 23 октомври 2024 г. относно отговорността за вреди от дефекти на продукти и за отмяна на Директива 85/374/ЕИО на Съвета (ОВ L, 2024/2853, 18.11.2024 г., ELI:  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dir</w:instrText>
      </w:r>
      <w:r w:rsidR="00BD0E74" w:rsidRPr="00BD0E74">
        <w:rPr>
          <w:lang w:val="ru-RU"/>
        </w:rPr>
        <w:instrText>/2024/2853/</w:instrText>
      </w:r>
      <w:r w:rsidR="00BD0E74">
        <w:instrText>oj</w:instrText>
      </w:r>
      <w:r w:rsidR="00BD0E74" w:rsidRPr="00BD0E74">
        <w:rPr>
          <w:lang w:val="ru-RU"/>
        </w:rPr>
        <w:instrText>"</w:instrText>
      </w:r>
      <w:r w:rsidR="00BD0E74">
        <w:fldChar w:fldCharType="separate"/>
      </w:r>
      <w:r w:rsidRPr="00A82A81">
        <w:rPr>
          <w:rStyle w:val="Hyperlink"/>
          <w:sz w:val="24"/>
          <w:lang w:val="bg-BG"/>
        </w:rPr>
        <w:t>http://data.europa.eu/eli/dir/2024/2853/oj</w:t>
      </w:r>
      <w:r w:rsidR="00BD0E74">
        <w:rPr>
          <w:rStyle w:val="Hyperlink"/>
          <w:sz w:val="24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14">
    <w:p w14:paraId="28B88EB5" w14:textId="507BAA4E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shd w:val="clear" w:color="auto" w:fill="FFFFFF"/>
          <w:lang w:val="bg-BG"/>
        </w:rPr>
        <w:t xml:space="preserve"> </w:t>
      </w:r>
      <w:r w:rsidR="00A82A81" w:rsidRPr="00A82A81">
        <w:rPr>
          <w:sz w:val="24"/>
          <w:shd w:val="clear" w:color="auto" w:fill="FFFFFF"/>
          <w:lang w:val="bg-BG"/>
        </w:rPr>
        <w:tab/>
      </w:r>
      <w:r w:rsidRPr="00A82A81">
        <w:rPr>
          <w:sz w:val="24"/>
          <w:shd w:val="clear" w:color="auto" w:fill="FFFFFF"/>
          <w:lang w:val="bg-BG"/>
        </w:rPr>
        <w:t>Регламент (ЕС) 2022/1925 на Европейския парламент и на Съвета от 14 септември 2022 г. за достъпни и справедливи пазари в цифровия сектор и за изменение на директиви (ЕС) 2019/1937 и (ЕС) 2020/1828 (Акт за цифровите пазари) (</w:t>
      </w:r>
      <w:r w:rsidRPr="005A3127">
        <w:rPr>
          <w:rStyle w:val="Emphasis"/>
          <w:i w:val="0"/>
          <w:iCs w:val="0"/>
          <w:sz w:val="24"/>
          <w:shd w:val="clear" w:color="auto" w:fill="FFFFFF"/>
          <w:lang w:val="bg-BG"/>
        </w:rPr>
        <w:t>ОВ L 265, 12.10.2022 г., стр. 1,</w:t>
      </w:r>
      <w:r w:rsidRPr="005A3127">
        <w:rPr>
          <w:i/>
          <w:sz w:val="24"/>
          <w:shd w:val="clear" w:color="auto" w:fill="FFFFFF"/>
          <w:lang w:val="bg-BG"/>
        </w:rPr>
        <w:t xml:space="preserve"> </w:t>
      </w:r>
      <w:r w:rsidRPr="00A82A81">
        <w:rPr>
          <w:sz w:val="24"/>
          <w:shd w:val="clear" w:color="auto" w:fill="FFFFFF"/>
          <w:lang w:val="bg-BG"/>
        </w:rPr>
        <w:t>ELI: 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reg</w:instrText>
      </w:r>
      <w:r w:rsidR="00BD0E74" w:rsidRPr="00BD0E74">
        <w:rPr>
          <w:lang w:val="ru-RU"/>
        </w:rPr>
        <w:instrText>/2022/1925/</w:instrText>
      </w:r>
      <w:r w:rsidR="00BD0E74">
        <w:instrText>oj</w:instrText>
      </w:r>
      <w:r w:rsidR="00BD0E74" w:rsidRPr="00BD0E74">
        <w:rPr>
          <w:lang w:val="ru-RU"/>
        </w:rPr>
        <w:instrText>" \</w:instrText>
      </w:r>
      <w:r w:rsidR="00BD0E74">
        <w:instrText>o</w:instrText>
      </w:r>
      <w:r w:rsidR="00BD0E74" w:rsidRPr="00BD0E74">
        <w:rPr>
          <w:lang w:val="ru-RU"/>
        </w:rPr>
        <w:instrText xml:space="preserve"> "Предоставя достъп до този документ чрез неговия </w:instrText>
      </w:r>
      <w:r w:rsidR="00BD0E74">
        <w:instrText>ELI URI</w:instrText>
      </w:r>
      <w:r w:rsidR="00BD0E74" w:rsidRPr="00BD0E74">
        <w:rPr>
          <w:lang w:val="ru-RU"/>
        </w:rPr>
        <w:instrText>."</w:instrText>
      </w:r>
      <w:r w:rsidR="00BD0E74">
        <w:fldChar w:fldCharType="separate"/>
      </w:r>
      <w:r w:rsidRPr="00A82A81">
        <w:rPr>
          <w:color w:val="0000FF"/>
          <w:sz w:val="24"/>
          <w:u w:val="single"/>
          <w:shd w:val="clear" w:color="auto" w:fill="FFFFFF"/>
          <w:lang w:val="bg-BG"/>
        </w:rPr>
        <w:t>http://data.europa.eu/eli/reg/2022/1925/oj</w:t>
      </w:r>
      <w:r w:rsidR="00BD0E74">
        <w:rPr>
          <w:color w:val="0000FF"/>
          <w:sz w:val="24"/>
          <w:u w:val="single"/>
          <w:shd w:val="clear" w:color="auto" w:fill="FFFFFF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  <w:footnote w:id="15">
    <w:p w14:paraId="4B476E06" w14:textId="0DCED6D1" w:rsidR="00D95E37" w:rsidRPr="00A82A81" w:rsidRDefault="00D95E37" w:rsidP="00A82A81">
      <w:pPr>
        <w:pStyle w:val="FootnoteText"/>
        <w:ind w:left="567" w:hanging="567"/>
        <w:rPr>
          <w:sz w:val="24"/>
          <w:lang w:val="bg-BG"/>
        </w:rPr>
      </w:pPr>
      <w:r w:rsidRPr="00A82A81">
        <w:rPr>
          <w:rStyle w:val="FootnoteReference"/>
          <w:sz w:val="24"/>
          <w:lang w:val="bg-BG"/>
        </w:rPr>
        <w:footnoteRef/>
      </w:r>
      <w:r w:rsidR="00A82A81" w:rsidRPr="00A82A81">
        <w:rPr>
          <w:sz w:val="24"/>
          <w:lang w:val="bg-BG"/>
        </w:rPr>
        <w:t xml:space="preserve"> </w:t>
      </w:r>
      <w:r w:rsidR="00A82A81" w:rsidRPr="00A82A81">
        <w:rPr>
          <w:sz w:val="24"/>
          <w:lang w:val="bg-BG"/>
        </w:rPr>
        <w:tab/>
      </w:r>
      <w:r w:rsidRPr="00A82A81">
        <w:rPr>
          <w:sz w:val="24"/>
          <w:lang w:val="bg-BG"/>
        </w:rPr>
        <w:t xml:space="preserve">Регламент (ЕС) 2017/2394 на Европейския парламент и на Съвета от 12 декември 2017 г. относно сътрудничеството между националните органи, отговорни за прилагането на законодателството за защита на потребителите и за отмяна на Регламент (ЕО) № 2006/2004 </w:t>
      </w:r>
      <w:r w:rsidR="00F82EDA">
        <w:rPr>
          <w:sz w:val="24"/>
          <w:lang w:val="bg-BG"/>
        </w:rPr>
        <w:t>(</w:t>
      </w:r>
      <w:r w:rsidRPr="00A82A81">
        <w:rPr>
          <w:sz w:val="24"/>
          <w:lang w:val="bg-BG"/>
        </w:rPr>
        <w:t xml:space="preserve">ОВ L 345, 27.12.2017 г., стр. 1, ELI: </w:t>
      </w:r>
      <w:r w:rsidR="00BD0E74">
        <w:fldChar w:fldCharType="begin"/>
      </w:r>
      <w:r w:rsidR="00BD0E74">
        <w:instrText>HYPERLINK</w:instrText>
      </w:r>
      <w:r w:rsidR="00BD0E74" w:rsidRPr="00BD0E74">
        <w:rPr>
          <w:lang w:val="ru-RU"/>
        </w:rPr>
        <w:instrText xml:space="preserve"> "</w:instrText>
      </w:r>
      <w:r w:rsidR="00BD0E74">
        <w:instrText>http</w:instrText>
      </w:r>
      <w:r w:rsidR="00BD0E74" w:rsidRPr="00BD0E74">
        <w:rPr>
          <w:lang w:val="ru-RU"/>
        </w:rPr>
        <w:instrText>://</w:instrText>
      </w:r>
      <w:r w:rsidR="00BD0E74">
        <w:instrText>data</w:instrText>
      </w:r>
      <w:r w:rsidR="00BD0E74" w:rsidRPr="00BD0E74">
        <w:rPr>
          <w:lang w:val="ru-RU"/>
        </w:rPr>
        <w:instrText>.</w:instrText>
      </w:r>
      <w:r w:rsidR="00BD0E74">
        <w:instrText>europa</w:instrText>
      </w:r>
      <w:r w:rsidR="00BD0E74" w:rsidRPr="00BD0E74">
        <w:rPr>
          <w:lang w:val="ru-RU"/>
        </w:rPr>
        <w:instrText>.</w:instrText>
      </w:r>
      <w:r w:rsidR="00BD0E74">
        <w:instrText>eu</w:instrText>
      </w:r>
      <w:r w:rsidR="00BD0E74" w:rsidRPr="00BD0E74">
        <w:rPr>
          <w:lang w:val="ru-RU"/>
        </w:rPr>
        <w:instrText>/</w:instrText>
      </w:r>
      <w:r w:rsidR="00BD0E74">
        <w:instrText>eli</w:instrText>
      </w:r>
      <w:r w:rsidR="00BD0E74" w:rsidRPr="00BD0E74">
        <w:rPr>
          <w:lang w:val="ru-RU"/>
        </w:rPr>
        <w:instrText>/</w:instrText>
      </w:r>
      <w:r w:rsidR="00BD0E74">
        <w:instrText>reg</w:instrText>
      </w:r>
      <w:r w:rsidR="00BD0E74" w:rsidRPr="00BD0E74">
        <w:rPr>
          <w:lang w:val="ru-RU"/>
        </w:rPr>
        <w:instrText>/2017/2394/</w:instrText>
      </w:r>
      <w:r w:rsidR="00BD0E74">
        <w:instrText>oj</w:instrText>
      </w:r>
      <w:r w:rsidR="00BD0E74" w:rsidRPr="00BD0E74">
        <w:rPr>
          <w:lang w:val="ru-RU"/>
        </w:rPr>
        <w:instrText>"</w:instrText>
      </w:r>
      <w:r w:rsidR="00BD0E74">
        <w:fldChar w:fldCharType="separate"/>
      </w:r>
      <w:r w:rsidRPr="00A82A81">
        <w:rPr>
          <w:rStyle w:val="Hyperlink"/>
          <w:sz w:val="24"/>
          <w:lang w:val="bg-BG"/>
        </w:rPr>
        <w:t>http://data.europa.eu/eli/reg/2017/2394/oj</w:t>
      </w:r>
      <w:r w:rsidR="00BD0E74">
        <w:rPr>
          <w:rStyle w:val="Hyperlink"/>
          <w:sz w:val="24"/>
          <w:lang w:val="bg-BG"/>
        </w:rPr>
        <w:fldChar w:fldCharType="end"/>
      </w:r>
      <w:r w:rsidRPr="00A82A81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407BB" w14:textId="77777777" w:rsidR="00064002" w:rsidRPr="00A82A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8BB0" w14:textId="77777777" w:rsidR="00064002" w:rsidRPr="00A82A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C5153" w14:textId="77777777" w:rsidR="00064002" w:rsidRPr="00A82A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977617">
    <w:abstractNumId w:val="9"/>
  </w:num>
  <w:num w:numId="2" w16cid:durableId="1253973420">
    <w:abstractNumId w:val="9"/>
  </w:num>
  <w:num w:numId="3" w16cid:durableId="466821644">
    <w:abstractNumId w:val="7"/>
  </w:num>
  <w:num w:numId="4" w16cid:durableId="56825058">
    <w:abstractNumId w:val="7"/>
  </w:num>
  <w:num w:numId="5" w16cid:durableId="351497238">
    <w:abstractNumId w:val="6"/>
  </w:num>
  <w:num w:numId="6" w16cid:durableId="1608846690">
    <w:abstractNumId w:val="6"/>
  </w:num>
  <w:num w:numId="7" w16cid:durableId="310906006">
    <w:abstractNumId w:val="5"/>
  </w:num>
  <w:num w:numId="8" w16cid:durableId="838349505">
    <w:abstractNumId w:val="5"/>
  </w:num>
  <w:num w:numId="9" w16cid:durableId="1242253681">
    <w:abstractNumId w:val="4"/>
  </w:num>
  <w:num w:numId="10" w16cid:durableId="790050967">
    <w:abstractNumId w:val="4"/>
  </w:num>
  <w:num w:numId="11" w16cid:durableId="1819346777">
    <w:abstractNumId w:val="8"/>
  </w:num>
  <w:num w:numId="12" w16cid:durableId="1330595193">
    <w:abstractNumId w:val="8"/>
  </w:num>
  <w:num w:numId="13" w16cid:durableId="649093410">
    <w:abstractNumId w:val="3"/>
  </w:num>
  <w:num w:numId="14" w16cid:durableId="2143380159">
    <w:abstractNumId w:val="3"/>
  </w:num>
  <w:num w:numId="15" w16cid:durableId="441192687">
    <w:abstractNumId w:val="2"/>
  </w:num>
  <w:num w:numId="16" w16cid:durableId="1646738723">
    <w:abstractNumId w:val="2"/>
  </w:num>
  <w:num w:numId="17" w16cid:durableId="2143886155">
    <w:abstractNumId w:val="1"/>
  </w:num>
  <w:num w:numId="18" w16cid:durableId="1354916698">
    <w:abstractNumId w:val="1"/>
  </w:num>
  <w:num w:numId="19" w16cid:durableId="756754719">
    <w:abstractNumId w:val="0"/>
  </w:num>
  <w:num w:numId="20" w16cid:durableId="488062364">
    <w:abstractNumId w:val="0"/>
  </w:num>
  <w:num w:numId="21" w16cid:durableId="1223369944">
    <w:abstractNumId w:val="9"/>
  </w:num>
  <w:num w:numId="22" w16cid:durableId="201283720">
    <w:abstractNumId w:val="7"/>
  </w:num>
  <w:num w:numId="23" w16cid:durableId="801310215">
    <w:abstractNumId w:val="6"/>
  </w:num>
  <w:num w:numId="24" w16cid:durableId="962810906">
    <w:abstractNumId w:val="5"/>
  </w:num>
  <w:num w:numId="25" w16cid:durableId="920914917">
    <w:abstractNumId w:val="4"/>
  </w:num>
  <w:num w:numId="26" w16cid:durableId="55011004">
    <w:abstractNumId w:val="8"/>
  </w:num>
  <w:num w:numId="27" w16cid:durableId="1539976052">
    <w:abstractNumId w:val="3"/>
  </w:num>
  <w:num w:numId="28" w16cid:durableId="758020251">
    <w:abstractNumId w:val="2"/>
  </w:num>
  <w:num w:numId="29" w16cid:durableId="1230844527">
    <w:abstractNumId w:val="1"/>
  </w:num>
  <w:num w:numId="30" w16cid:durableId="1126386265">
    <w:abstractNumId w:val="0"/>
  </w:num>
  <w:num w:numId="31" w16cid:durableId="1598634874">
    <w:abstractNumId w:val="9"/>
  </w:num>
  <w:num w:numId="32" w16cid:durableId="528757780">
    <w:abstractNumId w:val="7"/>
  </w:num>
  <w:num w:numId="33" w16cid:durableId="356852158">
    <w:abstractNumId w:val="6"/>
  </w:num>
  <w:num w:numId="34" w16cid:durableId="440145777">
    <w:abstractNumId w:val="5"/>
  </w:num>
  <w:num w:numId="35" w16cid:durableId="596795255">
    <w:abstractNumId w:val="4"/>
  </w:num>
  <w:num w:numId="36" w16cid:durableId="746265780">
    <w:abstractNumId w:val="8"/>
  </w:num>
  <w:num w:numId="37" w16cid:durableId="574241621">
    <w:abstractNumId w:val="3"/>
  </w:num>
  <w:num w:numId="38" w16cid:durableId="1843425108">
    <w:abstractNumId w:val="2"/>
  </w:num>
  <w:num w:numId="39" w16cid:durableId="40787915">
    <w:abstractNumId w:val="1"/>
  </w:num>
  <w:num w:numId="40" w16cid:durableId="1700274731">
    <w:abstractNumId w:val="0"/>
  </w:num>
  <w:num w:numId="41" w16cid:durableId="1516655614">
    <w:abstractNumId w:val="10"/>
  </w:num>
  <w:num w:numId="42" w16cid:durableId="402946917">
    <w:abstractNumId w:val="10"/>
  </w:num>
  <w:num w:numId="43" w16cid:durableId="764497523">
    <w:abstractNumId w:val="10"/>
  </w:num>
  <w:num w:numId="44" w16cid:durableId="20157178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1/2025"/>
    <w:docVar w:name="dvlangue" w:val="BG"/>
    <w:docVar w:name="dvnumam" w:val="0"/>
    <w:docVar w:name="dvpe" w:val="769.908"/>
    <w:docVar w:name="dvrapporteur" w:val="Докладчик: "/>
    <w:docVar w:name="dvtitre" w:val="Резолюция на Европейския парламент от ... 2025 г. относно прилагането и рационализирането на правилата на вътрешния пазар на ЕС с цел укрепване на единния пазар(2025/2009(INI))"/>
  </w:docVars>
  <w:rsids>
    <w:rsidRoot w:val="0018567D"/>
    <w:rsid w:val="00002272"/>
    <w:rsid w:val="00064002"/>
    <w:rsid w:val="000677B9"/>
    <w:rsid w:val="000831BA"/>
    <w:rsid w:val="000A42CC"/>
    <w:rsid w:val="000E7DD9"/>
    <w:rsid w:val="0010095E"/>
    <w:rsid w:val="00125B37"/>
    <w:rsid w:val="0018567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127"/>
    <w:rsid w:val="005A3E7B"/>
    <w:rsid w:val="005C2568"/>
    <w:rsid w:val="005F1B17"/>
    <w:rsid w:val="006037C0"/>
    <w:rsid w:val="006631B6"/>
    <w:rsid w:val="00680577"/>
    <w:rsid w:val="006F74FA"/>
    <w:rsid w:val="00731ADD"/>
    <w:rsid w:val="00734777"/>
    <w:rsid w:val="0073668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07C"/>
    <w:rsid w:val="00A4678D"/>
    <w:rsid w:val="00A778C7"/>
    <w:rsid w:val="00A82A81"/>
    <w:rsid w:val="00AB441E"/>
    <w:rsid w:val="00AB6293"/>
    <w:rsid w:val="00AE0928"/>
    <w:rsid w:val="00AF3B82"/>
    <w:rsid w:val="00B12E95"/>
    <w:rsid w:val="00B22876"/>
    <w:rsid w:val="00B558F0"/>
    <w:rsid w:val="00BD0E74"/>
    <w:rsid w:val="00BD48FE"/>
    <w:rsid w:val="00BD7BD8"/>
    <w:rsid w:val="00BE6ADC"/>
    <w:rsid w:val="00C03EC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E37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EDA"/>
    <w:rsid w:val="00F87713"/>
    <w:rsid w:val="00FB4360"/>
    <w:rsid w:val="00FD0C70"/>
    <w:rsid w:val="00FD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BBA63"/>
  <w15:chartTrackingRefBased/>
  <w15:docId w15:val="{D8A00C53-90DC-4C07-9A6A-7D139906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5E3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D95E37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D95E37"/>
    <w:pPr>
      <w:spacing w:after="240"/>
      <w:jc w:val="center"/>
    </w:pPr>
  </w:style>
  <w:style w:type="character" w:customStyle="1" w:styleId="BoldItalic">
    <w:name w:val="BoldItalic"/>
    <w:uiPriority w:val="1"/>
    <w:rsid w:val="00D95E37"/>
    <w:rPr>
      <w:b/>
      <w:i/>
      <w:u w:val="none"/>
    </w:rPr>
  </w:style>
  <w:style w:type="character" w:customStyle="1" w:styleId="Italic">
    <w:name w:val="Italic"/>
    <w:uiPriority w:val="1"/>
    <w:rsid w:val="00D95E37"/>
    <w:rPr>
      <w:i/>
    </w:rPr>
  </w:style>
  <w:style w:type="paragraph" w:customStyle="1" w:styleId="Normal12a24b">
    <w:name w:val="Normal12a24b"/>
    <w:basedOn w:val="Normal"/>
    <w:rsid w:val="00D95E3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D95E3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5E37"/>
    <w:rPr>
      <w:i/>
      <w:iCs/>
    </w:rPr>
  </w:style>
  <w:style w:type="paragraph" w:styleId="Revision">
    <w:name w:val="Revision"/>
    <w:hidden/>
    <w:uiPriority w:val="99"/>
    <w:semiHidden/>
    <w:rsid w:val="00F82EDA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F82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6/679/oj" TargetMode="External"/><Relationship Id="rId2" Type="http://schemas.openxmlformats.org/officeDocument/2006/relationships/hyperlink" Target="https://www.weforum.org/stories/2024/09/wind-energy-permitting-processes-europe/" TargetMode="External"/><Relationship Id="rId1" Type="http://schemas.openxmlformats.org/officeDocument/2006/relationships/hyperlink" Target="https://documents1.worldbank.org/curated/en/600621587713071010/pdf/Doing-Business-in-the-European-Union-2020-Greece-Ireland-and-Ital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6041</Words>
  <Characters>38537</Characters>
  <Application>Microsoft Office Word</Application>
  <DocSecurity>0</DocSecurity>
  <Lines>1204</Lines>
  <Paragraphs>685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DIMITROV Cvetan</cp:lastModifiedBy>
  <cp:revision>2</cp:revision>
  <cp:lastPrinted>2004-11-19T15:42:00Z</cp:lastPrinted>
  <dcterms:created xsi:type="dcterms:W3CDTF">2025-10-13T13:08:00Z</dcterms:created>
  <dcterms:modified xsi:type="dcterms:W3CDTF">2025-10-13T13:08:00Z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A10-0151/2025</vt:lpwstr>
  </property>
  <property fmtid="{D5CDD505-2E9C-101B-9397-08002B2CF9AE}" pid="4" name="&lt;Type&gt;">
    <vt:lpwstr>RR</vt:lpwstr>
  </property>
</Properties>
</file>