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5AC9" w14:paraId="010AA2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0AB5C7" w14:textId="77777777" w:rsidR="00751A4A" w:rsidRPr="00A75AC9" w:rsidRDefault="00D86046" w:rsidP="0010095E">
            <w:pPr>
              <w:pStyle w:val="EPName"/>
            </w:pPr>
            <w:r w:rsidRPr="00A75AC9">
              <w:t>Evropský parlament</w:t>
            </w:r>
          </w:p>
          <w:p w14:paraId="2EEC84BC" w14:textId="77777777" w:rsidR="00751A4A" w:rsidRPr="00A75A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5AC9">
              <w:t>2024</w:t>
            </w:r>
            <w:r w:rsidR="00817416" w:rsidRPr="00A75AC9">
              <w:t>-202</w:t>
            </w:r>
            <w:r w:rsidRPr="00A75AC9">
              <w:t>9</w:t>
            </w:r>
          </w:p>
        </w:tc>
        <w:tc>
          <w:tcPr>
            <w:tcW w:w="2268" w:type="dxa"/>
            <w:shd w:val="clear" w:color="auto" w:fill="auto"/>
          </w:tcPr>
          <w:p w14:paraId="42ACFA49" w14:textId="77777777" w:rsidR="00751A4A" w:rsidRPr="00A75AC9" w:rsidRDefault="00187494" w:rsidP="0010095E">
            <w:pPr>
              <w:pStyle w:val="EPLogo"/>
            </w:pPr>
            <w:r w:rsidRPr="00A75AC9">
              <w:rPr>
                <w:noProof/>
                <w:lang w:eastAsia="ja-JP"/>
              </w:rPr>
              <w:drawing>
                <wp:inline distT="0" distB="0" distL="0" distR="0" wp14:anchorId="1163D7EB" wp14:editId="3E5F20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A9D24" w14:textId="77777777" w:rsidR="00D058B8" w:rsidRPr="00A75AC9" w:rsidRDefault="00D058B8" w:rsidP="004C5D52">
      <w:pPr>
        <w:pStyle w:val="LineTop"/>
      </w:pPr>
    </w:p>
    <w:p w14:paraId="1C6B16B1" w14:textId="77777777" w:rsidR="00680577" w:rsidRPr="00A75AC9" w:rsidRDefault="00D86046" w:rsidP="00680577">
      <w:pPr>
        <w:pStyle w:val="EPBodyTA1"/>
      </w:pPr>
      <w:r w:rsidRPr="00A75AC9">
        <w:t>PŘIJATÉ TEXTY</w:t>
      </w:r>
    </w:p>
    <w:p w14:paraId="53525483" w14:textId="77777777" w:rsidR="00D058B8" w:rsidRPr="00A75AC9" w:rsidRDefault="00D058B8" w:rsidP="00D058B8">
      <w:pPr>
        <w:pStyle w:val="LineBottom"/>
      </w:pPr>
    </w:p>
    <w:p w14:paraId="1880FD5F" w14:textId="53CE9F43" w:rsidR="00D86046" w:rsidRPr="0053508C" w:rsidRDefault="00D86046" w:rsidP="00D86046">
      <w:pPr>
        <w:pStyle w:val="ATHeading1"/>
      </w:pPr>
      <w:bookmarkStart w:id="0" w:name="TANumber"/>
      <w:r w:rsidRPr="0053508C">
        <w:t>P10_</w:t>
      </w:r>
      <w:proofErr w:type="gramStart"/>
      <w:r w:rsidRPr="0053508C">
        <w:t>TA(</w:t>
      </w:r>
      <w:proofErr w:type="gramEnd"/>
      <w:r w:rsidRPr="0053508C">
        <w:t>2025)0</w:t>
      </w:r>
      <w:r w:rsidR="00EC03D7">
        <w:t>197</w:t>
      </w:r>
      <w:bookmarkEnd w:id="0"/>
    </w:p>
    <w:p w14:paraId="2784E427" w14:textId="77777777" w:rsidR="00D86046" w:rsidRPr="0053508C" w:rsidRDefault="00D86046" w:rsidP="00D86046">
      <w:pPr>
        <w:pStyle w:val="ATHeading2"/>
      </w:pPr>
      <w:bookmarkStart w:id="1" w:name="title"/>
      <w:r w:rsidRPr="0053508C">
        <w:t>Provádění a zefektivnění pravidel vnitřního trhu EU s cílem posílit jednotný trh</w:t>
      </w:r>
      <w:bookmarkEnd w:id="1"/>
    </w:p>
    <w:p w14:paraId="30318050" w14:textId="77777777" w:rsidR="00D86046" w:rsidRPr="00A75AC9" w:rsidRDefault="00D86046" w:rsidP="00D86046">
      <w:pPr>
        <w:rPr>
          <w:i/>
          <w:vanish/>
        </w:rPr>
      </w:pPr>
      <w:r w:rsidRPr="00A75AC9">
        <w:rPr>
          <w:i/>
        </w:rPr>
        <w:fldChar w:fldCharType="begin"/>
      </w:r>
      <w:r w:rsidRPr="00A75AC9">
        <w:rPr>
          <w:i/>
        </w:rPr>
        <w:instrText xml:space="preserve"> TC"(</w:instrText>
      </w:r>
      <w:bookmarkStart w:id="2" w:name="DocNumber"/>
      <w:r w:rsidRPr="00A75AC9">
        <w:rPr>
          <w:i/>
        </w:rPr>
        <w:instrText>A10-0151/2025</w:instrText>
      </w:r>
      <w:bookmarkEnd w:id="2"/>
      <w:r w:rsidRPr="00A75AC9">
        <w:rPr>
          <w:i/>
        </w:rPr>
        <w:instrText xml:space="preserve"> - Zpravodajka: Anna-Maja </w:instrText>
      </w:r>
      <w:proofErr w:type="spellStart"/>
      <w:r w:rsidRPr="00A75AC9">
        <w:rPr>
          <w:i/>
        </w:rPr>
        <w:instrText>Henriksson</w:instrText>
      </w:r>
      <w:proofErr w:type="spellEnd"/>
      <w:r w:rsidRPr="00A75AC9">
        <w:rPr>
          <w:i/>
        </w:rPr>
        <w:instrText xml:space="preserve">)"\l3 \n&gt; \* MERGEFORMAT </w:instrText>
      </w:r>
      <w:r w:rsidRPr="00A75AC9">
        <w:rPr>
          <w:i/>
        </w:rPr>
        <w:fldChar w:fldCharType="end"/>
      </w:r>
    </w:p>
    <w:p w14:paraId="76145639" w14:textId="77777777" w:rsidR="00D86046" w:rsidRPr="00A75AC9" w:rsidRDefault="00D86046" w:rsidP="00D86046">
      <w:pPr>
        <w:rPr>
          <w:vanish/>
        </w:rPr>
      </w:pPr>
      <w:bookmarkStart w:id="3" w:name="Commission"/>
      <w:r w:rsidRPr="00A75AC9">
        <w:rPr>
          <w:vanish/>
        </w:rPr>
        <w:t>Výbor pro vnitřní trh a ochranu spotřebitelů</w:t>
      </w:r>
      <w:bookmarkEnd w:id="3"/>
    </w:p>
    <w:p w14:paraId="053CCEC2" w14:textId="77777777" w:rsidR="00D86046" w:rsidRPr="00A75AC9" w:rsidRDefault="00D86046" w:rsidP="00D86046">
      <w:pPr>
        <w:rPr>
          <w:vanish/>
        </w:rPr>
      </w:pPr>
      <w:bookmarkStart w:id="4" w:name="PE"/>
      <w:r w:rsidRPr="00A75AC9">
        <w:rPr>
          <w:vanish/>
        </w:rPr>
        <w:t>PE769.908</w:t>
      </w:r>
      <w:bookmarkEnd w:id="4"/>
    </w:p>
    <w:p w14:paraId="08D49A4F" w14:textId="77777777" w:rsidR="00D86046" w:rsidRPr="0053508C" w:rsidRDefault="00D86046" w:rsidP="00D86046">
      <w:pPr>
        <w:pStyle w:val="ATHeading3"/>
      </w:pPr>
      <w:bookmarkStart w:id="5" w:name="Sujet"/>
      <w:r w:rsidRPr="0053508C">
        <w:t>Usnesení Evropského parlamentu ze dne 11. září 2025 o provádění a zefektivnění pravidel vnitřního trhu EU s cílem posílit jednotný trh</w:t>
      </w:r>
      <w:bookmarkEnd w:id="5"/>
      <w:r w:rsidRPr="0053508C">
        <w:t xml:space="preserve"> </w:t>
      </w:r>
      <w:bookmarkStart w:id="6" w:name="References"/>
      <w:r w:rsidRPr="0053508C">
        <w:t>(2025/2009(INI))</w:t>
      </w:r>
      <w:bookmarkEnd w:id="6"/>
    </w:p>
    <w:p w14:paraId="5AB1922B" w14:textId="77777777" w:rsidR="00355A38" w:rsidRPr="00A75AC9" w:rsidRDefault="00355A38" w:rsidP="00355A38">
      <w:pPr>
        <w:pStyle w:val="EPComma"/>
      </w:pPr>
      <w:r w:rsidRPr="00A75AC9">
        <w:rPr>
          <w:rStyle w:val="Italic"/>
        </w:rPr>
        <w:t>Evropský parlament</w:t>
      </w:r>
      <w:r w:rsidRPr="00A75AC9">
        <w:t>,</w:t>
      </w:r>
    </w:p>
    <w:p w14:paraId="694157DB" w14:textId="05C5793C" w:rsidR="00355A38" w:rsidRPr="00A75AC9" w:rsidRDefault="00355A38" w:rsidP="00A75AC9">
      <w:pPr>
        <w:pStyle w:val="NormalHanging12a"/>
        <w:rPr>
          <w:szCs w:val="24"/>
        </w:rPr>
      </w:pPr>
      <w:r w:rsidRPr="00A75AC9">
        <w:t>–</w:t>
      </w:r>
      <w:r w:rsidRPr="00A75AC9">
        <w:tab/>
        <w:t>s ohle</w:t>
      </w:r>
      <w:r w:rsidRPr="00A75AC9">
        <w:rPr>
          <w:szCs w:val="24"/>
        </w:rPr>
        <w:t>dem na sdělení Komise ze dne 11. února 2025 s názvem „Pracovní program Komise na rok 2025 – Společná cesta do budoucna: odvážnější, jednodušší a rychlejší Unie“ (</w:t>
      </w:r>
      <w:proofErr w:type="gramStart"/>
      <w:r w:rsidR="00A75AC9" w:rsidRPr="0053508C">
        <w:t>COM(</w:t>
      </w:r>
      <w:proofErr w:type="gramEnd"/>
      <w:r w:rsidR="00A75AC9" w:rsidRPr="0053508C">
        <w:t>2025)0045</w:t>
      </w:r>
      <w:r w:rsidRPr="00A75AC9">
        <w:rPr>
          <w:szCs w:val="24"/>
        </w:rPr>
        <w:t>),</w:t>
      </w:r>
    </w:p>
    <w:p w14:paraId="0AD45D67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 ohledem na politické směry na funkční období Komise 2024–2029, které nově zvolená předsedkyně Komise předložila dne 18. července 2024,</w:t>
      </w:r>
    </w:p>
    <w:p w14:paraId="10100107" w14:textId="03C8AEF8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 ohledem na sdělení Komise ze dne 11. února 2025 s názvem „Evropa jednodušší a rychlejší: Sdělení o provádění a zjednodušování“ (</w:t>
      </w:r>
      <w:proofErr w:type="gramStart"/>
      <w:r w:rsidR="00A75AC9" w:rsidRPr="0053508C">
        <w:t>COM(</w:t>
      </w:r>
      <w:proofErr w:type="gramEnd"/>
      <w:r w:rsidR="00A75AC9" w:rsidRPr="0053508C">
        <w:t>2025)0047</w:t>
      </w:r>
      <w:r w:rsidRPr="00A75AC9">
        <w:rPr>
          <w:szCs w:val="24"/>
        </w:rPr>
        <w:t>),</w:t>
      </w:r>
    </w:p>
    <w:p w14:paraId="51041D65" w14:textId="44ED0E1A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 ohledem na sdělení Komise ze dne 29. ledna 2025 s názvem „Kompas konkurenceschopnosti pro EU“ (</w:t>
      </w:r>
      <w:proofErr w:type="gramStart"/>
      <w:r w:rsidR="00A75AC9" w:rsidRPr="0053508C">
        <w:t>COM(</w:t>
      </w:r>
      <w:proofErr w:type="gramEnd"/>
      <w:r w:rsidR="00A75AC9" w:rsidRPr="0053508C">
        <w:t>2025)0030</w:t>
      </w:r>
      <w:r w:rsidRPr="00A75AC9">
        <w:rPr>
          <w:szCs w:val="24"/>
        </w:rPr>
        <w:t>),</w:t>
      </w:r>
    </w:p>
    <w:p w14:paraId="25E879D8" w14:textId="5542C32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 ohledem na sdělení Komise ze dne 29. ledna 2025 s názvem „Výroční zpráva o jednotném trhu a konkurenceschopnosti pro rok 2025“ (</w:t>
      </w:r>
      <w:proofErr w:type="gramStart"/>
      <w:r w:rsidR="00A75AC9" w:rsidRPr="0053508C">
        <w:t>COM(</w:t>
      </w:r>
      <w:proofErr w:type="gramEnd"/>
      <w:r w:rsidR="00A75AC9" w:rsidRPr="0053508C">
        <w:t>2025)0026</w:t>
      </w:r>
      <w:r w:rsidRPr="00A75AC9">
        <w:rPr>
          <w:szCs w:val="24"/>
        </w:rPr>
        <w:t>),</w:t>
      </w:r>
    </w:p>
    <w:p w14:paraId="62971840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 xml:space="preserve">s ohledem na zprávu Maria </w:t>
      </w:r>
      <w:proofErr w:type="spellStart"/>
      <w:r w:rsidRPr="00A75AC9">
        <w:rPr>
          <w:szCs w:val="24"/>
        </w:rPr>
        <w:t>Draghiho</w:t>
      </w:r>
      <w:proofErr w:type="spellEnd"/>
      <w:r w:rsidRPr="00A75AC9">
        <w:rPr>
          <w:szCs w:val="24"/>
        </w:rPr>
        <w:t xml:space="preserve"> ze dne 9. září 2024 nazvanou „</w:t>
      </w:r>
      <w:proofErr w:type="spellStart"/>
      <w:r w:rsidRPr="00A75AC9">
        <w:rPr>
          <w:szCs w:val="24"/>
        </w:rPr>
        <w:t>The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future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of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European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competitiveness</w:t>
      </w:r>
      <w:proofErr w:type="spellEnd"/>
      <w:r w:rsidRPr="00A75AC9">
        <w:rPr>
          <w:szCs w:val="24"/>
        </w:rPr>
        <w:t>“ (Budoucnost evropské konkurenceschopnosti),</w:t>
      </w:r>
    </w:p>
    <w:p w14:paraId="598A45B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 xml:space="preserve">s ohledem na zprávu Enrica </w:t>
      </w:r>
      <w:proofErr w:type="spellStart"/>
      <w:r w:rsidRPr="00A75AC9">
        <w:rPr>
          <w:szCs w:val="24"/>
        </w:rPr>
        <w:t>Letty</w:t>
      </w:r>
      <w:proofErr w:type="spellEnd"/>
      <w:r w:rsidRPr="00A75AC9">
        <w:rPr>
          <w:szCs w:val="24"/>
        </w:rPr>
        <w:t xml:space="preserve"> ze dne 10. dubna 2024 nazvanou „Much more </w:t>
      </w:r>
      <w:proofErr w:type="spellStart"/>
      <w:r w:rsidRPr="00A75AC9">
        <w:rPr>
          <w:szCs w:val="24"/>
        </w:rPr>
        <w:t>than</w:t>
      </w:r>
      <w:proofErr w:type="spellEnd"/>
      <w:r w:rsidRPr="00A75AC9">
        <w:rPr>
          <w:szCs w:val="24"/>
        </w:rPr>
        <w:t xml:space="preserve"> a market“ (Mnohem více než jen trh),</w:t>
      </w:r>
    </w:p>
    <w:p w14:paraId="28A137A0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 xml:space="preserve">s ohledem na zprávu </w:t>
      </w:r>
      <w:proofErr w:type="spellStart"/>
      <w:r w:rsidRPr="00A75AC9">
        <w:rPr>
          <w:szCs w:val="24"/>
        </w:rPr>
        <w:t>Sauliho</w:t>
      </w:r>
      <w:proofErr w:type="spellEnd"/>
      <w:r w:rsidRPr="00A75AC9">
        <w:rPr>
          <w:rStyle w:val="Bold"/>
          <w:szCs w:val="24"/>
        </w:rPr>
        <w:t xml:space="preserve"> </w:t>
      </w:r>
      <w:proofErr w:type="spellStart"/>
      <w:r w:rsidRPr="00A75AC9">
        <w:rPr>
          <w:szCs w:val="24"/>
        </w:rPr>
        <w:t>Niinistöa</w:t>
      </w:r>
      <w:proofErr w:type="spellEnd"/>
      <w:r w:rsidRPr="00A75AC9">
        <w:rPr>
          <w:szCs w:val="24"/>
        </w:rPr>
        <w:t xml:space="preserve"> ze dne 30. října 2024 s názvem „</w:t>
      </w:r>
      <w:proofErr w:type="spellStart"/>
      <w:r w:rsidRPr="00A75AC9">
        <w:rPr>
          <w:szCs w:val="24"/>
        </w:rPr>
        <w:t>Safer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Together</w:t>
      </w:r>
      <w:proofErr w:type="spellEnd"/>
      <w:r w:rsidRPr="00A75AC9">
        <w:rPr>
          <w:szCs w:val="24"/>
        </w:rPr>
        <w:t xml:space="preserve"> – </w:t>
      </w:r>
      <w:proofErr w:type="spellStart"/>
      <w:r w:rsidRPr="00A75AC9">
        <w:rPr>
          <w:szCs w:val="24"/>
        </w:rPr>
        <w:t>Strengthening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Europe’s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Civilian</w:t>
      </w:r>
      <w:proofErr w:type="spellEnd"/>
      <w:r w:rsidRPr="00A75AC9">
        <w:rPr>
          <w:szCs w:val="24"/>
        </w:rPr>
        <w:t xml:space="preserve"> and </w:t>
      </w:r>
      <w:proofErr w:type="spellStart"/>
      <w:r w:rsidRPr="00A75AC9">
        <w:rPr>
          <w:szCs w:val="24"/>
        </w:rPr>
        <w:t>Military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Preparedness</w:t>
      </w:r>
      <w:proofErr w:type="spellEnd"/>
      <w:r w:rsidRPr="00A75AC9">
        <w:rPr>
          <w:szCs w:val="24"/>
        </w:rPr>
        <w:t xml:space="preserve"> and </w:t>
      </w:r>
      <w:proofErr w:type="spellStart"/>
      <w:r w:rsidRPr="00A75AC9">
        <w:rPr>
          <w:szCs w:val="24"/>
        </w:rPr>
        <w:t>Readiness</w:t>
      </w:r>
      <w:proofErr w:type="spellEnd"/>
      <w:r w:rsidRPr="00A75AC9">
        <w:rPr>
          <w:szCs w:val="24"/>
        </w:rPr>
        <w:t>“ (Společně bezpečnější – posílení civilní a vojenské připravenosti a pohotovosti Evropy),</w:t>
      </w:r>
    </w:p>
    <w:p w14:paraId="4BDFCD2A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lastRenderedPageBreak/>
        <w:t>–</w:t>
      </w:r>
      <w:r w:rsidRPr="00A75AC9">
        <w:rPr>
          <w:szCs w:val="24"/>
        </w:rPr>
        <w:tab/>
        <w:t>s ohledem na své usnesení ze dne 18. ledna 2023 o 30. výročí jednotného trhu: oslava úspěchů a výhled do budoucna</w:t>
      </w:r>
      <w:r w:rsidRPr="00A75AC9">
        <w:rPr>
          <w:rStyle w:val="FootnoteReference"/>
          <w:szCs w:val="24"/>
        </w:rPr>
        <w:footnoteReference w:id="1"/>
      </w:r>
      <w:r w:rsidRPr="00A75AC9">
        <w:rPr>
          <w:szCs w:val="24"/>
        </w:rPr>
        <w:t>,</w:t>
      </w:r>
    </w:p>
    <w:p w14:paraId="63CEAE81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 ohledem na článek 55 jednacího řádu,</w:t>
      </w:r>
    </w:p>
    <w:p w14:paraId="0B097A6F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–</w:t>
      </w:r>
      <w:r w:rsidRPr="00A75AC9">
        <w:rPr>
          <w:szCs w:val="24"/>
        </w:rPr>
        <w:tab/>
        <w:t>s ohledem na zprávu Výboru pro vnitřní trh a ochranu spotřebitelů (A10-0151/2025),</w:t>
      </w:r>
    </w:p>
    <w:p w14:paraId="05AAB990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A.</w:t>
      </w:r>
      <w:r w:rsidRPr="00A75AC9">
        <w:rPr>
          <w:szCs w:val="24"/>
        </w:rPr>
        <w:tab/>
        <w:t>vzhledem k tomu, že EU je s přibližně 450 miliony obyvatel jedním z největších hospodářských bloků na světě; vzhledem k tomu, že zajištění konkurenceschopného a zjednodušeného regulačního prostředí vhodného pro daný účel má zásadní význam pro posílení globálního postavení EU, podporu dlouhodobého růstu, důvěry a ochrany spotřebitelů a inovací a dokončení souběžné transformace;</w:t>
      </w:r>
    </w:p>
    <w:p w14:paraId="019D7680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B.</w:t>
      </w:r>
      <w:r w:rsidRPr="00A75AC9">
        <w:rPr>
          <w:szCs w:val="24"/>
        </w:rPr>
        <w:tab/>
        <w:t>vzhledem k tomu, že Komise stanovila cíle, podle nichž má do roku 2029 snížit administrativní náklady pro všechny společnosti o 25 % a pro malé a střední podniky o 35 %; vzhledem k tomu, že sdělení Komise nazvané „Evropa jednodušší a rychlejší“ upozorňuje na potřebu dosáhnout rychlého a viditelného zlepšení prostřednictvím inteligentnější regulace, účinnějšího provádění a lepšího zapojení zúčastněných stran; vzhledem k tomu, že toto úsilí by mělo být koncipováno tak, aby prospělo podnikům, spotřebitelům a společnosti obecně tím, že zlepší přístup na trh, sníží zbytečnou zátěž a zajistí rovné podmínky, a přitom bude naplňovat hlavní cíle politiky EU a vysoké sociální a environmentální standardy;</w:t>
      </w:r>
    </w:p>
    <w:p w14:paraId="10D7ADEC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C.</w:t>
      </w:r>
      <w:r w:rsidRPr="00A75AC9">
        <w:rPr>
          <w:szCs w:val="24"/>
        </w:rPr>
        <w:tab/>
        <w:t xml:space="preserve">vzhledem k tomu, že podle zpráv Maria </w:t>
      </w:r>
      <w:proofErr w:type="spellStart"/>
      <w:r w:rsidRPr="00A75AC9">
        <w:rPr>
          <w:szCs w:val="24"/>
        </w:rPr>
        <w:t>Draghiho</w:t>
      </w:r>
      <w:proofErr w:type="spellEnd"/>
      <w:r w:rsidRPr="00A75AC9">
        <w:rPr>
          <w:szCs w:val="24"/>
        </w:rPr>
        <w:t xml:space="preserve"> a Enrica </w:t>
      </w:r>
      <w:proofErr w:type="spellStart"/>
      <w:r w:rsidRPr="00A75AC9">
        <w:rPr>
          <w:szCs w:val="24"/>
        </w:rPr>
        <w:t>Letty</w:t>
      </w:r>
      <w:proofErr w:type="spellEnd"/>
      <w:r w:rsidRPr="00A75AC9">
        <w:rPr>
          <w:szCs w:val="24"/>
        </w:rPr>
        <w:t xml:space="preserve"> jsou hlavními překážkami konkurenceschopnosti jednotného trhu EU především roztříštěnost vnitřního trhu, regulační složitost a nekonzistentní provádění pravidel EU; vzhledem k tomu, že podle </w:t>
      </w:r>
      <w:proofErr w:type="spellStart"/>
      <w:r w:rsidRPr="00A75AC9">
        <w:rPr>
          <w:szCs w:val="24"/>
        </w:rPr>
        <w:t>Draghiho</w:t>
      </w:r>
      <w:proofErr w:type="spellEnd"/>
      <w:r w:rsidRPr="00A75AC9">
        <w:rPr>
          <w:szCs w:val="24"/>
        </w:rPr>
        <w:t xml:space="preserve"> zprávy by se mohla konkurenceschopnost EU zvýšit díky podpoře stabilnějšího a předvídatelnějšího regulačního prostředí se zaměřením na nezbytná a přiměřená legislativní opatření;</w:t>
      </w:r>
    </w:p>
    <w:p w14:paraId="3D37EAA9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D.</w:t>
      </w:r>
      <w:r w:rsidRPr="00A75AC9">
        <w:rPr>
          <w:szCs w:val="24"/>
        </w:rPr>
        <w:tab/>
        <w:t xml:space="preserve">vzhledem k tomu, že připomínky ke zjednodušení a posílení obranného průmyslu EU uvedené ve zprávě </w:t>
      </w:r>
      <w:proofErr w:type="spellStart"/>
      <w:r w:rsidRPr="00A75AC9">
        <w:rPr>
          <w:szCs w:val="24"/>
        </w:rPr>
        <w:t>Sauliho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Niinistöa</w:t>
      </w:r>
      <w:proofErr w:type="spellEnd"/>
      <w:r w:rsidRPr="00A75AC9">
        <w:rPr>
          <w:szCs w:val="24"/>
        </w:rPr>
        <w:t xml:space="preserve"> upozorňují na strategickou potřebu zefektivnit předpisy v klíčových odvětvích, a tím snížit roztříštěnost, urychlit zadávání veřejných zakázek a zlepšit dodávky, což </w:t>
      </w:r>
      <w:proofErr w:type="gramStart"/>
      <w:r w:rsidRPr="00A75AC9">
        <w:rPr>
          <w:szCs w:val="24"/>
        </w:rPr>
        <w:t>podpoří</w:t>
      </w:r>
      <w:proofErr w:type="gramEnd"/>
      <w:r w:rsidRPr="00A75AC9">
        <w:rPr>
          <w:szCs w:val="24"/>
        </w:rPr>
        <w:t xml:space="preserve"> obranný průmysl a členským státům umožní, aby splnily zásadně důležité cíle v oblasti výdajů na obranu a posílily bezpečnost a konkurenceschopnost EU;</w:t>
      </w:r>
    </w:p>
    <w:p w14:paraId="25323604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E.</w:t>
      </w:r>
      <w:r w:rsidRPr="00A75AC9">
        <w:rPr>
          <w:szCs w:val="24"/>
        </w:rPr>
        <w:tab/>
        <w:t xml:space="preserve">vzhledem k tomu, že výroční zpráva o jednotném trhu a konkurenceschopnosti pro rok 2025 a srovnávací přehled výsledků v oblasti jednotného trhu a konkurenceschopnosti přinášejí kriticky důležité informace o současném stavu jednotného trhu, podnikatelské náladě a konkurenceschopnosti jednotlivých odvětví; vzhledem k tomu, že odvětví služeb je i nadále méně integrované než odvětví zboží; vzhledem k tomu, že nedostatečná harmonizace nadále brání poskytování přeshraničních služeb, zejména ze strany malých a středních podniků; vzhledem k tomu, že nedávné statistiky ukazují, že </w:t>
      </w:r>
      <w:r w:rsidRPr="00A75AC9">
        <w:rPr>
          <w:szCs w:val="24"/>
        </w:rPr>
        <w:lastRenderedPageBreak/>
        <w:t>doba pro získání povolení k zahájení a provozování podnikání v EU je stále výrazně delší než v konkurenčních regionech, což vytváří překážky pro investice a inovace</w:t>
      </w:r>
      <w:r w:rsidRPr="00A75AC9">
        <w:rPr>
          <w:rStyle w:val="FootnoteReference"/>
          <w:szCs w:val="24"/>
        </w:rPr>
        <w:footnoteReference w:id="2"/>
      </w:r>
      <w:r w:rsidRPr="00A75AC9">
        <w:rPr>
          <w:szCs w:val="24"/>
        </w:rPr>
        <w:t xml:space="preserve">; </w:t>
      </w:r>
    </w:p>
    <w:p w14:paraId="124F06BB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F.</w:t>
      </w:r>
      <w:r w:rsidRPr="00A75AC9">
        <w:rPr>
          <w:szCs w:val="24"/>
        </w:rPr>
        <w:tab/>
        <w:t>vzhledem k tomu, že regulační roztříštěnost, složitost, překrývání a nekonzistentní provádění pravidel vnitřního trhu EU vede ke vzniku bezdůvodných překážek a zbytečné administrativní zátěže, které mají nepřiměřený dopad na malé a střední podniky, malé společnosti se střední tržní kapitalizací a startupy, které představují 99 % podniků v EU, což omezuje jejich schopnost inovovat, investovat, rozvíjet se, účinně konkurovat a provádět přeshraniční činnosti na jednotném trhu a na světových trzích; vzhledem k tomu, že test dopadů na malé a střední podniky a lepší provádění a zjednodušení pravidel EU, pokud je nezbytné a odůvodněné, jsou zásadně důležité pro zajištění proporcionality v právním rámci; vzhledem k tomu, že jak je zdůrazněno v </w:t>
      </w:r>
      <w:proofErr w:type="spellStart"/>
      <w:r w:rsidRPr="00A75AC9">
        <w:rPr>
          <w:szCs w:val="24"/>
        </w:rPr>
        <w:t>Draghiho</w:t>
      </w:r>
      <w:proofErr w:type="spellEnd"/>
      <w:r w:rsidRPr="00A75AC9">
        <w:rPr>
          <w:szCs w:val="24"/>
        </w:rPr>
        <w:t xml:space="preserve"> zprávě, rozdíl v konkurenceschopnosti EU je způsoben také menší výkonností velkých firem, a vzhledem k tomu, že úspěšné společnosti na vnitřním trhu, které rovněž zachycují hodnotu z globálních trhů, mají zásadní význam pro vytváření prosperity pro EU a její občany; </w:t>
      </w:r>
    </w:p>
    <w:p w14:paraId="7CC1EE2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G.</w:t>
      </w:r>
      <w:r w:rsidRPr="00A75AC9">
        <w:rPr>
          <w:szCs w:val="24"/>
        </w:rPr>
        <w:tab/>
        <w:t>vzhledem k tomu, že důsledné prosazování pravidel jednotného trhu, mimo jiné prostřednictvím rychlejších a efektivních řízení o porušení předpisů, by mělo být považováno za nezbytné pro zajištění spravedlivé hospodářské soutěže a důvěry podniků a pro ochranu spotřebitelů před důsledky roztříštěnosti trhu a omezeného výběru; vzhledem k tomu, že úsilí o zlepšení, zefektivnění a zjednodušení legislativního rámce EU by se mělo zaměřit také na zvýšení kvality, jasnosti a soudržnosti, na snížení roztříštěnosti při provádění pravidel EU a na zajištění toho, aby právní předpisy byly snadno srozumitelné pro orgány a všechny zúčastněné strany;</w:t>
      </w:r>
    </w:p>
    <w:p w14:paraId="36DA2D2E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H.</w:t>
      </w:r>
      <w:r w:rsidRPr="00A75AC9">
        <w:rPr>
          <w:szCs w:val="24"/>
        </w:rPr>
        <w:tab/>
        <w:t xml:space="preserve">vzhledem k tomu, že Kompas konkurenceschopnosti a pracovní program Komise na rok 2025 stanoví ambiciózní cíle politiky zaměřené na posílení odolnosti jednotného trhu, snížení administrativní zátěže a sladění regulačního rámce s celosvětovými osvědčenými postupy; vzhledem k tomu, že je důležité dále propojit průmyslovou strategii EU se strategií pro jednotný trh, aby se posílila konkurenceschopnost ekonomiky EU, mimo jiné podporou vývoje a zavádění čistých a strategických technologií; </w:t>
      </w:r>
    </w:p>
    <w:p w14:paraId="6B03FD79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I.</w:t>
      </w:r>
      <w:r w:rsidRPr="00A75AC9">
        <w:rPr>
          <w:szCs w:val="24"/>
        </w:rPr>
        <w:tab/>
        <w:t xml:space="preserve">vzhledem k tomu, že v rámci snah o zjednodušení regulačního prostředí na vnitřním trhu EU by měly být zohledňovány názory podniků, odborů, spotřebitelů, aktérů občanské společnosti, akademické obce a dalších dotčených zúčastněných stran, aby se zajistilo, že politiky EU budou podporovat hospodářský růst a kvalitní pracovní místa a vytvoří příznivé prostředí pro soukromé investice a inovace a pro dosažení cílů politiky, jako je udržitelnost, digitalizace a ochrana spotřebitele, prostřednictvím komplexních, transparentních a inkluzivních veřejných konzultací, se zvláštním zřetelem ke specifickým potřebám a perspektivám malých a středních podniků a startupů, jakož i dalších zúčastněných stran s omezenou kapacitou, aby se zajistilo, že </w:t>
      </w:r>
      <w:r w:rsidRPr="00A75AC9">
        <w:rPr>
          <w:szCs w:val="24"/>
        </w:rPr>
        <w:lastRenderedPageBreak/>
        <w:t>snahy o zjednodušení nebudou penalizovat subjekty v rané fázi, ani nebudou odstraňovat pobídky pro podniky založené na inovacích;</w:t>
      </w:r>
    </w:p>
    <w:p w14:paraId="131FFAE7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J.</w:t>
      </w:r>
      <w:r w:rsidRPr="00A75AC9">
        <w:rPr>
          <w:szCs w:val="24"/>
        </w:rPr>
        <w:tab/>
        <w:t xml:space="preserve">vzhledem k tomu, že bezdůvodné překážky volnému pohybu zboží a služeb v členských státech narušují fungování jednotného trhu, a proto je třeba je řešit a předcházet jim; vzhledem k tomu, že podle odhadu Mezinárodního měnového fondu jsou překážky na vnitřním trhu v EU ekvivalentní </w:t>
      </w:r>
      <w:proofErr w:type="gramStart"/>
      <w:r w:rsidRPr="00A75AC9">
        <w:rPr>
          <w:szCs w:val="24"/>
        </w:rPr>
        <w:t>45%</w:t>
      </w:r>
      <w:proofErr w:type="gramEnd"/>
      <w:r w:rsidRPr="00A75AC9">
        <w:rPr>
          <w:szCs w:val="24"/>
        </w:rPr>
        <w:t xml:space="preserve"> celním sazbám v oblasti výroby a 110% celním sazbám v oblasti služeb; vzhledem k tomu, že tato roztříštěnost oslabuje hospodářskou soutěž, brzdí produktivitu a růst a neúměrně postihuje malé a střední podniky;</w:t>
      </w:r>
    </w:p>
    <w:p w14:paraId="4CE931C8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K.</w:t>
      </w:r>
      <w:r w:rsidRPr="00A75AC9">
        <w:rPr>
          <w:szCs w:val="24"/>
        </w:rPr>
        <w:tab/>
        <w:t>vzhledem k tomu, že dopad územních omezení nabídky na jednotný trh, malé a střední podniky a kupní sílu evropských občanů je významný, neboť podle Komise stojí tato územní omezení nabídky spotřebitele v EU více než 14 miliard EUR ročně;</w:t>
      </w:r>
    </w:p>
    <w:p w14:paraId="29279289" w14:textId="77777777" w:rsidR="00355A38" w:rsidRPr="00A75AC9" w:rsidRDefault="00355A38" w:rsidP="0053508C">
      <w:pPr>
        <w:pStyle w:val="Normal12a24b"/>
        <w:spacing w:before="0"/>
        <w:rPr>
          <w:rStyle w:val="BoldItalic"/>
          <w:szCs w:val="24"/>
        </w:rPr>
      </w:pPr>
      <w:r w:rsidRPr="00A75AC9">
        <w:rPr>
          <w:rStyle w:val="BoldItalic"/>
          <w:szCs w:val="24"/>
        </w:rPr>
        <w:t>Posílení jednotného trhu na podporu konkurenceschopnosti EU a jejího celosvětového vlivu</w:t>
      </w:r>
    </w:p>
    <w:p w14:paraId="6E2D532E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1.</w:t>
      </w:r>
      <w:r w:rsidRPr="00A75AC9">
        <w:rPr>
          <w:szCs w:val="24"/>
        </w:rPr>
        <w:tab/>
        <w:t>zdůrazňuje, že EU zaostává v celosvětové konkurenceschopnosti, zejména v některých odvětvích; uznává, že mezi hlavní důvody, proč EU v oblasti investic, inovací, tvorby pracovních míst a podnikatelských příležitostí zaostává, patří nedostatečné provádění předpisů, regulační roztříštěnost a zbytečná administrativní zátěž; zdůrazňuje, že podpora, zefektivnění a zjednodušení pravidel a řádné a včasné provádění a účinné prosazování společných pravidel posilují jednotný trh, a podporují tak konkurenceschopnost, hospodářskou prosperitu, zaměstnanost, rozvoj dovedností, vysoce kvalitní pracovní místa, vysoké environmentální standardy a inovace;</w:t>
      </w:r>
    </w:p>
    <w:p w14:paraId="5BDCFB81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2.</w:t>
      </w:r>
      <w:r w:rsidRPr="00A75AC9">
        <w:rPr>
          <w:szCs w:val="24"/>
        </w:rPr>
        <w:tab/>
        <w:t xml:space="preserve">uznává, že má-li být v EU zajištěna prosperita, je nezbytné zvýšit regulační </w:t>
      </w:r>
      <w:proofErr w:type="spellStart"/>
      <w:r w:rsidRPr="00A75AC9">
        <w:rPr>
          <w:szCs w:val="24"/>
        </w:rPr>
        <w:t>koherentnost</w:t>
      </w:r>
      <w:proofErr w:type="spellEnd"/>
      <w:r w:rsidRPr="00A75AC9">
        <w:rPr>
          <w:szCs w:val="24"/>
        </w:rPr>
        <w:t xml:space="preserve"> a snížit zbytečnou administrativní zátěž podniků, zejména pak menších podniků a startupů; trvá proto na tom, že je třeba odstranit překážky, které v současné době brání růstu, vytváření pracovních míst a investicím, a zdroje nasměrovat na podporu inovací a růstu, a přitom zajistit rovné podmínky založené na vysokých sociálních a environmentálních standardech; zdůrazňuje, že je třeba uvolnit soukromé investice a věnovat zvláštní pozornost snížení nákladů na dodržování předpisů pro malé a střední podniky prostřednictvím digitálních nástrojů a cílených výjimek; zdůrazňuje, že ustanovení šitá na míru malým a středním podnikům musí jít ruku v ruce s reformami, které řeší přetrvávající překážky, jimž čelí podniky ve fázi rozvoje, a zároveň také musí větším společnostem umožnit, aby mohly fungovat za hranicemi a mezinárodně a soutěžit tam s jinými podniky;</w:t>
      </w:r>
    </w:p>
    <w:p w14:paraId="47A95E00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3.</w:t>
      </w:r>
      <w:r w:rsidRPr="00A75AC9">
        <w:rPr>
          <w:szCs w:val="24"/>
        </w:rPr>
        <w:tab/>
        <w:t xml:space="preserve">zdůrazňuje, že pro řádné fungování jednotného trhu a dosažení klíčových cílů politiky EU je zásadně důležitá zvýšená harmonizace, zefektivněné procesy a správné provádění právních předpisů EU, jejich efektivní uplatňování, dodržování, monitorování a prosazování; vítá cíle Komise, které mají podpořit konkurenceschopnost, inovace a produktivitu prostřednictvím zjednodušení, zefektivnění a lepšího provádění a prosazování pravidel EU; vyzývá Komisi, aby na základě doporučení uvedených ve zprávách Maria </w:t>
      </w:r>
      <w:proofErr w:type="spellStart"/>
      <w:r w:rsidRPr="00A75AC9">
        <w:rPr>
          <w:szCs w:val="24"/>
        </w:rPr>
        <w:t>Draghiho</w:t>
      </w:r>
      <w:proofErr w:type="spellEnd"/>
      <w:r w:rsidRPr="00A75AC9">
        <w:rPr>
          <w:szCs w:val="24"/>
        </w:rPr>
        <w:t xml:space="preserve">, Enrica </w:t>
      </w:r>
      <w:proofErr w:type="spellStart"/>
      <w:r w:rsidRPr="00A75AC9">
        <w:rPr>
          <w:szCs w:val="24"/>
        </w:rPr>
        <w:t>Letty</w:t>
      </w:r>
      <w:proofErr w:type="spellEnd"/>
      <w:r w:rsidRPr="00A75AC9">
        <w:rPr>
          <w:szCs w:val="24"/>
        </w:rPr>
        <w:t xml:space="preserve"> a </w:t>
      </w:r>
      <w:proofErr w:type="spellStart"/>
      <w:r w:rsidRPr="00A75AC9">
        <w:rPr>
          <w:szCs w:val="24"/>
        </w:rPr>
        <w:t>Sauliho</w:t>
      </w:r>
      <w:proofErr w:type="spellEnd"/>
      <w:r w:rsidRPr="00A75AC9">
        <w:rPr>
          <w:szCs w:val="24"/>
        </w:rPr>
        <w:t xml:space="preserve"> </w:t>
      </w:r>
      <w:proofErr w:type="spellStart"/>
      <w:r w:rsidRPr="00A75AC9">
        <w:rPr>
          <w:szCs w:val="24"/>
        </w:rPr>
        <w:t>Niinistöa</w:t>
      </w:r>
      <w:proofErr w:type="spellEnd"/>
      <w:r w:rsidRPr="00A75AC9">
        <w:rPr>
          <w:szCs w:val="24"/>
        </w:rPr>
        <w:t xml:space="preserve"> přijala konkrétní opatření a jasné harmonogramy;</w:t>
      </w:r>
    </w:p>
    <w:p w14:paraId="4788138C" w14:textId="77777777" w:rsidR="00355A38" w:rsidRPr="00A75AC9" w:rsidRDefault="00355A38" w:rsidP="0053508C">
      <w:pPr>
        <w:pStyle w:val="Normal12a24b"/>
        <w:spacing w:before="0"/>
        <w:rPr>
          <w:rStyle w:val="BoldItalic"/>
          <w:szCs w:val="24"/>
        </w:rPr>
      </w:pPr>
      <w:r w:rsidRPr="00A75AC9">
        <w:rPr>
          <w:rStyle w:val="BoldItalic"/>
          <w:szCs w:val="24"/>
        </w:rPr>
        <w:t>Zefektivněná pravidla, jejich lepší provádění a důsledné prosazování v zájmu předvídatelného a konkurenceschopného podnikatelského prostředí</w:t>
      </w:r>
    </w:p>
    <w:p w14:paraId="4A62AAC4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lastRenderedPageBreak/>
        <w:t>4.</w:t>
      </w:r>
      <w:r w:rsidRPr="00A75AC9">
        <w:rPr>
          <w:szCs w:val="24"/>
        </w:rPr>
        <w:tab/>
        <w:t>zdůrazňuje, že cílem regulačního zefektivnění a zjednodušení je usnadnit procesy pro dodržování předpisů a zároveň zachovat hlavní cíle politiky EU, zajistit, aby nebyly ohroženy sociální a environmentální standardy, digitální práva a ochrana spotřebitele, a zajistit stabilní a předvídatelné regulační prostředí pro podniky, které poskytne právní jasnost a jistotu pro všechny; zdůrazňuje, že konkurenceschopnost a inovace, zejména v souvislosti se stávající krizí životních nákladů, musí přinášet výsledky, které budou prospěšné pro spotřebitele; zdůrazňuje, že zjednodušení by mělo rovněž posílit dlouhodobé cíle EU, včetně digitalizace ekonomiky, ekologické transformace a ochrany spotřebitele, a zároveň zajistit technologickou neutralitu;</w:t>
      </w:r>
    </w:p>
    <w:p w14:paraId="463DF0ED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5.</w:t>
      </w:r>
      <w:r w:rsidRPr="00A75AC9">
        <w:rPr>
          <w:szCs w:val="24"/>
        </w:rPr>
        <w:tab/>
        <w:t>domnívá se, že za dobře fungující jednotný trh, kde jsou pravidla správně, koherentně a efektivně prováděna a prosazována, odpovídají společně orgány EU a členské státy; zdůrazňuje, že „</w:t>
      </w:r>
      <w:proofErr w:type="spellStart"/>
      <w:r w:rsidRPr="00A75AC9">
        <w:rPr>
          <w:szCs w:val="24"/>
        </w:rPr>
        <w:t>gold-plating</w:t>
      </w:r>
      <w:proofErr w:type="spellEnd"/>
      <w:r w:rsidRPr="00A75AC9">
        <w:rPr>
          <w:szCs w:val="24"/>
        </w:rPr>
        <w:t xml:space="preserve">“ směrnic EU a roztříštěné prosazování pravidel EU je i nadále překážkou pro jednotný trh, neboť nepřiměřeně zatěžuje malé a střední podniky a startupy; žádá Komisi, aby zajistila řádné prosazování pravidel EU </w:t>
      </w:r>
      <w:proofErr w:type="spellStart"/>
      <w:r w:rsidRPr="00A75AC9">
        <w:rPr>
          <w:szCs w:val="24"/>
        </w:rPr>
        <w:t>harmonizovaně</w:t>
      </w:r>
      <w:proofErr w:type="spellEnd"/>
      <w:r w:rsidRPr="00A75AC9">
        <w:rPr>
          <w:szCs w:val="24"/>
        </w:rPr>
        <w:t xml:space="preserve"> ve všech členských státech, aby se vyřešily přeshraniční překážky; naléhavě proto vyzývá členské státy, aby „</w:t>
      </w:r>
      <w:proofErr w:type="spellStart"/>
      <w:r w:rsidRPr="00A75AC9">
        <w:rPr>
          <w:szCs w:val="24"/>
        </w:rPr>
        <w:t>gold-plating</w:t>
      </w:r>
      <w:proofErr w:type="spellEnd"/>
      <w:r w:rsidRPr="00A75AC9">
        <w:rPr>
          <w:szCs w:val="24"/>
        </w:rPr>
        <w:t>“ řešily a zajistily, aby byla vnitrostátní prováděcí opatření zveřejňována transparentně a včas, a aby zabránily nejednotnému provádění právních předpisů EU, a přitom uznaly právo členských států zachovat nebo zavést vnitrostátní opatření za podmínek stanovených ve Smlouvách; vyzývá k posílení spolupráce mezi stávajícími orgány z různých členských států a mezi vnitrostátními regulačními orgány a regulačními orgány EU; vybízí Komisi, aby podporovala členské státy při harmonizování provádění právních předpisů EU tím, že bude dál podporovat strukturované výměny a vzájemné učení, mimo jiné pořádáním seminářů o provádění předpisů ve vnitrostátním právu a vývojem a používáním srovnávacích nástrojů a postupů;</w:t>
      </w:r>
    </w:p>
    <w:p w14:paraId="51509820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6.</w:t>
      </w:r>
      <w:r w:rsidRPr="00A75AC9">
        <w:rPr>
          <w:szCs w:val="24"/>
        </w:rPr>
        <w:tab/>
        <w:t xml:space="preserve">žádá Komisi, aby zajistila, aby stávající a budoucí právní předpisy byly i nadále přiměřené a zbytečně nezatěžovaly podniky, a aby zároveň zajistila, že dosáhnou svých cílů, a aby do svých příslušných legislativních iniciativ zahrnula ustanovení o včasném přezkumu, aniž by přitom vznikla další administrativní zátěž; domnívá se, že ustanovení o přezkumu by kromě celkové účinnosti právních předpisů měla sloužit ke specifickému posouzení dopadu právních předpisů na konkurenceschopnost EU a měla by být použita k posouzení potřeby revize těch příslušných legislativních aktů, které zbytečně brzdí konkurenceschopnost; doporučuje, aby tyto přezkumy posuzovaly také digitální připravenost právních předpisů a jejich schopnost přizpůsobit se inovacím; naléhavě vyzývá Komisi, aby stanovila a uplatňovala jasnou metodiku a jednoduchou základní linii pro snižování zátěže a pro měření a sledování pokroku při dosahování stanovených cílů, což umožní účinná opatření a odpovědnost; uznává, že dosažení smysluplného snížení administrativní zátěže je společnou odpovědností orgánů EU a členských států a že je třeba o něj usilovat a přitom plně dodržovat hlavní cíle politiky EU; vyzývá </w:t>
      </w:r>
      <w:proofErr w:type="spellStart"/>
      <w:r w:rsidRPr="00A75AC9">
        <w:rPr>
          <w:szCs w:val="24"/>
        </w:rPr>
        <w:t>spolunormotvůrce</w:t>
      </w:r>
      <w:proofErr w:type="spellEnd"/>
      <w:r w:rsidRPr="00A75AC9">
        <w:rPr>
          <w:szCs w:val="24"/>
        </w:rPr>
        <w:t>, aby zajistili, aby právní předpisy EU byly cílené, přiměřené a vhodné pro daný účel a aby zásady zlepšování právní úpravy byly dodržovány ve všech fázích cyklu politiky;</w:t>
      </w:r>
    </w:p>
    <w:p w14:paraId="1BE8F046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7.</w:t>
      </w:r>
      <w:r w:rsidRPr="00A75AC9">
        <w:rPr>
          <w:szCs w:val="24"/>
        </w:rPr>
        <w:tab/>
        <w:t xml:space="preserve">naléhavě vyzývá Komisi, aby u všech legislativních návrhů, včetně aktů v přenesené pravomoci a prováděcích aktů, připravila vysoce kvalitní posouzení dopadů, která jsou nedílnou součástí tvorby právních předpisů EU a jsou důležitá pro zajištění řádných právních aktů; zdůrazňuje, že tato posouzení dopadů by měla zohlednit kumulativní účinky předpisů a posoudit interoperabilitu mezi novými a stávajícími pravidly, zejména pokud jde o požadavky na podávání zpráv; trvá na tom, aby všechna posouzení </w:t>
      </w:r>
      <w:r w:rsidRPr="00A75AC9">
        <w:rPr>
          <w:szCs w:val="24"/>
        </w:rPr>
        <w:lastRenderedPageBreak/>
        <w:t>dopadů zahrnovala test konkurenceschopnosti, který posoudí specificky dopad na malé a střední podniky, startupy, podniky se střední tržní kapitalizací a na rychle rostoucí vznikající technologie; zdůrazňuje, že tento test konkurenceschopnosti by se měl systematicky uplatňovat na všechny relevantní legislativní návrhy, a to i s ohledem na jejich dopad napříč odvětvími a efekt přelévání do jiných členských států, a jeho zjištění by se měla brát v úvahu, jak je rovněž uvedeno v Kompasu konkurenceschopnosti pro EU; domnívá se, že Výbor pro kontrolu regulace hraje důležitou úlohu při zajišťování kvality posouzení dopadů, kontrol účelnosti a významných hodnocení prováděných Komisí, a zdůrazňuje, že musí jednat transparentně a musí mít prostředky a nezávislost, aby mohl provádět nestranný, důsledný a kvalitní přezkum všech posouzení dopadů a legislativních návrhů Komise a vyjadřovat obavy v případě chybějících posouzení dopadů; doporučuje posílit mandát tohoto výboru a jeho kapacitu prostřednictvím odpovídajících zdrojů, aby mohl plně a efektivně vykonávat své úkoly;</w:t>
      </w:r>
    </w:p>
    <w:p w14:paraId="52566F71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8.</w:t>
      </w:r>
      <w:r w:rsidRPr="00A75AC9">
        <w:rPr>
          <w:szCs w:val="24"/>
        </w:rPr>
        <w:tab/>
        <w:t xml:space="preserve">žádá, aby byla systematicky prováděna posouzení dopadů u důležitých pozměňovacích návrhů, které Parlament a Rada předkládají k návrhům Komise, jak se již </w:t>
      </w:r>
      <w:proofErr w:type="spellStart"/>
      <w:r w:rsidRPr="00A75AC9">
        <w:rPr>
          <w:szCs w:val="24"/>
        </w:rPr>
        <w:t>spolunormotvůrci</w:t>
      </w:r>
      <w:proofErr w:type="spellEnd"/>
      <w:r w:rsidRPr="00A75AC9">
        <w:rPr>
          <w:szCs w:val="24"/>
        </w:rPr>
        <w:t xml:space="preserve"> dohodli v roce 2016</w:t>
      </w:r>
      <w:r w:rsidRPr="00A75AC9">
        <w:rPr>
          <w:szCs w:val="24"/>
          <w:vertAlign w:val="superscript"/>
        </w:rPr>
        <w:footnoteReference w:id="3"/>
      </w:r>
      <w:r w:rsidRPr="00A75AC9">
        <w:rPr>
          <w:szCs w:val="24"/>
        </w:rPr>
        <w:t>, pokud to je vhodné a nezbytné pro legislativní proces, a to i s ohledem na harmonogram legislativního procesu; vyzývá k účinnému prosazování ustanovení interinstitucionální dohody o zdokonalení tvorby právních předpisů a navrhuje, aby Komise, Evropský parlament, Rada a členské státy dále rozvinuly a používaly metodiku pro posuzování dopadů a kontroly konkurenceschopnosti; zdůrazňuje, že odpovídající posouzení dopadu by mělo zahrnovat případné krátkodobé a dlouhodobé náklady a přínosy a uceleným a vyváženým způsobem a za použití kvalitativních i kvantitativních analýz posoudit ekonomické, environmentální a sociální dopady;</w:t>
      </w:r>
    </w:p>
    <w:p w14:paraId="58FE1CDD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9.</w:t>
      </w:r>
      <w:r w:rsidRPr="00A75AC9">
        <w:rPr>
          <w:szCs w:val="24"/>
        </w:rPr>
        <w:tab/>
        <w:t>domnívá se, že v zájmu zvýšení právní jasnosti a účinnosti je zásadně důležité zabránit překrývání a řešit nejasné definice a nesrovnalosti mezi různými právními akty, zejména pokud jde o právní předpisy týkající se jednotného trhu a vztahující se na zboží, služby a digitální technologie, a zároveň přihlédnout k jejich zvláštnostem; naléhavě vyzývá Komisi, aby hodnocení v těchto oblastech upřednostnila, a zajistila tak předvídatelný a soudržný právní rámec, který podnikům umožní dlouhodobé plánování a investice; zdůrazňuje, že účinné provádění, prosazování a jednotné uplatňování stávajícího právního rámce musí mít přednost před návrhy nových právních předpisů;</w:t>
      </w:r>
    </w:p>
    <w:p w14:paraId="27A629D2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10.</w:t>
      </w:r>
      <w:r w:rsidRPr="00A75AC9">
        <w:rPr>
          <w:szCs w:val="24"/>
        </w:rPr>
        <w:tab/>
        <w:t xml:space="preserve">naléhavě vyzývá Komisi, aby zajistila strukturovanější, transparentnější a inkluzivnější proces konzultací se zúčastněnými stranami, včetně přezkumu systému expertních skupin; vyzývá k přijetí opatření, která posílí zastoupení malých a středních podniků a startupů, a k tomu, aby konzultace byly přizpůsobeny potřebám malých a středních podniků a dalších zúčastněných stran s omezenými kapacitami, a to tím, že jim bude poskytnuta dostatečná lhůta na reakci a že se zlepší dostupnost, aby byly zajištěny inkluzivní a dobře informované rozhodovací procesy a zlepšila se kvalita pravidel jednotného trhu; zdůrazňuje, že pro prohloubení jednotného trhu a zajištění jeho účinného fungování, které odráží jeho rozmanitost, je zásadní větší zapojení zúčastněných stran, včetně odpovídajícího zeměpisného zastoupení; dále zdůrazňuje zásadní úlohu občanské společnosti v rozhodovacím procesu, která zajistí pluralitu názorů a spravedlivé a vyvážené zastoupení; podporuje zavedení pravidelných dialogů </w:t>
      </w:r>
      <w:r w:rsidRPr="00A75AC9">
        <w:rPr>
          <w:szCs w:val="24"/>
        </w:rPr>
        <w:lastRenderedPageBreak/>
        <w:t>o provádění, a to i se sociálními partnery;</w:t>
      </w:r>
    </w:p>
    <w:p w14:paraId="2C9F2778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11.</w:t>
      </w:r>
      <w:r w:rsidRPr="00A75AC9">
        <w:rPr>
          <w:szCs w:val="24"/>
        </w:rPr>
        <w:tab/>
        <w:t xml:space="preserve">vyzývá Komisi, aby vytvořila mechanismus, který stanoví jasné lhůty pro zveřejnění pokynů a donucovacích opatření před vstupem předpisu v platnost, aby se předešlo nejistotě v oblasti regulace a zpoždění při provádění; trvá na tom, aby byly tyto pokyny vypracovávány inkluzivně a vyváženě a aby sloužily jako nástroj usnadňující dodržování předpisů, a ne jako další zátěž; dále zdůrazňuje, že by měly být stručné a jasné, zejména pro malé a střední podniky; požaduje, aby se používání právních předpisů úrovně 2, jako jsou akty v přenesené pravomoci a prováděcí akty, omezilo na technické záležitosti, aby byly stanoveny jasné lhůty a dostatečné oznamovací lhůty pro hospodářské subjekty a aby byly v souladu s mandátem stanoveným </w:t>
      </w:r>
      <w:proofErr w:type="spellStart"/>
      <w:r w:rsidRPr="00A75AC9">
        <w:rPr>
          <w:szCs w:val="24"/>
        </w:rPr>
        <w:t>spolunormotvůrci</w:t>
      </w:r>
      <w:proofErr w:type="spellEnd"/>
      <w:r w:rsidRPr="00A75AC9">
        <w:rPr>
          <w:szCs w:val="24"/>
        </w:rPr>
        <w:t>;</w:t>
      </w:r>
    </w:p>
    <w:p w14:paraId="70B9F9B0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12.</w:t>
      </w:r>
      <w:r w:rsidRPr="00A75AC9">
        <w:rPr>
          <w:szCs w:val="24"/>
        </w:rPr>
        <w:tab/>
        <w:t>zdůrazňuje význam startupů a </w:t>
      </w:r>
      <w:proofErr w:type="spellStart"/>
      <w:r w:rsidRPr="00A75AC9">
        <w:rPr>
          <w:szCs w:val="24"/>
        </w:rPr>
        <w:t>scaleupů</w:t>
      </w:r>
      <w:proofErr w:type="spellEnd"/>
      <w:r w:rsidRPr="00A75AC9">
        <w:rPr>
          <w:szCs w:val="24"/>
        </w:rPr>
        <w:t xml:space="preserve"> pro podporu inovací a zajištění vedoucího postavení EU v kritických průmyslových odvětvích v budoucnosti; naléhavě vyzývá Komisi a </w:t>
      </w:r>
      <w:proofErr w:type="spellStart"/>
      <w:r w:rsidRPr="00A75AC9">
        <w:rPr>
          <w:szCs w:val="24"/>
        </w:rPr>
        <w:t>spolunormotvůrce</w:t>
      </w:r>
      <w:proofErr w:type="spellEnd"/>
      <w:r w:rsidRPr="00A75AC9">
        <w:rPr>
          <w:szCs w:val="24"/>
        </w:rPr>
        <w:t>, aby zajistili, aby budoucí předpisy byly koncipovány tak, aby podporovaly inovace a vždy dodržovaly vysoké standardy; navrhuje, aby byla do budoucích předpisů ovlivňujících inovativní odvětví tam, kde je to vhodné, zahrnuta regulační pískoviště, se zvláštním zaměřením na to, aby to mělo přínos pro malé a střední podniky a startupy; zasazuje se o zřízení „inovačních center EU“ ve všech členských státech;</w:t>
      </w:r>
    </w:p>
    <w:p w14:paraId="29ACBFA3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13.</w:t>
      </w:r>
      <w:r w:rsidRPr="00A75AC9">
        <w:rPr>
          <w:szCs w:val="24"/>
        </w:rPr>
        <w:tab/>
        <w:t xml:space="preserve">vítá jmenování komisaře pro provádění a zjednodušování; žádá, aby měl tento komisař odpovídající zdroje a autoritu, aby ve spolupráci se sborem komisařů zajistil řádné provádění a prosazování právních předpisů EU a odvětvové zjednodušení; naléhavě vyzývá všechny komisaře a komisařky, aby v rámci svých příslušných oblastí politiky systematicky posuzovali potřeby v oblasti zefektivnění a provádění a aby úzce spolupracovali a koordinovali tak, aby byla zajištěna </w:t>
      </w:r>
      <w:proofErr w:type="spellStart"/>
      <w:r w:rsidRPr="00A75AC9">
        <w:rPr>
          <w:szCs w:val="24"/>
        </w:rPr>
        <w:t>koherentnost</w:t>
      </w:r>
      <w:proofErr w:type="spellEnd"/>
      <w:r w:rsidRPr="00A75AC9">
        <w:rPr>
          <w:szCs w:val="24"/>
        </w:rPr>
        <w:t xml:space="preserve"> a dosaženy hmatatelné výsledky v oblasti zjednodušování a zefektivňování; vyzývá Komisi, aby dál předkládala návrhy na zjednodušení a zefektivnění právních předpisů v oblasti jednotného trhu tam, kde je to nezbytné a odůvodněné na základě posouzení dopadů; zdůrazňuje, že nové návrhy na zjednodušení by měly zlepšit regulační </w:t>
      </w:r>
      <w:proofErr w:type="spellStart"/>
      <w:r w:rsidRPr="00A75AC9">
        <w:rPr>
          <w:szCs w:val="24"/>
        </w:rPr>
        <w:t>koherentnost</w:t>
      </w:r>
      <w:proofErr w:type="spellEnd"/>
      <w:r w:rsidRPr="00A75AC9">
        <w:rPr>
          <w:szCs w:val="24"/>
        </w:rPr>
        <w:t xml:space="preserve"> a zachovat právní předvídatelnost pro společnosti a neměly by ohrožovat dohodnuté cíle politiky;</w:t>
      </w:r>
    </w:p>
    <w:p w14:paraId="63409CDD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14.</w:t>
      </w:r>
      <w:r w:rsidRPr="00A75AC9">
        <w:rPr>
          <w:szCs w:val="24"/>
        </w:rPr>
        <w:tab/>
        <w:t>konstatuje, že Komise sice zlepšila odhalování a nápravu případů porušení práva EU, ale prosazování pravidel EU a náprava porušení právních předpisů na jednotném trhu stále trvá příliš dlouho; vyzývá Komisi, aby si zachovala úlohu strážkyně Smluv tím, že bude plně využívat svých donucovacích pravomocí, včetně zahájení řízení o nesplnění povinnosti, je-li to nutné, aby zajistila včasné, důsledné a účinné prosazování pravidel jednotného trhu, a také tím, že přezkoumá svá řízení o nesplnění povinnosti, aby zajistila rychlejší, automatizovanější a předvídatelnější reakce; doporučuje rozšířit řízení o nesplnění povinnosti tak, aby řešila systémové porušování pravidel jednotného trhu; zdůrazňuje, že je třeba řešit roztříštěnost právních předpisů, která ohrožuje rovné podmínky a právní jistotu, ale přitom respektovat diskreční pravomoc členských států při provádění směrnic stanovenou Smlouvami;</w:t>
      </w:r>
    </w:p>
    <w:p w14:paraId="40CEC385" w14:textId="77777777" w:rsidR="00355A38" w:rsidRPr="00A75AC9" w:rsidRDefault="00355A38" w:rsidP="0053508C">
      <w:pPr>
        <w:pStyle w:val="Normal12a24b"/>
        <w:spacing w:before="0"/>
        <w:ind w:left="567" w:hanging="567"/>
        <w:rPr>
          <w:rStyle w:val="BoldItalic"/>
          <w:szCs w:val="24"/>
        </w:rPr>
      </w:pPr>
      <w:r w:rsidRPr="00A75AC9">
        <w:rPr>
          <w:rStyle w:val="BoldItalic"/>
          <w:szCs w:val="24"/>
        </w:rPr>
        <w:t>Uvolnění plného potenciálu jednotného trhu</w:t>
      </w:r>
    </w:p>
    <w:p w14:paraId="572F9B1C" w14:textId="77777777" w:rsidR="00355A38" w:rsidRPr="00A75AC9" w:rsidRDefault="00355A38" w:rsidP="0053508C">
      <w:pPr>
        <w:pStyle w:val="Normal12a24b"/>
        <w:spacing w:before="0"/>
        <w:ind w:left="567" w:hanging="567"/>
        <w:rPr>
          <w:bCs/>
          <w:iCs/>
          <w:szCs w:val="24"/>
        </w:rPr>
      </w:pPr>
      <w:r w:rsidRPr="00A75AC9">
        <w:rPr>
          <w:szCs w:val="24"/>
        </w:rPr>
        <w:t>15.</w:t>
      </w:r>
      <w:r w:rsidRPr="00A75AC9">
        <w:rPr>
          <w:szCs w:val="24"/>
        </w:rPr>
        <w:tab/>
        <w:t xml:space="preserve">vybízí Komisi a členské státy, aby účinněji využívaly stávající soubor nástrojů pro dodržování předpisů a spolupráci, a to soudržným způsobem; vyzývá v této souvislosti Komisi, aby posílila stávající nástroje pro vymáhání práva a spolupráci, jako jsou </w:t>
      </w:r>
      <w:r w:rsidRPr="00A75AC9">
        <w:rPr>
          <w:szCs w:val="24"/>
        </w:rPr>
        <w:lastRenderedPageBreak/>
        <w:t>SOLVIT, kontaktní místa pro výrobky a pracovní skupina pro prosazování pravidel jednotného trhu, s cílem řešit problémy související s fungováním jednotného trhu; dále vybízí Komisi, aby provedla soupis nástrojů, mechanismů a postupů používaných k vypracování legislativních a nelegislativních iniciativ a aby monitorovala a prosazovala dodržování právních předpisů EU s cílem zlepšit jejich soudržnost, odstranit zdvojování činností a konsolidovat a racionalizovat je, a aby na základě tohoto soupisu zvážila rozšíření stávajících sítí a nástrojů; naléhavě vyzývá donucovací orgány a příslušné orgány ve všech členských státech, aby posílily spolupráci a vzájemnou podporu s cílem řešit neodůvodněnou roztříštěnost právních předpisů a zajistit efektivnější, účelnější a harmonizovanější provádění pravidel jednotného trhu, a vyjadřuje podporu vytvoření koordinačních platforem na vnitrostátní úrovni, a usnadnit tak účinné a soudržné uplatňování a provádění pravidel EU;</w:t>
      </w:r>
    </w:p>
    <w:p w14:paraId="585E5A2F" w14:textId="77777777" w:rsidR="00355A38" w:rsidRPr="00A75AC9" w:rsidRDefault="00355A38" w:rsidP="0053508C">
      <w:pPr>
        <w:pStyle w:val="Normal12a24b"/>
        <w:spacing w:before="0"/>
        <w:ind w:left="567" w:hanging="567"/>
        <w:rPr>
          <w:iCs/>
          <w:szCs w:val="24"/>
        </w:rPr>
      </w:pPr>
      <w:r w:rsidRPr="00A75AC9">
        <w:rPr>
          <w:szCs w:val="24"/>
        </w:rPr>
        <w:t>16.</w:t>
      </w:r>
      <w:r w:rsidRPr="00A75AC9">
        <w:rPr>
          <w:szCs w:val="24"/>
        </w:rPr>
        <w:tab/>
        <w:t>zdůrazňuje, že pro uvolnění hospodářského potenciálu má zásadní význam volný pohyb služeb, přičemž konstatuje, že integrace v tomto odvětví je i nadále slabší než v odvětví zboží, a také nedostatečný přeshraniční rozměr služeb na jednotném trhu; zdůrazňuje tudíž, že je třeba zajistit jednotné uplatňování směrnice o službách</w:t>
      </w:r>
      <w:r w:rsidRPr="00A75AC9">
        <w:rPr>
          <w:iCs/>
          <w:szCs w:val="24"/>
          <w:vertAlign w:val="superscript"/>
        </w:rPr>
        <w:footnoteReference w:id="4"/>
      </w:r>
      <w:r w:rsidRPr="00A75AC9">
        <w:rPr>
          <w:szCs w:val="24"/>
        </w:rPr>
        <w:t>, jejímž prováděním se podařilo pouze částečně dosáhnout zamýšleného cíle kvůli přetrvávajícím neodůvodněným překážkám, které zatěžují zejména malé a střední podniky a vyskytují se v různých formách a omezují schopnost poskytovat služby přes hranice; bere na vědomí důležitou úlohu odvětví služeb v nedávno zveřejněné strategii pro jednotný trh; vyzývá k novým iniciativám a cíleným a účinným opatřením v klíčových odvětvích jednotného trhu, které by řešily přetrvávající neodůvodněné překážky a posílily integraci trhu, aniž by byly ohroženy sociální normy, a zároveň zachovaly regulační soudržnost a zabránily roztříštěnosti pravidel jednotného trhu;</w:t>
      </w:r>
    </w:p>
    <w:p w14:paraId="36B6B52F" w14:textId="77777777" w:rsidR="00355A38" w:rsidRPr="00A75AC9" w:rsidRDefault="00355A38" w:rsidP="00A75AC9">
      <w:pPr>
        <w:pStyle w:val="NormalHanging12a"/>
        <w:rPr>
          <w:bCs/>
          <w:iCs/>
          <w:szCs w:val="24"/>
          <w:shd w:val="clear" w:color="auto" w:fill="FFFFFF" w:themeFill="background1"/>
        </w:rPr>
      </w:pPr>
      <w:r w:rsidRPr="00A75AC9">
        <w:rPr>
          <w:szCs w:val="24"/>
          <w:shd w:val="clear" w:color="auto" w:fill="FFFFFF" w:themeFill="background1"/>
        </w:rPr>
        <w:t>17.</w:t>
      </w:r>
      <w:r w:rsidRPr="00A75AC9">
        <w:rPr>
          <w:szCs w:val="24"/>
          <w:shd w:val="clear" w:color="auto" w:fill="FFFFFF" w:themeFill="background1"/>
        </w:rPr>
        <w:tab/>
        <w:t>vyjadřuje politování nad tím, že oznamovací postup podle směrnice o službách není dostatečně využíván; vyzývá členské státy, aby zajistily systematické, včasné a transparentní uplatňování oznamovacích postupů podle směrnice o službách a směrnice o transparentnosti jednotného trhu</w:t>
      </w:r>
      <w:r w:rsidRPr="00A75AC9">
        <w:rPr>
          <w:rStyle w:val="FootnoteReference"/>
          <w:bCs/>
          <w:iCs/>
          <w:szCs w:val="24"/>
          <w:shd w:val="clear" w:color="auto" w:fill="FFFFFF" w:themeFill="background1"/>
        </w:rPr>
        <w:footnoteReference w:id="5"/>
      </w:r>
      <w:r w:rsidRPr="00A75AC9">
        <w:rPr>
          <w:szCs w:val="24"/>
          <w:shd w:val="clear" w:color="auto" w:fill="FFFFFF" w:themeFill="background1"/>
        </w:rPr>
        <w:t>;</w:t>
      </w:r>
    </w:p>
    <w:p w14:paraId="1A51AC6F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18.</w:t>
      </w:r>
      <w:r w:rsidRPr="00A75AC9">
        <w:rPr>
          <w:szCs w:val="24"/>
        </w:rPr>
        <w:tab/>
      </w:r>
      <w:r w:rsidRPr="00A75AC9">
        <w:rPr>
          <w:szCs w:val="24"/>
          <w:shd w:val="clear" w:color="auto" w:fill="FFFFFF" w:themeFill="background1"/>
        </w:rPr>
        <w:t>vyzývá Komisi, aby navrhla účinné legislativní a nelegislativní nástroje s cílem zabránit novým překážkám jednotného trhu, je-li to nezbytné a odůvodněné;</w:t>
      </w:r>
    </w:p>
    <w:p w14:paraId="4A50E86E" w14:textId="77777777" w:rsidR="00355A38" w:rsidRPr="00A75AC9" w:rsidRDefault="00355A38" w:rsidP="00A75AC9">
      <w:pPr>
        <w:pStyle w:val="NormalHanging12a"/>
        <w:rPr>
          <w:bCs/>
          <w:iCs/>
          <w:szCs w:val="24"/>
          <w:shd w:val="clear" w:color="auto" w:fill="FFFFFF" w:themeFill="background1"/>
        </w:rPr>
      </w:pPr>
      <w:r w:rsidRPr="00A75AC9">
        <w:rPr>
          <w:szCs w:val="24"/>
        </w:rPr>
        <w:t>19.</w:t>
      </w:r>
      <w:r w:rsidRPr="00A75AC9">
        <w:rPr>
          <w:szCs w:val="24"/>
        </w:rPr>
        <w:tab/>
        <w:t>vyzývá Komisi, aby prozkoumala různé metody řešení územních omezení nabídky, včetně z právního hlediska nevyžadovaných omezení, jako jsou nepřiměřené jazykové požadavky na označování výrobků, neboť představují přetrvávající překážky, které omezují hospodářskou soutěž a mají dopad na životní náklady;</w:t>
      </w:r>
    </w:p>
    <w:p w14:paraId="1CF19017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  <w:shd w:val="clear" w:color="auto" w:fill="FFFFFF" w:themeFill="background1"/>
        </w:rPr>
        <w:t>20</w:t>
      </w:r>
      <w:r w:rsidRPr="00A75AC9">
        <w:rPr>
          <w:szCs w:val="24"/>
        </w:rPr>
        <w:t>.</w:t>
      </w:r>
      <w:r w:rsidRPr="00A75AC9">
        <w:rPr>
          <w:szCs w:val="24"/>
        </w:rPr>
        <w:tab/>
      </w:r>
      <w:r w:rsidRPr="00A75AC9">
        <w:rPr>
          <w:szCs w:val="24"/>
          <w:shd w:val="clear" w:color="auto" w:fill="FFFFFF" w:themeFill="background1"/>
        </w:rPr>
        <w:t xml:space="preserve">konstatuje, že zjednodušení administrativních postupů, jako jsou procesy udělování licencí, certifikace a dodržování předpisů, je nezbytné pro snížení nákladů a právní </w:t>
      </w:r>
      <w:r w:rsidRPr="00A75AC9">
        <w:rPr>
          <w:szCs w:val="24"/>
          <w:shd w:val="clear" w:color="auto" w:fill="FFFFFF" w:themeFill="background1"/>
        </w:rPr>
        <w:lastRenderedPageBreak/>
        <w:t>nejistoty, zejména pro malé a střední podniky; zdůrazňuje, že zjednodušené postupy by malým a středním podnikům umožnily efektivně působit na jednotném trhu</w:t>
      </w:r>
      <w:r w:rsidRPr="00A75AC9">
        <w:rPr>
          <w:szCs w:val="24"/>
        </w:rPr>
        <w:t>;</w:t>
      </w:r>
    </w:p>
    <w:p w14:paraId="7A318ACF" w14:textId="76406B58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21.</w:t>
      </w:r>
      <w:r w:rsidRPr="00A75AC9">
        <w:rPr>
          <w:szCs w:val="24"/>
        </w:rPr>
        <w:tab/>
        <w:t>konstatuje, že nejednotnost při provádění, prosazování a koordinaci pravidel EU brání účinnému fungování jednotného trhu a mohlo by mít negativní dopady na volný pohyb pracovníků i odborníků; zdůrazňuje, že administrativní překážky a nejednotné uznávání kvalifikací mohou prohloubit nedostatek pracovních sil i dovedností a oslabit konkurenceschopnost EU; nabádá Komisi, aby pokračovala ve vyhodnocování uplatňování směrnice o uznávání odborných kvalifikací</w:t>
      </w:r>
      <w:r w:rsidRPr="00A75AC9">
        <w:rPr>
          <w:rStyle w:val="FootnoteReference"/>
          <w:iCs/>
          <w:szCs w:val="24"/>
        </w:rPr>
        <w:footnoteReference w:id="6"/>
      </w:r>
      <w:r w:rsidRPr="00A75AC9">
        <w:rPr>
          <w:szCs w:val="24"/>
        </w:rPr>
        <w:t xml:space="preserve"> ve všech členských státech a určila opatření k řešení nesrovnalostí v postupech jejich uznávání; zdůrazňuje potřebu zefektivněných a automatických postupů a zrychlených mechanismů pro usnadnění uznávání odborných kvalifikací, zejména v odvětvích, která se potýkají s nedostatkem pracovních sil; vyzývá Komisi k zajištění toho, aby pravidla jednotného trhu pro volný pohyb pracovníků byla v souladu se stávajícími sociálními normami v členských státech, a zároveň zdůrazňuje, že je důležité odstranit neodůvodněné překážky; důrazně podporuje digitalizaci formuláře A1, který je vyžadován na základě nařízení </w:t>
      </w:r>
      <w:r w:rsidR="00C17CED">
        <w:rPr>
          <w:szCs w:val="24"/>
        </w:rPr>
        <w:t xml:space="preserve">(ES) č. </w:t>
      </w:r>
      <w:r w:rsidRPr="00A75AC9">
        <w:rPr>
          <w:szCs w:val="24"/>
        </w:rPr>
        <w:t>883/20</w:t>
      </w:r>
      <w:r w:rsidR="00C17CED">
        <w:rPr>
          <w:szCs w:val="24"/>
        </w:rPr>
        <w:t>0</w:t>
      </w:r>
      <w:r w:rsidRPr="00A75AC9">
        <w:rPr>
          <w:szCs w:val="24"/>
        </w:rPr>
        <w:t>4</w:t>
      </w:r>
      <w:r w:rsidRPr="00A75AC9">
        <w:rPr>
          <w:rStyle w:val="FootnoteReference"/>
          <w:bCs/>
          <w:iCs/>
          <w:szCs w:val="24"/>
        </w:rPr>
        <w:footnoteReference w:id="7"/>
      </w:r>
      <w:r w:rsidRPr="00A75AC9">
        <w:rPr>
          <w:szCs w:val="24"/>
        </w:rPr>
        <w:t>, ve všech členských státech, aby se zjednodušily postupy pro přeshraniční poskytování služeb;</w:t>
      </w:r>
    </w:p>
    <w:p w14:paraId="59A719D7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22.</w:t>
      </w:r>
      <w:r w:rsidRPr="00A75AC9">
        <w:rPr>
          <w:szCs w:val="24"/>
        </w:rPr>
        <w:tab/>
        <w:t>domnívá se, že jednotný trh hraje klíčovou úlohu v čase krize, jednají-li členské státy koordinovaně; domnívá se v této souvislosti, že nedávno přijatý Akt pro odolnost a mimořádné situace na vnitřním trhu (IMERA)</w:t>
      </w:r>
      <w:r w:rsidRPr="00A75AC9">
        <w:rPr>
          <w:rStyle w:val="FootnoteReference"/>
          <w:bCs/>
          <w:iCs/>
          <w:szCs w:val="24"/>
        </w:rPr>
        <w:footnoteReference w:id="8"/>
      </w:r>
      <w:r w:rsidRPr="00A75AC9">
        <w:rPr>
          <w:szCs w:val="24"/>
        </w:rPr>
        <w:t xml:space="preserve"> bude mít velký význam pro zajištění takové koordinace, aby se předešlo nedostatku a zajistilo hladké fungování jednotného trhu, včetně volného pohybu základního zboží a služeb v celé EU;</w:t>
      </w:r>
    </w:p>
    <w:p w14:paraId="7A9723A5" w14:textId="77777777" w:rsidR="00355A38" w:rsidRPr="00A75AC9" w:rsidRDefault="00355A38" w:rsidP="00A75AC9">
      <w:pPr>
        <w:pStyle w:val="NormalHanging12a"/>
        <w:rPr>
          <w:iCs/>
          <w:szCs w:val="24"/>
        </w:rPr>
      </w:pPr>
      <w:r w:rsidRPr="00A75AC9">
        <w:rPr>
          <w:szCs w:val="24"/>
        </w:rPr>
        <w:t>23.</w:t>
      </w:r>
      <w:r w:rsidRPr="00A75AC9">
        <w:rPr>
          <w:szCs w:val="24"/>
        </w:rPr>
        <w:tab/>
        <w:t>připomíná význam společných norem pro fungování jednotného trhu; zdůrazňuje, že je důležité ochránit systém normalizace EU a zároveň jej v případě zjištění problémů zlepšit a zachovat jeho provozní integritu;</w:t>
      </w:r>
    </w:p>
    <w:p w14:paraId="133F6948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24.</w:t>
      </w:r>
      <w:r w:rsidRPr="00A75AC9">
        <w:rPr>
          <w:szCs w:val="24"/>
        </w:rPr>
        <w:tab/>
        <w:t xml:space="preserve">naléhavě vyzývá Komisi, aby identifikovala a snížila zbytečnou zátěž spojenou s podáváním zpráv, a to zavedením cílených opatření, jako je prodloužení intervalů podávání zpráv, odstranění nadbytečných povinností a zajištění proporcionality odvětvových požadavků, aniž by byly ohroženy cíle politiky, které mají požadavky provádět; opakuje, že je třeba zajistit, aby povinnosti podávat zprávy vyplývající z různých právních předpisů EU byly soudržné; zdůrazňuje, že je třeba uplatňovat zásadu „zelenou malým a středním podnikům“ v rámci přístupů přizpůsobených malým a středním podnikům a startupům, podporovat digitální podnikatelské prostředí zprostředkované důvěryhodnými digitálními identitami, bezpečnou výměnou údajů a právně uznávanými digitálními oznámeními; zdůrazňuje, že je důležité dodržovat </w:t>
      </w:r>
      <w:r w:rsidRPr="00A75AC9">
        <w:rPr>
          <w:szCs w:val="24"/>
        </w:rPr>
        <w:lastRenderedPageBreak/>
        <w:t xml:space="preserve">zásadu „pouze jednou“, aby se zjednodušily postupy pro dodržování předpisů, a opakuje, že je důležité harmonizovat formáty pro podávání zpráv a digitální rozhraní ve všech členských státech, je-li to proveditelné; zdůrazňuje, že odůvodněné a přiměřené požadavky na podávání zpráv jsou nezbytné k zajištění řádného sledování a dodržování přijatých pravidel, čímž se zajistí účinné prosazování a lepší sběr údajů pro vedení budoucích politických iniciativ; </w:t>
      </w:r>
    </w:p>
    <w:p w14:paraId="02B697D9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25.</w:t>
      </w:r>
      <w:r w:rsidRPr="00A75AC9">
        <w:rPr>
          <w:szCs w:val="24"/>
        </w:rPr>
        <w:tab/>
        <w:t xml:space="preserve">zdůrazňuje, že cílem nového legislativního rámce je zlepšit vnitřní trh se zbožím a posílit podmínky pro uvádění široké škály výrobků na trh EU; vyzývá Komisi, aby jej revidovala s cílem učinit jej odolným vůči budoucnosti a zajistit jeho přizpůsobivost vyvíjejícím se geopolitickým výzvám a požadavkům digitální a ekologické transformace, čímž se </w:t>
      </w:r>
      <w:proofErr w:type="gramStart"/>
      <w:r w:rsidRPr="00A75AC9">
        <w:rPr>
          <w:szCs w:val="24"/>
        </w:rPr>
        <w:t>zvýší</w:t>
      </w:r>
      <w:proofErr w:type="gramEnd"/>
      <w:r w:rsidRPr="00A75AC9">
        <w:rPr>
          <w:szCs w:val="24"/>
        </w:rPr>
        <w:t xml:space="preserve"> celková konkurenceschopnost jednotného trhu EU;</w:t>
      </w:r>
    </w:p>
    <w:p w14:paraId="31EC052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26.</w:t>
      </w:r>
      <w:r w:rsidRPr="00A75AC9">
        <w:rPr>
          <w:szCs w:val="24"/>
        </w:rPr>
        <w:tab/>
        <w:t>uznává záměr Komise navrhnout nový celounijní právní režim, tzv. „28. právní režim“, zaměřený na vytvoření podnikatelského prostředí, které podporuje růst a rozšiřování malých a středních podniků, včetně menších a inovativních společností, čímž se posílí konkurenceschopnost EU v globálním měřítku; konstatuje, že nový režim by mohl usnadnit rozvoj a zavádění nadcházející Evropské podnikatelské peněženky;</w:t>
      </w:r>
    </w:p>
    <w:p w14:paraId="468E47D1" w14:textId="77777777" w:rsidR="00355A38" w:rsidRPr="00A75AC9" w:rsidRDefault="00355A38" w:rsidP="0053508C">
      <w:pPr>
        <w:pStyle w:val="Normal12a24b"/>
        <w:spacing w:before="0"/>
        <w:ind w:left="567" w:hanging="567"/>
        <w:rPr>
          <w:rStyle w:val="BoldItalic"/>
          <w:szCs w:val="24"/>
        </w:rPr>
      </w:pPr>
      <w:r w:rsidRPr="00A75AC9">
        <w:rPr>
          <w:rStyle w:val="BoldItalic"/>
          <w:szCs w:val="24"/>
        </w:rPr>
        <w:t>Zavádění digitalizace a umělé inteligence pro růst a správu věcí veřejných</w:t>
      </w:r>
    </w:p>
    <w:p w14:paraId="5B65F291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27.</w:t>
      </w:r>
      <w:r w:rsidRPr="00A75AC9">
        <w:rPr>
          <w:szCs w:val="24"/>
        </w:rPr>
        <w:tab/>
        <w:t xml:space="preserve">vítá kontrolu účelnosti legislativního </w:t>
      </w:r>
      <w:proofErr w:type="spellStart"/>
      <w:r w:rsidRPr="00A75AC9">
        <w:rPr>
          <w:i/>
          <w:iCs/>
          <w:szCs w:val="24"/>
        </w:rPr>
        <w:t>acquis</w:t>
      </w:r>
      <w:proofErr w:type="spellEnd"/>
      <w:r w:rsidRPr="00A75AC9">
        <w:rPr>
          <w:szCs w:val="24"/>
        </w:rPr>
        <w:t xml:space="preserve"> v oblasti digitální politiky, kterou plánuje Komise; požaduje, aby ještě předtím, než je přijme, Komise zhodnotila a vyjasnila legislativní rámec a vzájemný vztah mezi stávajícími právními akty EU, jako je nařízení o digitálních službách</w:t>
      </w:r>
      <w:r w:rsidRPr="00A75AC9">
        <w:rPr>
          <w:bCs/>
          <w:iCs/>
          <w:szCs w:val="24"/>
          <w:vertAlign w:val="superscript"/>
        </w:rPr>
        <w:footnoteReference w:id="9"/>
      </w:r>
      <w:r w:rsidRPr="00A75AC9">
        <w:rPr>
          <w:szCs w:val="24"/>
        </w:rPr>
        <w:t>, obecné nařízení o ochraně osobních údajů</w:t>
      </w:r>
      <w:r w:rsidRPr="00A75AC9">
        <w:rPr>
          <w:bCs/>
          <w:iCs/>
          <w:szCs w:val="24"/>
          <w:vertAlign w:val="superscript"/>
        </w:rPr>
        <w:footnoteReference w:id="10"/>
      </w:r>
      <w:r w:rsidRPr="00A75AC9">
        <w:rPr>
          <w:szCs w:val="24"/>
        </w:rPr>
        <w:t>, akt o umělé inteligenci</w:t>
      </w:r>
      <w:r w:rsidRPr="00A75AC9">
        <w:rPr>
          <w:rStyle w:val="FootnoteReference"/>
          <w:bCs/>
          <w:iCs/>
          <w:szCs w:val="24"/>
        </w:rPr>
        <w:footnoteReference w:id="11"/>
      </w:r>
      <w:r w:rsidRPr="00A75AC9">
        <w:rPr>
          <w:szCs w:val="24"/>
        </w:rPr>
        <w:t>, nařízení o transparentnosti a cílení politické reklamy</w:t>
      </w:r>
      <w:r w:rsidRPr="00A75AC9">
        <w:rPr>
          <w:rStyle w:val="FootnoteReference"/>
          <w:szCs w:val="24"/>
        </w:rPr>
        <w:footnoteReference w:id="12"/>
      </w:r>
      <w:r w:rsidRPr="00A75AC9">
        <w:rPr>
          <w:szCs w:val="24"/>
        </w:rPr>
        <w:t>, směrnice o odpovědnosti za výrobky</w:t>
      </w:r>
      <w:r w:rsidRPr="00A75AC9">
        <w:rPr>
          <w:bCs/>
          <w:iCs/>
          <w:szCs w:val="24"/>
          <w:vertAlign w:val="superscript"/>
        </w:rPr>
        <w:footnoteReference w:id="13"/>
      </w:r>
      <w:r w:rsidRPr="00A75AC9">
        <w:rPr>
          <w:szCs w:val="24"/>
        </w:rPr>
        <w:t xml:space="preserve"> a pravidla elektronického obchodu a kybernetické bezpečnosti, a mezi těmito akty a budoucími legislativními iniciativami; trvá na tom, aby do tohoto procesu byly zapojeny regulační orgány, sítě vnitrostátních orgánů a zúčastněné strany, a zdůrazňuje, že výsledky tohoto mapování by měly sloužit </w:t>
      </w:r>
      <w:r w:rsidRPr="00A75AC9">
        <w:rPr>
          <w:szCs w:val="24"/>
        </w:rPr>
        <w:lastRenderedPageBreak/>
        <w:t xml:space="preserve">k identifikaci možných překrývajících se a protichůdných ustanovení a možných konfliktů v oblasti prosazování a k řešení těchto nedostatků; kromě toho by měl sloužit ke zlepšení koordinace mezi donucovacími orgány ve všech členských státech a vnitřními útvary Komise a ke zlepšení schopnosti podniků investovat a inovovat v EU; trvá na tom, aby Komise zajistila, aby všechny právní předpisy přijaté a prosazené ve funkčním období Komise 2019–2024 </w:t>
      </w:r>
      <w:r w:rsidRPr="00A75AC9">
        <w:rPr>
          <w:szCs w:val="24"/>
          <w:shd w:val="clear" w:color="auto" w:fill="FFFFFF" w:themeFill="background1"/>
        </w:rPr>
        <w:t>byly ve všech členských státech správně a důsledně zavedeny a uplatňovány</w:t>
      </w:r>
      <w:r w:rsidRPr="00A75AC9">
        <w:rPr>
          <w:szCs w:val="24"/>
        </w:rPr>
        <w:t>;</w:t>
      </w:r>
      <w:r w:rsidRPr="00A75AC9">
        <w:rPr>
          <w:szCs w:val="24"/>
          <w:shd w:val="clear" w:color="auto" w:fill="FFFFFF" w:themeFill="background1"/>
        </w:rPr>
        <w:t xml:space="preserve"> vyzývá Komisi, aby v případech, kdy je to nezbytné a odůvodněné na základě posouzení dopadů,</w:t>
      </w:r>
      <w:r w:rsidRPr="00A75AC9">
        <w:rPr>
          <w:szCs w:val="24"/>
        </w:rPr>
        <w:t xml:space="preserve"> zahrnula do plánovaného digitálního balíčku návrhy na zjednodušení, jejichž cílem je zvýšit soudržnost, právní jasnost a předvídatelnost pro všechny zúčastněné strany, aniž by byly ohroženy dohodnuté politické cíle; </w:t>
      </w:r>
    </w:p>
    <w:p w14:paraId="7117961D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28.</w:t>
      </w:r>
      <w:r w:rsidRPr="00A75AC9">
        <w:rPr>
          <w:szCs w:val="24"/>
        </w:rPr>
        <w:tab/>
        <w:t>bere na vědomí nadcházející zprávu Komise o vzájemném působení aktu o digitálních službách a dalších právních aktů a vyzývá Komisi, aby prostřednictvím této zprávy vyjasnila způsob, jakým toto nařízení interaguje s jinými právními akty, včetně toho, jak řešit možné překrývání, s cílem podpořit účinné provádění a prosazování souboru pravidel EU pro digitální služby a poskytnout právní jistotu poskytovatelům služeb, uživatelům, spotřebitelům a regulačním orgánům;</w:t>
      </w:r>
    </w:p>
    <w:p w14:paraId="30E6D6E3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29.</w:t>
      </w:r>
      <w:r w:rsidRPr="00A75AC9">
        <w:rPr>
          <w:szCs w:val="24"/>
        </w:rPr>
        <w:tab/>
        <w:t>zdůrazňuje, že digitální politika, zejména co se týče rozvíjejících se technologií nebo v souvislosti s velmi složitými technologiemi, by se měla řídit iterativním přístupem a také zohledňovat nástroje, jako je strukturovaný dialog s podniky a dalšími příslušnými zúčastněnými stranami, společná regulace a regulační pískoviště, aby se zajistila praktická a přiměřená pravidla připravovaná s ohledem na inovace, která v budoucnu obstojí, a zároveň aby se zabránilo nezamýšleným důsledkům a byl posouzen dopad a soudržnost nedávno přijatých právních aktů, než budou navrženy nové povinnosti; připomíná význam společných norem pro fungování digitálního jednotného trhu; zdůrazňuje význam vedoucího postavení EU v oblasti normalizace digitálních technologií, jakož i zásadní význam transatlantické a mezinárodní spolupráce v této oblasti pro zajištění technologické suverenity a globální konkurenceschopnosti, zejména v nově vznikajících oblastech, jako je umělá inteligence a cloudové služby;</w:t>
      </w:r>
    </w:p>
    <w:p w14:paraId="22CEA22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30.</w:t>
      </w:r>
      <w:r w:rsidRPr="00A75AC9">
        <w:rPr>
          <w:szCs w:val="24"/>
        </w:rPr>
        <w:tab/>
        <w:t>je si vědom toho, že digitalizace a umělá inteligence jsou klíčovými nástroji, které mají potenciál podnítit konkurenceschopnost EU, snížit administrativní zátěž a zefektivnit a automatizovat administrativní postupy, včetně požadavků na podávání zpráv, schvalování, povolování a dodržování předpisů, jakož i usnadnit vstup na trh a posuzování platných právních předpisů; zdůrazňuje, že je třeba podporovat zavádění těchto klíčových nástrojů, aby se zvýšila účinnost regulace, podpořilo lepší provádění a monitorování právních předpisů týkajících se jednotného trhu; konstatuje, že rozdílná úroveň digitalizace správních orgánů v členských státech představuje přeshraniční překážku;</w:t>
      </w:r>
    </w:p>
    <w:p w14:paraId="6C2F63EB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31.</w:t>
      </w:r>
      <w:r w:rsidRPr="00A75AC9">
        <w:rPr>
          <w:szCs w:val="24"/>
        </w:rPr>
        <w:tab/>
        <w:t xml:space="preserve">je přesvědčen, že elektronické nástroje a portály by měly být normou pro všechny požadavky na podávání zpráv a administrativní požadavky, a předpokládá jejich začlenění do digitálního „jednotného kontaktního místa“; vyzývá Komisi, aby prozkoumala proveditelnost takového digitálního „jednotného kontaktního místa“ rozšířením jednotné digitální brány s cílem umožnit zjednodušený přístup k informacím, správním postupům a asistenčním službám pro podniky a nabízet více on-line služeb občanům i společnostem, zejména malým a středním podnikům, využívat digitální veřejnou infrastrukturu, jako jsou peněženky digitální identity EU a nadcházející </w:t>
      </w:r>
      <w:r w:rsidRPr="00A75AC9">
        <w:rPr>
          <w:szCs w:val="24"/>
        </w:rPr>
        <w:lastRenderedPageBreak/>
        <w:t>Evropská podnikatelská peněženka, a zajistit soudržnost zefektivněním těchto nástrojů ve všech příslušných legislativních návrzích;</w:t>
      </w:r>
    </w:p>
    <w:p w14:paraId="71191F9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32.</w:t>
      </w:r>
      <w:r w:rsidRPr="00A75AC9">
        <w:rPr>
          <w:szCs w:val="24"/>
        </w:rPr>
        <w:tab/>
        <w:t>zdůrazňuje význam interoperability pro snížení administrativní zátěže, zejména potřebu zajistit, aby povinnosti podávání zpráv byly soudržné a snadno splnitelné, a vyzývá Komisi, aby pokračovala ve zkoumání způsobů, jak zlepšit a digitalizovat postupy podávání zpráv s cílem zlepšit sdílení informací a dodržování předpisů, aniž by byly společnosti nadměrně zatěžovány, včetně automatizovaného podávání zpráv mezi podniky a veřejnou správou; vítá technický systém založený na zásadě „pouze jednou“ jako klíčový nástroj umožňující automatizovanou přeshraniční výměnu údajů a snížení duplicitní zátěže podniků spojené s podáváním zpráv; zdůrazňuje, že veškeré požadavky, které vyžadují sdílení dat a podávání zpráv, by měly být koncipovány s ohledem na digitalizaci a měly by zajistit, aby se požadavky na sdílení dat a podávání zpráv mohly zakládat na datech a být automatizovány;</w:t>
      </w:r>
    </w:p>
    <w:p w14:paraId="6BDDA903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33.</w:t>
      </w:r>
      <w:r w:rsidRPr="00A75AC9">
        <w:rPr>
          <w:szCs w:val="24"/>
        </w:rPr>
        <w:tab/>
        <w:t>vyzývá Komisi, aby zefektivnila stávající digitální nástroje, které mají hospodářské subjekty a příslušné vnitrostátní orgány k dispozici pro oznamování a sdělování příslušných informací, jako jsou informace o nehodách, nápravných opatřeních a dalších údajích o bezpečnosti výrobků na jednotném trhu; zdůrazňuje, že by měl být vyvinut jednotný digitální nástroj, aby se zkrátil čas a snížily náklady a zvýšilo se dodržování a prosazování předpisů;</w:t>
      </w:r>
    </w:p>
    <w:p w14:paraId="31A9CB1B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34.</w:t>
      </w:r>
      <w:r w:rsidRPr="00A75AC9">
        <w:rPr>
          <w:szCs w:val="24"/>
        </w:rPr>
        <w:tab/>
        <w:t>vyzývá Komisi, aby zlepšila vývoj nástrojů pro zajištění dodržování předpisů, jako jsou kodexy správné praxe, tím, že zajistí, aby tyto nástroje zůstaly v mezích základních právních povinností, byly prakticky proveditelné pro společnosti všech velikostí a byly vypracovány na základě smysluplných a včasných konzultací se zúčastněnými stranami;</w:t>
      </w:r>
    </w:p>
    <w:p w14:paraId="59E19DC1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35.</w:t>
      </w:r>
      <w:r w:rsidRPr="00A75AC9">
        <w:rPr>
          <w:szCs w:val="24"/>
        </w:rPr>
        <w:tab/>
        <w:t>zdůrazňuje potřebu moderní a robustní digitální infrastruktury, která usnadní ambice EU v oblasti digitalizace a hraničních technologií; vyzývá k pokračujícím investicím do rozvoje „digitálních dálnic“, které zahrnují přeshraniční vysokorychlostní širokopásmové sítě, koridory 5G, bezpečnou cloudovou a </w:t>
      </w:r>
      <w:proofErr w:type="spellStart"/>
      <w:r w:rsidRPr="00A75AC9">
        <w:rPr>
          <w:szCs w:val="24"/>
        </w:rPr>
        <w:t>edgeovou</w:t>
      </w:r>
      <w:proofErr w:type="spellEnd"/>
      <w:r w:rsidRPr="00A75AC9">
        <w:rPr>
          <w:szCs w:val="24"/>
        </w:rPr>
        <w:t xml:space="preserve"> infrastrukturu, jakož i interoperabilní digitální veřejné služby;</w:t>
      </w:r>
    </w:p>
    <w:p w14:paraId="3F6DD1E0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36.</w:t>
      </w:r>
      <w:r w:rsidRPr="00A75AC9">
        <w:rPr>
          <w:szCs w:val="24"/>
        </w:rPr>
        <w:tab/>
        <w:t>vyzývá k harmonizovanému zavádění digitálního označování a digitálního pasu výrobku do právních předpisů EU o výrobcích; zdůrazňuje jejich potenciál snížit zátěž spojenou s dodržováním předpisů, zlepšit přístup spotřebitelů k přesným informacím a podpořit mnohojazyčnou interoperabilitu a zároveň zachovat možnost, aby výrobky určené pro spotřebitele byly doprovázeny základními informacemi týkajícími se bezpečnosti v tištěné podobě; naléhavě vyzývá Komisi, aby umožnila vypracovat společné normy a podrobné pokyny s cílem zabránit roztříštěnosti a usnadnit účast malých a středních podniků na přeshraničním obchodu;</w:t>
      </w:r>
    </w:p>
    <w:p w14:paraId="73195344" w14:textId="77777777" w:rsidR="00355A38" w:rsidRPr="00A75AC9" w:rsidRDefault="00355A38" w:rsidP="0053508C">
      <w:pPr>
        <w:pStyle w:val="Normal12a24b"/>
        <w:spacing w:before="0"/>
        <w:ind w:left="567" w:hanging="567"/>
        <w:rPr>
          <w:rStyle w:val="BoldItalic"/>
          <w:szCs w:val="24"/>
        </w:rPr>
      </w:pPr>
      <w:r w:rsidRPr="00A75AC9">
        <w:rPr>
          <w:rStyle w:val="BoldItalic"/>
          <w:szCs w:val="24"/>
        </w:rPr>
        <w:t>Zlepšení ochrany spotřebitele v digitálním věku</w:t>
      </w:r>
    </w:p>
    <w:p w14:paraId="2D9C5030" w14:textId="77777777" w:rsidR="00355A38" w:rsidRPr="00A75AC9" w:rsidRDefault="00355A38" w:rsidP="0053508C">
      <w:pPr>
        <w:pStyle w:val="Normal12a24b"/>
        <w:spacing w:before="0"/>
        <w:ind w:left="567" w:hanging="567"/>
        <w:rPr>
          <w:szCs w:val="24"/>
        </w:rPr>
      </w:pPr>
      <w:r w:rsidRPr="00A75AC9">
        <w:rPr>
          <w:szCs w:val="24"/>
        </w:rPr>
        <w:t>37.</w:t>
      </w:r>
      <w:r w:rsidRPr="00A75AC9">
        <w:rPr>
          <w:szCs w:val="24"/>
        </w:rPr>
        <w:tab/>
        <w:t xml:space="preserve">zdůrazňuje, že zefektivnění právních předpisů na ochranu spotřebitele by nemělo snížit současnou vysokou úroveň ochrany spotřebitele napříč EU; je si vědom toho, že při posilování pravidel na ochranu spotřebitele a jejich přizpůsobení nové technologické realitě a realitě v oblasti udržitelnosti bylo dosaženo výrazného pokroku; zdůrazňuje potřebu dalšího posílení ochrany spotřebitele, jako např. v oblasti elektronického obchodu, pokud jde o nepravdivé nebo zavádějící informace o výrobku; zdůrazňuje, že je důležité účinné prosazování a důkladná analýza právních předpisů na ochranu </w:t>
      </w:r>
      <w:r w:rsidRPr="00A75AC9">
        <w:rPr>
          <w:szCs w:val="24"/>
        </w:rPr>
        <w:lastRenderedPageBreak/>
        <w:t>spotřebitele a jejich dopadu; trvá na tom, že nové legislativní iniciativy by se měly zaměřit na odstranění mezer ve stávajících právních předpisech nebo na řešení nových opodstatněných problémů, které stávající právní rámec neřeší;</w:t>
      </w:r>
    </w:p>
    <w:p w14:paraId="60BD1E46" w14:textId="77777777" w:rsidR="00355A38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38.</w:t>
      </w:r>
      <w:r w:rsidRPr="00A75AC9">
        <w:rPr>
          <w:szCs w:val="24"/>
        </w:rPr>
        <w:tab/>
        <w:t>zdůrazňuje, že rychlý rozmach digitálních platforem a elektronického obchodu přinesl novou dynamiku trhu a vytvořil pokročilé příležitosti i výzvy a rizika pro uživatele; uznává, že akt o digitálních trzích</w:t>
      </w:r>
      <w:r w:rsidRPr="00A75AC9">
        <w:rPr>
          <w:rStyle w:val="FootnoteReference"/>
          <w:szCs w:val="24"/>
        </w:rPr>
        <w:footnoteReference w:id="14"/>
      </w:r>
      <w:r w:rsidRPr="00A75AC9">
        <w:rPr>
          <w:szCs w:val="24"/>
        </w:rPr>
        <w:t xml:space="preserve"> a akt o digitálních službách představují důležité legislativní nástroje zajišťující spravedlivou hospodářskou soutěž, soutěživost a spravedlnost v rámci digitálních platforem a zároveň podporující bezpečnější, důvěryhodnější a transparentnější digitální prostředí a ochranu spotřebitelů v digitální ekonomice, a vyzývá k řádnému prosazování těchto technických právních předpisů s cílem zajistit skutečnou, nezávislou a informovanou volbu a ochranu spotřebitelů a spravedlivou hospodářskou soutěž;</w:t>
      </w:r>
    </w:p>
    <w:p w14:paraId="523F3F4A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39.</w:t>
      </w:r>
      <w:r w:rsidRPr="00A75AC9">
        <w:rPr>
          <w:szCs w:val="24"/>
        </w:rPr>
        <w:tab/>
        <w:t>znovu potvrzuje, že právní předpisy na ochranu spotřebitele by měly zůstat založeny především na zásadách a měly by být napříč různými právními nástroji soudržné, ale měly by rovněž umožňovat v případě potřeby konkrétnější ustanovení, je-li to třeba v zájmu právní jistoty pro podniky i spotřebitele; zdůrazňuje, že je důležité vyhnout se nadměrným nebo nadbytečným informačním povinnostem, které mohou podnikům ukládat zbytečnou zátěž, aniž by zlepšily porozumění spotřebitelů; vyzývá k zavedení přiměřených a účelových povinností, co se týče informací pro spotřebitele; konstatuje, že podle hodnotící zprávy o spotřebitelských podmínkách z roku 2025 si většina spotřebitelů není vědoma svých práv; vyzývá Komisi a členské státy, aby připravily kampaně na zvýšení informovanosti spotřebitelů;</w:t>
      </w:r>
    </w:p>
    <w:p w14:paraId="5F6BEE3F" w14:textId="77777777" w:rsidR="00355A38" w:rsidRPr="00A75AC9" w:rsidRDefault="00355A38" w:rsidP="00A75AC9">
      <w:pPr>
        <w:pStyle w:val="NormalHanging12a"/>
        <w:rPr>
          <w:bCs/>
          <w:iCs/>
          <w:szCs w:val="24"/>
        </w:rPr>
      </w:pPr>
      <w:r w:rsidRPr="00A75AC9">
        <w:rPr>
          <w:szCs w:val="24"/>
        </w:rPr>
        <w:t>40.</w:t>
      </w:r>
      <w:r w:rsidRPr="00A75AC9">
        <w:rPr>
          <w:szCs w:val="24"/>
        </w:rPr>
        <w:tab/>
        <w:t>naléhavě vyzývá Komisi, aby využívala digitální nástroje ke zvýšení transparentnosti a důvěry spotřebitelů v přeshraniční transakce; vyzývá k účinnému prosazování mechanismů pro odškodnění spotřebitelů – včetně mechanismů kolektivního odškodnění – a k plnému prosazování práv spotřebitelů v EU, a to i prostřednictvím přezkumu nařízení o spolupráci v oblasti ochrany spotřebitele</w:t>
      </w:r>
      <w:r w:rsidRPr="00A75AC9">
        <w:rPr>
          <w:rStyle w:val="FootnoteReference"/>
          <w:szCs w:val="24"/>
        </w:rPr>
        <w:footnoteReference w:id="15"/>
      </w:r>
      <w:r w:rsidRPr="00A75AC9">
        <w:rPr>
          <w:szCs w:val="24"/>
        </w:rPr>
        <w:t>, se zaměřením na zlepšení přeshraničního prosazování; dále zdůrazňuje význam přezkumu nařízení o spolupráci v oblasti ochrany spotřebitele s cílem zlepšit přeshraniční prosazování předpisů a řešit nekalé chování, zejména ze strany obchodníků ze zemí mimo EU; konstatuje, že je důležité posílit spolupráci mezi různými příslušnými orgány členských států, a to i prostřednictvím koordinovaných projektů společného prosazování práva a zefektivnění výměny informací;</w:t>
      </w:r>
    </w:p>
    <w:p w14:paraId="4BDF8709" w14:textId="77777777" w:rsidR="00A75AC9" w:rsidRPr="00A75AC9" w:rsidRDefault="00A75AC9" w:rsidP="0053508C">
      <w:pPr>
        <w:pStyle w:val="NormalCenter12a"/>
        <w:widowControl/>
        <w:ind w:left="567" w:hanging="567"/>
        <w:rPr>
          <w:szCs w:val="24"/>
        </w:rPr>
      </w:pPr>
      <w:r w:rsidRPr="00A75AC9">
        <w:rPr>
          <w:szCs w:val="24"/>
        </w:rPr>
        <w:t>°</w:t>
      </w:r>
    </w:p>
    <w:p w14:paraId="42A4EEDD" w14:textId="77777777" w:rsidR="00A75AC9" w:rsidRPr="00A75AC9" w:rsidRDefault="00A75AC9" w:rsidP="0053508C">
      <w:pPr>
        <w:pStyle w:val="NormalCenter12a"/>
        <w:widowControl/>
        <w:ind w:left="567" w:hanging="567"/>
        <w:rPr>
          <w:szCs w:val="24"/>
        </w:rPr>
      </w:pPr>
      <w:r w:rsidRPr="00A75AC9">
        <w:rPr>
          <w:szCs w:val="24"/>
        </w:rPr>
        <w:t>°     °</w:t>
      </w:r>
    </w:p>
    <w:p w14:paraId="2DB2CDFF" w14:textId="7CEFF3DE" w:rsidR="006319D5" w:rsidRPr="00A75AC9" w:rsidRDefault="00355A38" w:rsidP="00A75AC9">
      <w:pPr>
        <w:pStyle w:val="NormalHanging12a"/>
        <w:rPr>
          <w:szCs w:val="24"/>
        </w:rPr>
      </w:pPr>
      <w:r w:rsidRPr="00A75AC9">
        <w:rPr>
          <w:szCs w:val="24"/>
        </w:rPr>
        <w:t>41.</w:t>
      </w:r>
      <w:r w:rsidRPr="00A75AC9">
        <w:rPr>
          <w:szCs w:val="24"/>
        </w:rPr>
        <w:tab/>
        <w:t>pověřuje svou předsedkyni, aby předala toto usnesení Radě a Komisi.</w:t>
      </w:r>
    </w:p>
    <w:p w14:paraId="4DB802E8" w14:textId="6FA2A888" w:rsidR="00E365E1" w:rsidRPr="00A75AC9" w:rsidRDefault="00E365E1" w:rsidP="0053508C">
      <w:pPr>
        <w:spacing w:after="240"/>
        <w:ind w:left="567" w:hanging="567"/>
        <w:rPr>
          <w:szCs w:val="24"/>
        </w:rPr>
      </w:pPr>
    </w:p>
    <w:sectPr w:rsidR="00E365E1" w:rsidRPr="00A75AC9" w:rsidSect="006319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6A07F" w14:textId="77777777" w:rsidR="00D86046" w:rsidRPr="006319D5" w:rsidRDefault="00D86046">
      <w:r w:rsidRPr="006319D5">
        <w:separator/>
      </w:r>
    </w:p>
  </w:endnote>
  <w:endnote w:type="continuationSeparator" w:id="0">
    <w:p w14:paraId="73329701" w14:textId="77777777" w:rsidR="00D86046" w:rsidRPr="006319D5" w:rsidRDefault="00D86046">
      <w:r w:rsidRPr="006319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4BE0" w14:textId="77777777" w:rsidR="00064002" w:rsidRPr="006319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4B0F" w14:textId="77777777" w:rsidR="00064002" w:rsidRPr="006319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AF17" w14:textId="77777777" w:rsidR="00064002" w:rsidRPr="006319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1EFC" w14:textId="77777777" w:rsidR="00D86046" w:rsidRPr="006319D5" w:rsidRDefault="00D86046">
      <w:r w:rsidRPr="006319D5">
        <w:separator/>
      </w:r>
    </w:p>
  </w:footnote>
  <w:footnote w:type="continuationSeparator" w:id="0">
    <w:p w14:paraId="56C8D701" w14:textId="77777777" w:rsidR="00D86046" w:rsidRPr="006319D5" w:rsidRDefault="00D86046">
      <w:r w:rsidRPr="006319D5">
        <w:continuationSeparator/>
      </w:r>
    </w:p>
  </w:footnote>
  <w:footnote w:id="1">
    <w:p w14:paraId="61D717E5" w14:textId="08E69321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>. C 214, 16.6.2023, s. 8.</w:t>
      </w:r>
    </w:p>
  </w:footnote>
  <w:footnote w:id="2">
    <w:p w14:paraId="2B8776F1" w14:textId="60F10B6F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hyperlink r:id="rId1" w:history="1">
        <w:r w:rsidRPr="006319D5">
          <w:rPr>
            <w:rStyle w:val="Hyperlink"/>
            <w:sz w:val="24"/>
            <w:lang w:val="cs-CZ"/>
          </w:rPr>
          <w:t>https://single-market-economy.ec.europa.eu/publications/2025-annual-single-market-and-competitiveness-report_en</w:t>
        </w:r>
      </w:hyperlink>
      <w:r w:rsidRPr="006319D5">
        <w:rPr>
          <w:sz w:val="24"/>
          <w:lang w:val="cs-CZ"/>
        </w:rPr>
        <w:t>;</w:t>
      </w:r>
      <w:r w:rsidR="00C823D4">
        <w:rPr>
          <w:sz w:val="24"/>
          <w:lang w:val="cs-CZ"/>
        </w:rPr>
        <w:t xml:space="preserve"> </w:t>
      </w:r>
      <w:hyperlink r:id="rId2" w:history="1">
        <w:r w:rsidR="00C823D4" w:rsidRPr="0009044F">
          <w:rPr>
            <w:rStyle w:val="Hyperlink"/>
            <w:sz w:val="24"/>
            <w:lang w:val="cs-CZ"/>
          </w:rPr>
          <w:t>https://documents1.worldbank.org/curated/en/600621587713071010/pdf/Doing-Business-in-the-European-Union-2020-Greece-Ireland-and-Italy.pdf</w:t>
        </w:r>
      </w:hyperlink>
      <w:r w:rsidRPr="006319D5">
        <w:rPr>
          <w:sz w:val="24"/>
          <w:lang w:val="cs-CZ"/>
        </w:rPr>
        <w:t>;</w:t>
      </w:r>
      <w:r w:rsidR="00C823D4">
        <w:rPr>
          <w:sz w:val="24"/>
          <w:lang w:val="cs-CZ"/>
        </w:rPr>
        <w:t xml:space="preserve"> </w:t>
      </w:r>
      <w:hyperlink r:id="rId3" w:history="1">
        <w:r w:rsidR="00C823D4" w:rsidRPr="0009044F">
          <w:rPr>
            <w:rStyle w:val="Hyperlink"/>
            <w:sz w:val="24"/>
            <w:lang w:val="cs-CZ"/>
          </w:rPr>
          <w:t>https://www.weforum.org/stories/2024/09/wind-energy-permitting-processes-europe/</w:t>
        </w:r>
      </w:hyperlink>
    </w:p>
  </w:footnote>
  <w:footnote w:id="3">
    <w:p w14:paraId="06EAD41F" w14:textId="4673CF79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Interinstitucionální dohoda ze dne 13. dubna 2016 mezi Evropským parlamentem, Radou Evropské unie a Evropskou komisí o zdokonalení tvorby právních předpisů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 123, 12.5.2016, s. 1. ELI. </w:t>
      </w:r>
      <w:hyperlink r:id="rId4" w:history="1">
        <w:r w:rsidRPr="006319D5">
          <w:rPr>
            <w:rStyle w:val="Hyperlink"/>
            <w:sz w:val="24"/>
            <w:lang w:val="cs-CZ"/>
          </w:rPr>
          <w:t>http://data.europa.eu/eli/agree_interinstit/2016/512/oj</w:t>
        </w:r>
      </w:hyperlink>
      <w:r w:rsidRPr="006319D5">
        <w:rPr>
          <w:sz w:val="24"/>
          <w:lang w:val="cs-CZ"/>
        </w:rPr>
        <w:t>).</w:t>
      </w:r>
    </w:p>
  </w:footnote>
  <w:footnote w:id="4">
    <w:p w14:paraId="79D85132" w14:textId="5243A4B3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Směrnice Evropského parlamentu a Rady 2006/123/ES ze dne 12. prosince 2006 o službách na vnitřním trhu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 376, 27.12.2006, s. 36, ELI: </w:t>
      </w:r>
      <w:hyperlink r:id="rId5" w:history="1">
        <w:r w:rsidRPr="006319D5">
          <w:rPr>
            <w:rStyle w:val="Hyperlink"/>
            <w:sz w:val="24"/>
            <w:lang w:val="cs-CZ"/>
          </w:rPr>
          <w:t>http://data.europa.eu/eli/dir/2006/123/oj</w:t>
        </w:r>
      </w:hyperlink>
      <w:r w:rsidRPr="006319D5">
        <w:rPr>
          <w:sz w:val="24"/>
          <w:lang w:val="cs-CZ"/>
        </w:rPr>
        <w:t>).</w:t>
      </w:r>
    </w:p>
  </w:footnote>
  <w:footnote w:id="5">
    <w:p w14:paraId="7AAFE43F" w14:textId="420F96A3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Směrnice Evropského parlamentu a Rady (EU) 2015/1535 ze dne 9. září 2015 o postupu při poskytování informací v oblasti technických předpisů a předpisů pro služby informační společnosti (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Úř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 xml:space="preserve">. 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věst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. L 241, 17.9.2015, s. 1</w:t>
      </w:r>
      <w:r w:rsidRPr="0053508C">
        <w:rPr>
          <w:i/>
          <w:sz w:val="24"/>
          <w:shd w:val="clear" w:color="auto" w:fill="FFFFFF"/>
          <w:lang w:val="cs-CZ"/>
        </w:rPr>
        <w:t>,</w:t>
      </w:r>
      <w:r w:rsidRPr="006319D5">
        <w:rPr>
          <w:sz w:val="24"/>
          <w:shd w:val="clear" w:color="auto" w:fill="FFFFFF"/>
          <w:lang w:val="cs-CZ"/>
        </w:rPr>
        <w:t xml:space="preserve"> ELI: </w:t>
      </w:r>
      <w:hyperlink r:id="rId6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http://data.europa.eu/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eli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dir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/2015/1535/oj</w:t>
        </w:r>
      </w:hyperlink>
      <w:r w:rsidRPr="006319D5">
        <w:rPr>
          <w:sz w:val="24"/>
          <w:lang w:val="cs-CZ"/>
        </w:rPr>
        <w:t>).</w:t>
      </w:r>
    </w:p>
  </w:footnote>
  <w:footnote w:id="6">
    <w:p w14:paraId="48D4331B" w14:textId="4838B19D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Směrnice Evropského parlamentu a Rady 2005/36/ES ze dne 7. září 2005 o uznávání odborných kvalifikací (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Úř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 xml:space="preserve">. 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věst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. L 255, 30.9.2005, s. 22,</w:t>
      </w:r>
      <w:r w:rsidRPr="006319D5">
        <w:rPr>
          <w:rStyle w:val="Emphasis"/>
          <w:sz w:val="24"/>
          <w:shd w:val="clear" w:color="auto" w:fill="FFFFFF"/>
          <w:lang w:val="cs-CZ"/>
        </w:rPr>
        <w:t xml:space="preserve"> </w:t>
      </w:r>
      <w:r w:rsidRPr="006319D5">
        <w:rPr>
          <w:sz w:val="24"/>
          <w:shd w:val="clear" w:color="auto" w:fill="FFFFFF"/>
          <w:lang w:val="cs-CZ"/>
        </w:rPr>
        <w:t>ELI: </w:t>
      </w:r>
      <w:hyperlink r:id="rId7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http://data.europa.eu/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eli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dir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/2005/36/oj</w:t>
        </w:r>
      </w:hyperlink>
      <w:r w:rsidRPr="006319D5">
        <w:rPr>
          <w:sz w:val="24"/>
          <w:lang w:val="cs-CZ"/>
        </w:rPr>
        <w:t>).</w:t>
      </w:r>
    </w:p>
  </w:footnote>
  <w:footnote w:id="7">
    <w:p w14:paraId="0FB97425" w14:textId="7CA9F279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Nařízení Evropského parlamentu a Rady (ES) č. 883/2004 ze dne 29. dubna 2004 o koordinaci systémů sociálního zabezpečení (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Úř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 xml:space="preserve">. 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věst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. L 166, 30.4.2004, s. 1,</w:t>
      </w:r>
      <w:r w:rsidRPr="006319D5">
        <w:rPr>
          <w:sz w:val="24"/>
          <w:shd w:val="clear" w:color="auto" w:fill="FFFFFF"/>
          <w:lang w:val="cs-CZ"/>
        </w:rPr>
        <w:t xml:space="preserve"> ELI: </w:t>
      </w:r>
      <w:hyperlink r:id="rId8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http://data.europa.eu/eli/reg/2004/883/oj</w:t>
        </w:r>
      </w:hyperlink>
      <w:r w:rsidRPr="006319D5">
        <w:rPr>
          <w:sz w:val="24"/>
          <w:lang w:val="cs-CZ"/>
        </w:rPr>
        <w:t>).</w:t>
      </w:r>
    </w:p>
  </w:footnote>
  <w:footnote w:id="8">
    <w:p w14:paraId="58A9610B" w14:textId="7BC0D00D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Nařízení Evropského parlamentu a Rady (EU) 2024/2747 ze dne 9. října 2024, kterým se zavádí rámec opatření týkající se mimořádných situací na vnitřním trhu a odolnosti vnitřního trhu a kterým se mění nařízení Rady (ES) č. 2679/98 (akt pro odolnost a mimořádné situace na vnitřním trhu) (</w:t>
      </w:r>
      <w:proofErr w:type="spellStart"/>
      <w:r w:rsidRPr="006319D5">
        <w:rPr>
          <w:sz w:val="24"/>
          <w:shd w:val="clear" w:color="auto" w:fill="FFFFFF"/>
          <w:lang w:val="cs-CZ"/>
        </w:rPr>
        <w:t>Úř</w:t>
      </w:r>
      <w:proofErr w:type="spellEnd"/>
      <w:r w:rsidRPr="006319D5">
        <w:rPr>
          <w:sz w:val="24"/>
          <w:shd w:val="clear" w:color="auto" w:fill="FFFFFF"/>
          <w:lang w:val="cs-CZ"/>
        </w:rPr>
        <w:t>. </w:t>
      </w:r>
      <w:proofErr w:type="spellStart"/>
      <w:r w:rsidRPr="006319D5">
        <w:rPr>
          <w:sz w:val="24"/>
          <w:shd w:val="clear" w:color="auto" w:fill="FFFFFF"/>
          <w:lang w:val="cs-CZ"/>
        </w:rPr>
        <w:t>věst</w:t>
      </w:r>
      <w:proofErr w:type="spellEnd"/>
      <w:r w:rsidRPr="006319D5">
        <w:rPr>
          <w:sz w:val="24"/>
          <w:shd w:val="clear" w:color="auto" w:fill="FFFFFF"/>
          <w:lang w:val="cs-CZ"/>
        </w:rPr>
        <w:t>. L, 2024/2747, 8.11.2024, ELI: </w:t>
      </w:r>
      <w:hyperlink r:id="rId9" w:tgtFrame="_blank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lang w:val="cs-CZ"/>
          </w:rPr>
          <w:t>http://data.europa.eu/</w:t>
        </w:r>
        <w:proofErr w:type="spellStart"/>
        <w:r w:rsidRPr="006319D5">
          <w:rPr>
            <w:color w:val="0000FF"/>
            <w:sz w:val="24"/>
            <w:u w:val="single"/>
            <w:lang w:val="cs-CZ"/>
          </w:rPr>
          <w:t>eli</w:t>
        </w:r>
        <w:proofErr w:type="spellEnd"/>
        <w:r w:rsidRPr="006319D5">
          <w:rPr>
            <w:color w:val="0000FF"/>
            <w:sz w:val="24"/>
            <w:u w:val="single"/>
            <w:lang w:val="cs-CZ"/>
          </w:rPr>
          <w:t>/</w:t>
        </w:r>
        <w:proofErr w:type="spellStart"/>
        <w:r w:rsidRPr="006319D5">
          <w:rPr>
            <w:color w:val="0000FF"/>
            <w:sz w:val="24"/>
            <w:u w:val="single"/>
            <w:lang w:val="cs-CZ"/>
          </w:rPr>
          <w:t>reg</w:t>
        </w:r>
        <w:proofErr w:type="spellEnd"/>
        <w:r w:rsidRPr="006319D5">
          <w:rPr>
            <w:color w:val="0000FF"/>
            <w:sz w:val="24"/>
            <w:u w:val="single"/>
            <w:lang w:val="cs-CZ"/>
          </w:rPr>
          <w:t>/2024/2747/oj</w:t>
        </w:r>
      </w:hyperlink>
      <w:r w:rsidRPr="006319D5">
        <w:rPr>
          <w:sz w:val="24"/>
          <w:shd w:val="clear" w:color="auto" w:fill="FFFFFF"/>
          <w:lang w:val="cs-CZ"/>
        </w:rPr>
        <w:t>).</w:t>
      </w:r>
    </w:p>
  </w:footnote>
  <w:footnote w:id="9">
    <w:p w14:paraId="74FCC646" w14:textId="5B9D2E7F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 xml:space="preserve">Nařízení Evropského parlamentu a Rady (EU) 2022/2065 ze dne 19. října 2022 o jednotném trhu digitálních služeb a o změně směrnice 2000/31/ES (nařízení o digitálních službách), 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 277, 27.10.2022, s. 1, ELI: </w:t>
      </w:r>
      <w:hyperlink r:id="rId10" w:history="1">
        <w:r w:rsidRPr="006319D5">
          <w:rPr>
            <w:rStyle w:val="Hyperlink"/>
            <w:sz w:val="24"/>
            <w:lang w:val="cs-CZ"/>
          </w:rPr>
          <w:t>http://data.europa.eu/eli/reg/2022/2065/oj</w:t>
        </w:r>
      </w:hyperlink>
      <w:r w:rsidRPr="006319D5">
        <w:rPr>
          <w:sz w:val="24"/>
          <w:lang w:val="cs-CZ"/>
        </w:rPr>
        <w:t>).</w:t>
      </w:r>
    </w:p>
  </w:footnote>
  <w:footnote w:id="10">
    <w:p w14:paraId="204F5F1F" w14:textId="7D86383D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 119, 4.5.2016, s. 1, ELI: </w:t>
      </w:r>
      <w:hyperlink r:id="rId11" w:history="1">
        <w:r w:rsidRPr="006319D5">
          <w:rPr>
            <w:rStyle w:val="Hyperlink"/>
            <w:sz w:val="24"/>
            <w:lang w:val="cs-CZ"/>
          </w:rPr>
          <w:t>http://data.europa.eu/eli/reg/2016/679/oj</w:t>
        </w:r>
      </w:hyperlink>
      <w:r w:rsidRPr="006319D5">
        <w:rPr>
          <w:sz w:val="24"/>
          <w:lang w:val="cs-CZ"/>
        </w:rPr>
        <w:t>).</w:t>
      </w:r>
    </w:p>
  </w:footnote>
  <w:footnote w:id="11">
    <w:p w14:paraId="2000ED20" w14:textId="2729C520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Nařízení Evropského parlamentu a Rady (EU) 2024/1689 ze dne 13. června 2024, kterým se stanoví harmonizovaná pravidla pro umělou inteligenci a mění nařízení (ES) č. 300/2008, (EU) č. 167/2013, (EU) č. 168/2013, (EU) 2018/858, (EU) 2018/1139 a (EU) 2019/2144 a směrnice 2014/90/EU, (EU) 2016/797 a (EU) 2020/1828 (akt o umělé inteligenci) (</w:t>
      </w:r>
      <w:proofErr w:type="spellStart"/>
      <w:r w:rsidRPr="006319D5">
        <w:rPr>
          <w:sz w:val="24"/>
          <w:shd w:val="clear" w:color="auto" w:fill="FFFFFF"/>
          <w:lang w:val="cs-CZ"/>
        </w:rPr>
        <w:t>Úř</w:t>
      </w:r>
      <w:proofErr w:type="spellEnd"/>
      <w:r w:rsidRPr="006319D5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6319D5">
        <w:rPr>
          <w:sz w:val="24"/>
          <w:shd w:val="clear" w:color="auto" w:fill="FFFFFF"/>
          <w:lang w:val="cs-CZ"/>
        </w:rPr>
        <w:t>věst</w:t>
      </w:r>
      <w:proofErr w:type="spellEnd"/>
      <w:r w:rsidRPr="006319D5">
        <w:rPr>
          <w:sz w:val="24"/>
          <w:shd w:val="clear" w:color="auto" w:fill="FFFFFF"/>
          <w:lang w:val="cs-CZ"/>
        </w:rPr>
        <w:t>. L, 2024/1689, 12.7.2024, ELI: </w:t>
      </w:r>
      <w:hyperlink r:id="rId12" w:tgtFrame="_blank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lang w:val="cs-CZ"/>
          </w:rPr>
          <w:t>http://data.europa.eu/</w:t>
        </w:r>
        <w:proofErr w:type="spellStart"/>
        <w:r w:rsidRPr="006319D5">
          <w:rPr>
            <w:color w:val="0000FF"/>
            <w:sz w:val="24"/>
            <w:u w:val="single"/>
            <w:lang w:val="cs-CZ"/>
          </w:rPr>
          <w:t>eli</w:t>
        </w:r>
        <w:proofErr w:type="spellEnd"/>
        <w:r w:rsidRPr="006319D5">
          <w:rPr>
            <w:color w:val="0000FF"/>
            <w:sz w:val="24"/>
            <w:u w:val="single"/>
            <w:lang w:val="cs-CZ"/>
          </w:rPr>
          <w:t>/</w:t>
        </w:r>
        <w:proofErr w:type="spellStart"/>
        <w:r w:rsidRPr="006319D5">
          <w:rPr>
            <w:color w:val="0000FF"/>
            <w:sz w:val="24"/>
            <w:u w:val="single"/>
            <w:lang w:val="cs-CZ"/>
          </w:rPr>
          <w:t>reg</w:t>
        </w:r>
        <w:proofErr w:type="spellEnd"/>
        <w:r w:rsidRPr="006319D5">
          <w:rPr>
            <w:color w:val="0000FF"/>
            <w:sz w:val="24"/>
            <w:u w:val="single"/>
            <w:lang w:val="cs-CZ"/>
          </w:rPr>
          <w:t>/2024/1689/oj</w:t>
        </w:r>
      </w:hyperlink>
      <w:r w:rsidRPr="006319D5">
        <w:rPr>
          <w:sz w:val="24"/>
          <w:shd w:val="clear" w:color="auto" w:fill="FFFFFF"/>
          <w:lang w:val="cs-CZ"/>
        </w:rPr>
        <w:t>).</w:t>
      </w:r>
    </w:p>
  </w:footnote>
  <w:footnote w:id="12">
    <w:p w14:paraId="5E959554" w14:textId="1E39FC50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Nařízení Evropského parlamentu a Rady (EU) 2024/900 ze dne 13. března 2024 o transparentnosti a cílení politické reklamy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L, 2024/900, 20.3.2024, ELI: </w:t>
      </w:r>
      <w:hyperlink r:id="rId13" w:history="1">
        <w:r w:rsidRPr="006319D5">
          <w:rPr>
            <w:rStyle w:val="Hyperlink"/>
            <w:sz w:val="24"/>
            <w:lang w:val="cs-CZ"/>
          </w:rPr>
          <w:t>http://data.europa.eu/eli/reg/2024/900/oj</w:t>
        </w:r>
      </w:hyperlink>
      <w:r w:rsidRPr="006319D5">
        <w:rPr>
          <w:sz w:val="24"/>
          <w:lang w:val="cs-CZ"/>
        </w:rPr>
        <w:t>).</w:t>
      </w:r>
    </w:p>
  </w:footnote>
  <w:footnote w:id="13">
    <w:p w14:paraId="2B8E93E7" w14:textId="2E478F3A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Směrnice Evropského parlamentu a Rady (EU) 2024/2853 ze dne 23. října 2024 o odpovědnosti za vadné výrobky a o zrušení směrnice Rady 85/374/EHS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L, 2024/2853, 18.11.2024, ELI: </w:t>
      </w:r>
      <w:hyperlink r:id="rId14" w:history="1">
        <w:r w:rsidRPr="006319D5">
          <w:rPr>
            <w:rStyle w:val="Hyperlink"/>
            <w:sz w:val="24"/>
            <w:lang w:val="cs-CZ"/>
          </w:rPr>
          <w:t>http://data.europa.eu/eli/dir/2024/2853/oj</w:t>
        </w:r>
      </w:hyperlink>
      <w:r w:rsidRPr="006319D5">
        <w:rPr>
          <w:sz w:val="24"/>
          <w:lang w:val="cs-CZ"/>
        </w:rPr>
        <w:t>).</w:t>
      </w:r>
    </w:p>
  </w:footnote>
  <w:footnote w:id="14">
    <w:p w14:paraId="17CCDD56" w14:textId="2E9B087A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shd w:val="clear" w:color="auto" w:fill="FFFFFF"/>
          <w:lang w:val="cs-CZ"/>
        </w:rPr>
        <w:t xml:space="preserve"> </w:t>
      </w:r>
      <w:r w:rsidR="006319D5" w:rsidRPr="006319D5">
        <w:rPr>
          <w:sz w:val="24"/>
          <w:shd w:val="clear" w:color="auto" w:fill="FFFFFF"/>
          <w:lang w:val="cs-CZ"/>
        </w:rPr>
        <w:tab/>
      </w:r>
      <w:r w:rsidRPr="006319D5">
        <w:rPr>
          <w:sz w:val="24"/>
          <w:shd w:val="clear" w:color="auto" w:fill="FFFFFF"/>
          <w:lang w:val="cs-CZ"/>
        </w:rPr>
        <w:t>Nařízení Evropského parlamentu a Rady (EU) 2022/1925 ze dne 14. září 2022 o</w:t>
      </w:r>
      <w:r w:rsidR="001A5D68" w:rsidRPr="001A5D68">
        <w:rPr>
          <w:szCs w:val="24"/>
          <w:lang w:val="cs-CZ"/>
        </w:rPr>
        <w:t> </w:t>
      </w:r>
      <w:r w:rsidRPr="006319D5">
        <w:rPr>
          <w:sz w:val="24"/>
          <w:shd w:val="clear" w:color="auto" w:fill="FFFFFF"/>
          <w:lang w:val="cs-CZ"/>
        </w:rPr>
        <w:t>spravedlivých trzích otevřených hospodářské soutěži v digitálním odvětví a o změně směrnic (EU) 2019/1937 a (EU) 2020/1828 (nařízení o digitálních trzích) (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Úř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 xml:space="preserve">. </w:t>
      </w:r>
      <w:proofErr w:type="spellStart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věst</w:t>
      </w:r>
      <w:proofErr w:type="spellEnd"/>
      <w:r w:rsidRPr="0053508C">
        <w:rPr>
          <w:rStyle w:val="Emphasis"/>
          <w:i w:val="0"/>
          <w:iCs w:val="0"/>
          <w:sz w:val="24"/>
          <w:shd w:val="clear" w:color="auto" w:fill="FFFFFF"/>
          <w:lang w:val="cs-CZ"/>
        </w:rPr>
        <w:t>. L 265, 12.10.2022, s. 1,</w:t>
      </w:r>
      <w:r w:rsidRPr="006319D5">
        <w:rPr>
          <w:rStyle w:val="Emphasis"/>
          <w:sz w:val="24"/>
          <w:shd w:val="clear" w:color="auto" w:fill="FFFFFF"/>
          <w:lang w:val="cs-CZ"/>
        </w:rPr>
        <w:t xml:space="preserve"> </w:t>
      </w:r>
      <w:r w:rsidRPr="006319D5">
        <w:rPr>
          <w:sz w:val="24"/>
          <w:shd w:val="clear" w:color="auto" w:fill="FFFFFF"/>
          <w:lang w:val="cs-CZ"/>
        </w:rPr>
        <w:t>ELI: </w:t>
      </w:r>
      <w:hyperlink r:id="rId15" w:tooltip="Umožňuje přístup k tomuto dokumentu prostřednictvím jeho identifikátoru URI používaného v rámci ELI." w:history="1"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http://data.europa.eu/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eli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</w:t>
        </w:r>
        <w:proofErr w:type="spellStart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reg</w:t>
        </w:r>
        <w:proofErr w:type="spellEnd"/>
        <w:r w:rsidRPr="006319D5">
          <w:rPr>
            <w:color w:val="0000FF"/>
            <w:sz w:val="24"/>
            <w:u w:val="single"/>
            <w:shd w:val="clear" w:color="auto" w:fill="FFFFFF"/>
            <w:lang w:val="cs-CZ"/>
          </w:rPr>
          <w:t>/2022/1925/oj</w:t>
        </w:r>
      </w:hyperlink>
      <w:r w:rsidRPr="006319D5">
        <w:rPr>
          <w:sz w:val="24"/>
          <w:lang w:val="cs-CZ"/>
        </w:rPr>
        <w:t>).</w:t>
      </w:r>
    </w:p>
  </w:footnote>
  <w:footnote w:id="15">
    <w:p w14:paraId="2953EC9B" w14:textId="15D0DDF2" w:rsidR="00355A38" w:rsidRPr="006319D5" w:rsidRDefault="00355A38" w:rsidP="006319D5">
      <w:pPr>
        <w:pStyle w:val="FootnoteText"/>
        <w:ind w:left="567" w:hanging="567"/>
        <w:rPr>
          <w:sz w:val="24"/>
          <w:lang w:val="cs-CZ"/>
        </w:rPr>
      </w:pPr>
      <w:r w:rsidRPr="006319D5">
        <w:rPr>
          <w:rStyle w:val="FootnoteReference"/>
          <w:sz w:val="24"/>
          <w:lang w:val="cs-CZ"/>
        </w:rPr>
        <w:footnoteRef/>
      </w:r>
      <w:r w:rsidR="006319D5" w:rsidRPr="006319D5">
        <w:rPr>
          <w:sz w:val="24"/>
          <w:lang w:val="cs-CZ"/>
        </w:rPr>
        <w:t xml:space="preserve"> </w:t>
      </w:r>
      <w:r w:rsidR="006319D5" w:rsidRPr="006319D5">
        <w:rPr>
          <w:sz w:val="24"/>
          <w:lang w:val="cs-CZ"/>
        </w:rPr>
        <w:tab/>
      </w:r>
      <w:r w:rsidRPr="006319D5">
        <w:rPr>
          <w:sz w:val="24"/>
          <w:lang w:val="cs-CZ"/>
        </w:rPr>
        <w:t>Nařízení Evropského parlamentu a Rady (EU) 2017/2394 ze dne 12. prosince 2017 o</w:t>
      </w:r>
      <w:r w:rsidR="001A5D68" w:rsidRPr="001A5D68">
        <w:rPr>
          <w:szCs w:val="24"/>
          <w:lang w:val="cs-CZ"/>
        </w:rPr>
        <w:t> </w:t>
      </w:r>
      <w:r w:rsidRPr="006319D5">
        <w:rPr>
          <w:sz w:val="24"/>
          <w:lang w:val="cs-CZ"/>
        </w:rPr>
        <w:t>spolupráci mezi vnitrostátními orgány příslušnými pro vymáhání dodržování právních předpisů na ochranu zájmů spotřebitelů a o zrušení nařízení (ES) č. 2006/2004 (</w:t>
      </w:r>
      <w:proofErr w:type="spellStart"/>
      <w:r w:rsidRPr="006319D5">
        <w:rPr>
          <w:sz w:val="24"/>
          <w:lang w:val="cs-CZ"/>
        </w:rPr>
        <w:t>Úř</w:t>
      </w:r>
      <w:proofErr w:type="spellEnd"/>
      <w:r w:rsidRPr="006319D5">
        <w:rPr>
          <w:sz w:val="24"/>
          <w:lang w:val="cs-CZ"/>
        </w:rPr>
        <w:t xml:space="preserve">. </w:t>
      </w:r>
      <w:proofErr w:type="spellStart"/>
      <w:r w:rsidRPr="006319D5">
        <w:rPr>
          <w:sz w:val="24"/>
          <w:lang w:val="cs-CZ"/>
        </w:rPr>
        <w:t>věst</w:t>
      </w:r>
      <w:proofErr w:type="spellEnd"/>
      <w:r w:rsidRPr="006319D5">
        <w:rPr>
          <w:sz w:val="24"/>
          <w:lang w:val="cs-CZ"/>
        </w:rPr>
        <w:t xml:space="preserve">. L 345, 27.12.2017, s. 1, ELI: </w:t>
      </w:r>
      <w:hyperlink r:id="rId16" w:history="1">
        <w:r w:rsidRPr="006319D5">
          <w:rPr>
            <w:rStyle w:val="Hyperlink"/>
            <w:sz w:val="24"/>
            <w:lang w:val="cs-CZ"/>
          </w:rPr>
          <w:t>http://data.europa.eu/eli/reg/2017/2394/oj</w:t>
        </w:r>
      </w:hyperlink>
      <w:r w:rsidRPr="006319D5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AC44" w14:textId="77777777" w:rsidR="00064002" w:rsidRPr="006319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F0BC" w14:textId="77777777" w:rsidR="00064002" w:rsidRPr="006319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2D2D" w14:textId="77777777" w:rsidR="00064002" w:rsidRPr="006319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0F20835C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4C3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9433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223B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AA1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7C5E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8F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AE5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2A42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AF6A1F54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5E60FA5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35A29E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C869B7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5B6172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0E3C5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38DBE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50C9F8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40AC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9894529">
    <w:abstractNumId w:val="9"/>
  </w:num>
  <w:num w:numId="2" w16cid:durableId="1290743711">
    <w:abstractNumId w:val="9"/>
  </w:num>
  <w:num w:numId="3" w16cid:durableId="2096002818">
    <w:abstractNumId w:val="7"/>
  </w:num>
  <w:num w:numId="4" w16cid:durableId="789786578">
    <w:abstractNumId w:val="7"/>
  </w:num>
  <w:num w:numId="5" w16cid:durableId="2006321137">
    <w:abstractNumId w:val="6"/>
  </w:num>
  <w:num w:numId="6" w16cid:durableId="1007290962">
    <w:abstractNumId w:val="6"/>
  </w:num>
  <w:num w:numId="7" w16cid:durableId="108359966">
    <w:abstractNumId w:val="5"/>
  </w:num>
  <w:num w:numId="8" w16cid:durableId="205603223">
    <w:abstractNumId w:val="5"/>
  </w:num>
  <w:num w:numId="9" w16cid:durableId="633633546">
    <w:abstractNumId w:val="4"/>
  </w:num>
  <w:num w:numId="10" w16cid:durableId="1211066570">
    <w:abstractNumId w:val="4"/>
  </w:num>
  <w:num w:numId="11" w16cid:durableId="698511093">
    <w:abstractNumId w:val="8"/>
  </w:num>
  <w:num w:numId="12" w16cid:durableId="2108771692">
    <w:abstractNumId w:val="8"/>
  </w:num>
  <w:num w:numId="13" w16cid:durableId="961300525">
    <w:abstractNumId w:val="3"/>
  </w:num>
  <w:num w:numId="14" w16cid:durableId="1127818349">
    <w:abstractNumId w:val="3"/>
  </w:num>
  <w:num w:numId="15" w16cid:durableId="1116751995">
    <w:abstractNumId w:val="2"/>
  </w:num>
  <w:num w:numId="16" w16cid:durableId="821192815">
    <w:abstractNumId w:val="2"/>
  </w:num>
  <w:num w:numId="17" w16cid:durableId="2128306061">
    <w:abstractNumId w:val="1"/>
  </w:num>
  <w:num w:numId="18" w16cid:durableId="830368848">
    <w:abstractNumId w:val="1"/>
  </w:num>
  <w:num w:numId="19" w16cid:durableId="649939181">
    <w:abstractNumId w:val="0"/>
  </w:num>
  <w:num w:numId="20" w16cid:durableId="1928146790">
    <w:abstractNumId w:val="0"/>
  </w:num>
  <w:num w:numId="21" w16cid:durableId="620691669">
    <w:abstractNumId w:val="9"/>
  </w:num>
  <w:num w:numId="22" w16cid:durableId="1681665472">
    <w:abstractNumId w:val="7"/>
  </w:num>
  <w:num w:numId="23" w16cid:durableId="1602761196">
    <w:abstractNumId w:val="6"/>
  </w:num>
  <w:num w:numId="24" w16cid:durableId="1586957323">
    <w:abstractNumId w:val="5"/>
  </w:num>
  <w:num w:numId="25" w16cid:durableId="261032002">
    <w:abstractNumId w:val="4"/>
  </w:num>
  <w:num w:numId="26" w16cid:durableId="1051542228">
    <w:abstractNumId w:val="8"/>
  </w:num>
  <w:num w:numId="27" w16cid:durableId="2003241320">
    <w:abstractNumId w:val="3"/>
  </w:num>
  <w:num w:numId="28" w16cid:durableId="74131617">
    <w:abstractNumId w:val="2"/>
  </w:num>
  <w:num w:numId="29" w16cid:durableId="464544733">
    <w:abstractNumId w:val="1"/>
  </w:num>
  <w:num w:numId="30" w16cid:durableId="77096917">
    <w:abstractNumId w:val="0"/>
  </w:num>
  <w:num w:numId="31" w16cid:durableId="566649517">
    <w:abstractNumId w:val="9"/>
  </w:num>
  <w:num w:numId="32" w16cid:durableId="2054887095">
    <w:abstractNumId w:val="7"/>
  </w:num>
  <w:num w:numId="33" w16cid:durableId="422652659">
    <w:abstractNumId w:val="6"/>
  </w:num>
  <w:num w:numId="34" w16cid:durableId="113525134">
    <w:abstractNumId w:val="5"/>
  </w:num>
  <w:num w:numId="35" w16cid:durableId="1684897637">
    <w:abstractNumId w:val="4"/>
  </w:num>
  <w:num w:numId="36" w16cid:durableId="843980278">
    <w:abstractNumId w:val="8"/>
  </w:num>
  <w:num w:numId="37" w16cid:durableId="1882091887">
    <w:abstractNumId w:val="3"/>
  </w:num>
  <w:num w:numId="38" w16cid:durableId="1678922104">
    <w:abstractNumId w:val="2"/>
  </w:num>
  <w:num w:numId="39" w16cid:durableId="1269385319">
    <w:abstractNumId w:val="1"/>
  </w:num>
  <w:num w:numId="40" w16cid:durableId="2146315334">
    <w:abstractNumId w:val="0"/>
  </w:num>
  <w:num w:numId="41" w16cid:durableId="795609586">
    <w:abstractNumId w:val="10"/>
  </w:num>
  <w:num w:numId="42" w16cid:durableId="405610469">
    <w:abstractNumId w:val="10"/>
  </w:num>
  <w:num w:numId="43" w16cid:durableId="1453478041">
    <w:abstractNumId w:val="10"/>
  </w:num>
  <w:num w:numId="44" w16cid:durableId="345257929">
    <w:abstractNumId w:val="11"/>
  </w:num>
  <w:num w:numId="45" w16cid:durableId="559827841">
    <w:abstractNumId w:val="12"/>
  </w:num>
  <w:num w:numId="46" w16cid:durableId="21155893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1/2025"/>
    <w:docVar w:name="dvlangue" w:val="CS"/>
    <w:docVar w:name="dvnumam" w:val="0"/>
    <w:docVar w:name="dvpe" w:val="769.908"/>
    <w:docVar w:name="dvrapporteur" w:val="Zpravodajka: "/>
    <w:docVar w:name="dvtitre" w:val="Usnesení Evropského parlamentu ze dne 11. září 2025 o provádění a zefektivnění pravidel vnitřního trhu EU s cílem posílit jednotný trh(2025/2009(INI))"/>
  </w:docVars>
  <w:rsids>
    <w:rsidRoot w:val="00D860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D68"/>
    <w:rsid w:val="001F32AE"/>
    <w:rsid w:val="00217BAD"/>
    <w:rsid w:val="002767FF"/>
    <w:rsid w:val="00286894"/>
    <w:rsid w:val="002B18FE"/>
    <w:rsid w:val="002B5493"/>
    <w:rsid w:val="00343214"/>
    <w:rsid w:val="00355A3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08C"/>
    <w:rsid w:val="00545827"/>
    <w:rsid w:val="00560270"/>
    <w:rsid w:val="00596343"/>
    <w:rsid w:val="005C2568"/>
    <w:rsid w:val="005F1B17"/>
    <w:rsid w:val="006037C0"/>
    <w:rsid w:val="006319D5"/>
    <w:rsid w:val="006631B6"/>
    <w:rsid w:val="00680577"/>
    <w:rsid w:val="006E41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8EC"/>
    <w:rsid w:val="00A1687D"/>
    <w:rsid w:val="00A43E52"/>
    <w:rsid w:val="00A4678D"/>
    <w:rsid w:val="00A75AC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CED"/>
    <w:rsid w:val="00C23CD4"/>
    <w:rsid w:val="00C61C0C"/>
    <w:rsid w:val="00C823D4"/>
    <w:rsid w:val="00C941CB"/>
    <w:rsid w:val="00CC2357"/>
    <w:rsid w:val="00CF071A"/>
    <w:rsid w:val="00D058B8"/>
    <w:rsid w:val="00D56C11"/>
    <w:rsid w:val="00D834A0"/>
    <w:rsid w:val="00D86046"/>
    <w:rsid w:val="00D872DF"/>
    <w:rsid w:val="00D91E21"/>
    <w:rsid w:val="00DA7FCD"/>
    <w:rsid w:val="00E365E1"/>
    <w:rsid w:val="00E820A4"/>
    <w:rsid w:val="00EB006A"/>
    <w:rsid w:val="00EB4772"/>
    <w:rsid w:val="00EC03D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862E0"/>
  <w15:chartTrackingRefBased/>
  <w15:docId w15:val="{20BC4D7C-01DB-4687-B5F8-19B5EC35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55A3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55A3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55A3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55A3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55A3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55A3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55A3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55A3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55A3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355A38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355A38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355A38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355A38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355A38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355A3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355A38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355A38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355A38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355A38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355A38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355A38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355A38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355A38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355A38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355A38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355A38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355A38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355A38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355A38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355A38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355A38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355A3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355A38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355A38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355A38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355A38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355A38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355A38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355A38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355A38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355A38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355A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355A38"/>
    <w:pPr>
      <w:spacing w:before="240" w:after="240"/>
      <w:jc w:val="right"/>
    </w:pPr>
  </w:style>
  <w:style w:type="paragraph" w:customStyle="1" w:styleId="AnnexWPDate">
    <w:name w:val="AnnexWPDate"/>
    <w:basedOn w:val="Normal"/>
    <w:rsid w:val="00355A38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355A38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355A38"/>
    <w:pPr>
      <w:spacing w:before="120" w:after="120"/>
    </w:pPr>
  </w:style>
  <w:style w:type="paragraph" w:customStyle="1" w:styleId="AnnexWPSmall">
    <w:name w:val="AnnexWPSmall"/>
    <w:basedOn w:val="Normal"/>
    <w:rsid w:val="00355A38"/>
    <w:rPr>
      <w:smallCaps/>
      <w:sz w:val="20"/>
    </w:rPr>
  </w:style>
  <w:style w:type="paragraph" w:customStyle="1" w:styleId="AnnexWPTabs">
    <w:name w:val="AnnexWPTabs"/>
    <w:basedOn w:val="Normal"/>
    <w:rsid w:val="00355A38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355A38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355A38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355A38"/>
    <w:pPr>
      <w:spacing w:after="240"/>
      <w:ind w:left="1418"/>
    </w:pPr>
  </w:style>
  <w:style w:type="paragraph" w:customStyle="1" w:styleId="Confidential">
    <w:name w:val="Confidential"/>
    <w:basedOn w:val="Normal"/>
    <w:rsid w:val="00355A38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355A38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355A38"/>
    <w:pPr>
      <w:spacing w:before="240" w:after="1200"/>
    </w:pPr>
  </w:style>
  <w:style w:type="paragraph" w:customStyle="1" w:styleId="CoverDocType">
    <w:name w:val="CoverDocType"/>
    <w:basedOn w:val="Normal"/>
    <w:rsid w:val="00355A38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355A38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355A38"/>
    <w:pPr>
      <w:spacing w:after="240"/>
      <w:jc w:val="center"/>
    </w:pPr>
  </w:style>
  <w:style w:type="paragraph" w:customStyle="1" w:styleId="Normal6a">
    <w:name w:val="Normal6a"/>
    <w:basedOn w:val="Normal"/>
    <w:rsid w:val="00355A38"/>
    <w:pPr>
      <w:spacing w:after="120"/>
    </w:pPr>
  </w:style>
  <w:style w:type="paragraph" w:customStyle="1" w:styleId="NormalBold12b">
    <w:name w:val="NormalBold12b"/>
    <w:basedOn w:val="Normal"/>
    <w:rsid w:val="00355A38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355A38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355A38"/>
    <w:rPr>
      <w:b/>
    </w:rPr>
  </w:style>
  <w:style w:type="character" w:customStyle="1" w:styleId="BoldItalic">
    <w:name w:val="BoldItalic"/>
    <w:uiPriority w:val="1"/>
    <w:rsid w:val="00355A38"/>
    <w:rPr>
      <w:b/>
      <w:i/>
      <w:u w:val="none"/>
    </w:rPr>
  </w:style>
  <w:style w:type="character" w:customStyle="1" w:styleId="BoldItalicUnderline">
    <w:name w:val="BoldItalicUnderline"/>
    <w:uiPriority w:val="1"/>
    <w:rsid w:val="00355A38"/>
    <w:rPr>
      <w:b/>
      <w:i/>
      <w:u w:val="single"/>
    </w:rPr>
  </w:style>
  <w:style w:type="character" w:customStyle="1" w:styleId="BoldUnderline">
    <w:name w:val="BoldUnderline"/>
    <w:uiPriority w:val="1"/>
    <w:rsid w:val="00355A38"/>
    <w:rPr>
      <w:b/>
      <w:u w:val="single"/>
    </w:rPr>
  </w:style>
  <w:style w:type="paragraph" w:customStyle="1" w:styleId="CoverNormalLeft">
    <w:name w:val="CoverNormalLeft"/>
    <w:basedOn w:val="CoverNormal"/>
    <w:qFormat/>
    <w:rsid w:val="00355A38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355A3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character" w:customStyle="1" w:styleId="EPFooter2Motto">
    <w:name w:val="EPFooter2Motto"/>
    <w:uiPriority w:val="1"/>
    <w:qFormat/>
    <w:rsid w:val="00355A38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355A38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Italic">
    <w:name w:val="Italic"/>
    <w:uiPriority w:val="1"/>
    <w:rsid w:val="00355A38"/>
    <w:rPr>
      <w:i/>
    </w:rPr>
  </w:style>
  <w:style w:type="character" w:customStyle="1" w:styleId="ItalicUnderline">
    <w:name w:val="ItalicUnderline"/>
    <w:uiPriority w:val="1"/>
    <w:rsid w:val="00355A38"/>
    <w:rPr>
      <w:i/>
      <w:u w:val="single"/>
    </w:rPr>
  </w:style>
  <w:style w:type="paragraph" w:customStyle="1" w:styleId="LegendSign">
    <w:name w:val="LegendSign"/>
    <w:basedOn w:val="Normal"/>
    <w:qFormat/>
    <w:rsid w:val="00355A38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355A38"/>
    <w:pPr>
      <w:ind w:left="0" w:firstLine="0"/>
    </w:pPr>
  </w:style>
  <w:style w:type="paragraph" w:customStyle="1" w:styleId="LegendTitle">
    <w:name w:val="LegendTitle"/>
    <w:basedOn w:val="Normal"/>
    <w:qFormat/>
    <w:rsid w:val="00355A38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355A38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355A38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355A38"/>
    <w:pPr>
      <w:spacing w:after="240"/>
    </w:pPr>
  </w:style>
  <w:style w:type="paragraph" w:customStyle="1" w:styleId="Normal12b">
    <w:name w:val="Normal12b"/>
    <w:basedOn w:val="Normal"/>
    <w:qFormat/>
    <w:rsid w:val="00355A38"/>
    <w:pPr>
      <w:spacing w:before="240"/>
    </w:pPr>
  </w:style>
  <w:style w:type="paragraph" w:customStyle="1" w:styleId="NormalBoldUnderline24b">
    <w:name w:val="NormalBoldUnderline24b"/>
    <w:basedOn w:val="Normal"/>
    <w:qFormat/>
    <w:rsid w:val="00355A38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355A38"/>
    <w:pPr>
      <w:spacing w:after="240"/>
    </w:pPr>
  </w:style>
  <w:style w:type="paragraph" w:customStyle="1" w:styleId="Normal12aBullet1">
    <w:name w:val="Normal12aBullet1"/>
    <w:basedOn w:val="Normal"/>
    <w:qFormat/>
    <w:rsid w:val="00355A38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355A38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355A38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355A38"/>
    <w:pPr>
      <w:ind w:left="1417"/>
    </w:pPr>
  </w:style>
  <w:style w:type="paragraph" w:customStyle="1" w:styleId="NormalHanging12a3">
    <w:name w:val="NormalHanging12a3"/>
    <w:basedOn w:val="NormalHanging12a2"/>
    <w:qFormat/>
    <w:rsid w:val="00355A38"/>
    <w:pPr>
      <w:ind w:left="1843"/>
    </w:pPr>
  </w:style>
  <w:style w:type="paragraph" w:customStyle="1" w:styleId="NormalHanging12a4">
    <w:name w:val="NormalHanging12a4"/>
    <w:basedOn w:val="NormalHanging12a3"/>
    <w:qFormat/>
    <w:rsid w:val="00355A38"/>
    <w:pPr>
      <w:ind w:left="2268"/>
    </w:pPr>
  </w:style>
  <w:style w:type="paragraph" w:customStyle="1" w:styleId="NormalHanging12a5">
    <w:name w:val="NormalHanging12a5"/>
    <w:basedOn w:val="NormalHanging12a4"/>
    <w:qFormat/>
    <w:rsid w:val="00355A38"/>
    <w:pPr>
      <w:ind w:left="2693"/>
    </w:pPr>
  </w:style>
  <w:style w:type="paragraph" w:customStyle="1" w:styleId="NormalHanging12a6">
    <w:name w:val="NormalHanging12a6"/>
    <w:basedOn w:val="NormalHanging12a5"/>
    <w:qFormat/>
    <w:rsid w:val="00355A38"/>
    <w:pPr>
      <w:ind w:left="3118"/>
    </w:pPr>
  </w:style>
  <w:style w:type="paragraph" w:customStyle="1" w:styleId="NormalHanging12a7">
    <w:name w:val="NormalHanging12a7"/>
    <w:basedOn w:val="NormalHanging12a6"/>
    <w:qFormat/>
    <w:rsid w:val="00355A38"/>
    <w:pPr>
      <w:ind w:left="3544"/>
    </w:pPr>
  </w:style>
  <w:style w:type="paragraph" w:customStyle="1" w:styleId="NormalHangingCenter">
    <w:name w:val="NormalHangingCenter"/>
    <w:basedOn w:val="Normal"/>
    <w:qFormat/>
    <w:rsid w:val="00355A38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355A38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355A38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355A38"/>
    <w:pPr>
      <w:spacing w:line="120" w:lineRule="auto"/>
    </w:pPr>
    <w:rPr>
      <w:color w:val="000000"/>
      <w:sz w:val="4"/>
      <w:szCs w:val="24"/>
      <w:lang w:val="cs-CZ"/>
    </w:rPr>
  </w:style>
  <w:style w:type="character" w:customStyle="1" w:styleId="NormalBI">
    <w:name w:val="NormalBI"/>
    <w:basedOn w:val="DefaultParagraphFont"/>
    <w:uiPriority w:val="1"/>
    <w:qFormat/>
    <w:rsid w:val="00355A38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355A38"/>
    <w:rPr>
      <w:b/>
      <w:i/>
    </w:rPr>
  </w:style>
  <w:style w:type="paragraph" w:customStyle="1" w:styleId="NormalBoldItalicCenter6a">
    <w:name w:val="NormalBoldItalicCenter6a"/>
    <w:basedOn w:val="Normal6a"/>
    <w:qFormat/>
    <w:rsid w:val="00355A38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355A38"/>
    <w:rPr>
      <w:i/>
    </w:rPr>
  </w:style>
  <w:style w:type="paragraph" w:customStyle="1" w:styleId="PageHeadingNotTOC">
    <w:name w:val="PageHeadingNotTOC"/>
    <w:basedOn w:val="PageHeading"/>
    <w:rsid w:val="00355A38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355A38"/>
    <w:rPr>
      <w:vertAlign w:val="subscript"/>
    </w:rPr>
  </w:style>
  <w:style w:type="character" w:customStyle="1" w:styleId="SubBold">
    <w:name w:val="SubBold"/>
    <w:uiPriority w:val="1"/>
    <w:qFormat/>
    <w:rsid w:val="00355A38"/>
    <w:rPr>
      <w:b/>
      <w:vertAlign w:val="subscript"/>
    </w:rPr>
  </w:style>
  <w:style w:type="character" w:customStyle="1" w:styleId="SubBoldItalic">
    <w:name w:val="SubBoldItalic"/>
    <w:uiPriority w:val="1"/>
    <w:rsid w:val="00355A38"/>
    <w:rPr>
      <w:b/>
      <w:i/>
      <w:vertAlign w:val="subscript"/>
    </w:rPr>
  </w:style>
  <w:style w:type="character" w:customStyle="1" w:styleId="SubItalic">
    <w:name w:val="SubItalic"/>
    <w:uiPriority w:val="1"/>
    <w:qFormat/>
    <w:rsid w:val="00355A38"/>
    <w:rPr>
      <w:b/>
      <w:i/>
      <w:vertAlign w:val="subscript"/>
    </w:rPr>
  </w:style>
  <w:style w:type="character" w:customStyle="1" w:styleId="Sup">
    <w:name w:val="Sup"/>
    <w:uiPriority w:val="1"/>
    <w:rsid w:val="00355A38"/>
    <w:rPr>
      <w:vertAlign w:val="superscript"/>
    </w:rPr>
  </w:style>
  <w:style w:type="character" w:customStyle="1" w:styleId="SupBoldItalic">
    <w:name w:val="SupBoldItalic"/>
    <w:uiPriority w:val="1"/>
    <w:qFormat/>
    <w:rsid w:val="00355A38"/>
    <w:rPr>
      <w:b/>
      <w:i/>
      <w:vertAlign w:val="superscript"/>
    </w:rPr>
  </w:style>
  <w:style w:type="character" w:customStyle="1" w:styleId="Underline">
    <w:name w:val="Underline"/>
    <w:uiPriority w:val="1"/>
    <w:rsid w:val="00355A38"/>
    <w:rPr>
      <w:u w:val="single"/>
    </w:rPr>
  </w:style>
  <w:style w:type="paragraph" w:customStyle="1" w:styleId="NormalBoldCenter">
    <w:name w:val="NormalBoldCenter"/>
    <w:basedOn w:val="Normal"/>
    <w:rsid w:val="00355A38"/>
    <w:pPr>
      <w:jc w:val="center"/>
    </w:pPr>
    <w:rPr>
      <w:b/>
    </w:rPr>
  </w:style>
  <w:style w:type="paragraph" w:customStyle="1" w:styleId="ProcedureTable">
    <w:name w:val="ProcedureTable"/>
    <w:basedOn w:val="Normal"/>
    <w:rsid w:val="00355A38"/>
    <w:rPr>
      <w:sz w:val="20"/>
    </w:rPr>
  </w:style>
  <w:style w:type="paragraph" w:customStyle="1" w:styleId="ProcedureTableBold">
    <w:name w:val="ProcedureTableBold"/>
    <w:basedOn w:val="Normal"/>
    <w:rsid w:val="00355A38"/>
    <w:rPr>
      <w:b/>
      <w:sz w:val="20"/>
    </w:rPr>
  </w:style>
  <w:style w:type="paragraph" w:customStyle="1" w:styleId="NormalCenter">
    <w:name w:val="NormalCenter"/>
    <w:basedOn w:val="Normal"/>
    <w:rsid w:val="00355A38"/>
    <w:pPr>
      <w:jc w:val="center"/>
    </w:pPr>
  </w:style>
  <w:style w:type="character" w:customStyle="1" w:styleId="SubBoldItalicUnderline">
    <w:name w:val="SubBoldItalicUnderline"/>
    <w:uiPriority w:val="1"/>
    <w:rsid w:val="00355A38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355A38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355A38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355A38"/>
    <w:rPr>
      <w:u w:val="single"/>
      <w:vertAlign w:val="subscript"/>
    </w:rPr>
  </w:style>
  <w:style w:type="character" w:customStyle="1" w:styleId="SupBold">
    <w:name w:val="SupBold"/>
    <w:uiPriority w:val="1"/>
    <w:rsid w:val="00355A38"/>
    <w:rPr>
      <w:b/>
      <w:vertAlign w:val="superscript"/>
    </w:rPr>
  </w:style>
  <w:style w:type="character" w:customStyle="1" w:styleId="SupBoldItalicUnderline">
    <w:name w:val="SupBoldItalicUnderline"/>
    <w:uiPriority w:val="1"/>
    <w:rsid w:val="00355A38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355A38"/>
    <w:rPr>
      <w:b/>
      <w:u w:val="single"/>
      <w:vertAlign w:val="superscript"/>
    </w:rPr>
  </w:style>
  <w:style w:type="character" w:customStyle="1" w:styleId="SupItalic">
    <w:name w:val="SupItalic"/>
    <w:uiPriority w:val="1"/>
    <w:rsid w:val="00355A38"/>
    <w:rPr>
      <w:i/>
      <w:vertAlign w:val="superscript"/>
    </w:rPr>
  </w:style>
  <w:style w:type="character" w:customStyle="1" w:styleId="SupItalicUnderline">
    <w:name w:val="SupItalicUnderline"/>
    <w:uiPriority w:val="1"/>
    <w:rsid w:val="00355A38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355A38"/>
    <w:rPr>
      <w:u w:val="single"/>
      <w:vertAlign w:val="superscript"/>
    </w:rPr>
  </w:style>
  <w:style w:type="paragraph" w:customStyle="1" w:styleId="Normal24a">
    <w:name w:val="Normal24a"/>
    <w:basedOn w:val="Normal"/>
    <w:rsid w:val="00355A38"/>
    <w:pPr>
      <w:spacing w:after="480"/>
    </w:pPr>
  </w:style>
  <w:style w:type="paragraph" w:customStyle="1" w:styleId="Normal12a24b">
    <w:name w:val="Normal12a24b"/>
    <w:basedOn w:val="Normal"/>
    <w:rsid w:val="00355A38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355A38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355A38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355A38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355A38"/>
    <w:rPr>
      <w:snapToGrid w:val="0"/>
      <w:sz w:val="24"/>
      <w:lang w:val="cs-CZ" w:eastAsia="en-US"/>
    </w:rPr>
  </w:style>
  <w:style w:type="character" w:styleId="Emphasis">
    <w:name w:val="Emphasis"/>
    <w:basedOn w:val="DefaultParagraphFont"/>
    <w:uiPriority w:val="20"/>
    <w:qFormat/>
    <w:rsid w:val="00355A38"/>
    <w:rPr>
      <w:i/>
      <w:iCs/>
    </w:rPr>
  </w:style>
  <w:style w:type="paragraph" w:customStyle="1" w:styleId="NormalSingle">
    <w:name w:val="NormalSingle"/>
    <w:basedOn w:val="Normal"/>
    <w:qFormat/>
    <w:rsid w:val="00355A38"/>
    <w:rPr>
      <w:szCs w:val="24"/>
      <w:lang w:val="en-GB"/>
    </w:rPr>
  </w:style>
  <w:style w:type="paragraph" w:customStyle="1" w:styleId="RollCallVotes">
    <w:name w:val="RollCallVotes"/>
    <w:basedOn w:val="Normal"/>
    <w:rsid w:val="00355A38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355A38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355A38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355A38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Footprint12b">
    <w:name w:val="Footprint12b"/>
    <w:basedOn w:val="Normal"/>
    <w:rsid w:val="00355A38"/>
    <w:pPr>
      <w:spacing w:before="240"/>
    </w:pPr>
    <w:rPr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5A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5AC9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75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4/883/oj" TargetMode="External"/><Relationship Id="rId13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s://www.weforum.org/stories/2024/09/wind-energy-permitting-processes-europe/" TargetMode="External"/><Relationship Id="rId7" Type="http://schemas.openxmlformats.org/officeDocument/2006/relationships/hyperlink" Target="http://data.europa.eu/eli/dir/2005/36/oj" TargetMode="External"/><Relationship Id="rId12" Type="http://schemas.openxmlformats.org/officeDocument/2006/relationships/hyperlink" Target="http://data.europa.eu/eli/reg/2024/1689/oj" TargetMode="External"/><Relationship Id="rId2" Type="http://schemas.openxmlformats.org/officeDocument/2006/relationships/hyperlink" Target="https://documents1.worldbank.org/curated/en/600621587713071010/pdf/Doing-Business-in-the-European-Union-2020-Greece-Ireland-and-Italy.pdf" TargetMode="External"/><Relationship Id="rId16" Type="http://schemas.openxmlformats.org/officeDocument/2006/relationships/hyperlink" Target="http://data.europa.eu/eli/reg/2017/2394/oj" TargetMode="External"/><Relationship Id="rId1" Type="http://schemas.openxmlformats.org/officeDocument/2006/relationships/hyperlink" Target="https://single-market-economy.ec.europa.eu/publications/2025-annual-single-market-and-competitiveness-report_en" TargetMode="External"/><Relationship Id="rId6" Type="http://schemas.openxmlformats.org/officeDocument/2006/relationships/hyperlink" Target="http://data.europa.eu/eli/dir/2015/1535/oj" TargetMode="External"/><Relationship Id="rId11" Type="http://schemas.openxmlformats.org/officeDocument/2006/relationships/hyperlink" Target="http://data.europa.eu/eli/reg/2016/679/oj" TargetMode="External"/><Relationship Id="rId5" Type="http://schemas.openxmlformats.org/officeDocument/2006/relationships/hyperlink" Target="http://data.europa.eu/eli/dir/2006/123/oj" TargetMode="External"/><Relationship Id="rId15" Type="http://schemas.openxmlformats.org/officeDocument/2006/relationships/hyperlink" Target="http://data.europa.eu/eli/reg/2022/1925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agree_interinstit/2016/512/oj." TargetMode="External"/><Relationship Id="rId9" Type="http://schemas.openxmlformats.org/officeDocument/2006/relationships/hyperlink" Target="http://data.europa.eu/eli/reg/2024/2747/oj" TargetMode="External"/><Relationship Id="rId14" Type="http://schemas.openxmlformats.org/officeDocument/2006/relationships/hyperlink" Target="http://data.europa.eu/eli/dir/2024/28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5392</Words>
  <Characters>33967</Characters>
  <Application>Microsoft Office Word</Application>
  <DocSecurity>0</DocSecurity>
  <Lines>283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2025-09-11T10:56:00Z</dcterms:created>
  <dcterms:modified xsi:type="dcterms:W3CDTF">2025-09-11T10:56:00Z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