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1F61" w14:paraId="6CC5818A" w14:textId="77777777" w:rsidTr="0010095E">
        <w:trPr>
          <w:trHeight w:hRule="exact" w:val="1418"/>
        </w:trPr>
        <w:tc>
          <w:tcPr>
            <w:tcW w:w="6804" w:type="dxa"/>
            <w:shd w:val="clear" w:color="auto" w:fill="auto"/>
            <w:vAlign w:val="center"/>
          </w:tcPr>
          <w:p w14:paraId="200C33FA" w14:textId="77777777" w:rsidR="00751A4A" w:rsidRPr="00091F61" w:rsidRDefault="00145907" w:rsidP="0010095E">
            <w:pPr>
              <w:pStyle w:val="EPName"/>
            </w:pPr>
            <w:r w:rsidRPr="00091F61">
              <w:t>Europees Parlement</w:t>
            </w:r>
          </w:p>
          <w:p w14:paraId="0F32C89A" w14:textId="77777777" w:rsidR="00751A4A" w:rsidRPr="00091F61" w:rsidRDefault="005F1B17" w:rsidP="005F1B17">
            <w:pPr>
              <w:pStyle w:val="EPTerm"/>
              <w:rPr>
                <w:rStyle w:val="HideTWBExt"/>
                <w:noProof w:val="0"/>
                <w:vanish w:val="0"/>
                <w:color w:val="auto"/>
              </w:rPr>
            </w:pPr>
            <w:r w:rsidRPr="00091F61">
              <w:t>2024</w:t>
            </w:r>
            <w:r w:rsidR="00817416" w:rsidRPr="00091F61">
              <w:t>-202</w:t>
            </w:r>
            <w:r w:rsidRPr="00091F61">
              <w:t>9</w:t>
            </w:r>
          </w:p>
        </w:tc>
        <w:tc>
          <w:tcPr>
            <w:tcW w:w="2268" w:type="dxa"/>
            <w:shd w:val="clear" w:color="auto" w:fill="auto"/>
          </w:tcPr>
          <w:p w14:paraId="2A467A10" w14:textId="77777777" w:rsidR="00751A4A" w:rsidRPr="00091F61" w:rsidRDefault="00187494" w:rsidP="0010095E">
            <w:pPr>
              <w:pStyle w:val="EPLogo"/>
            </w:pPr>
            <w:r w:rsidRPr="00091F61">
              <w:rPr>
                <w:noProof/>
                <w:lang w:eastAsia="ja-JP"/>
              </w:rPr>
              <w:drawing>
                <wp:inline distT="0" distB="0" distL="0" distR="0" wp14:anchorId="26F91C09" wp14:editId="3DB53E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078124" w14:textId="77777777" w:rsidR="00D058B8" w:rsidRPr="00091F61" w:rsidRDefault="00D058B8" w:rsidP="004C5D52">
      <w:pPr>
        <w:pStyle w:val="LineTop"/>
      </w:pPr>
    </w:p>
    <w:p w14:paraId="6AF24593" w14:textId="77777777" w:rsidR="00680577" w:rsidRPr="00091F61" w:rsidRDefault="00145907" w:rsidP="00680577">
      <w:pPr>
        <w:pStyle w:val="EPBodyTA1"/>
      </w:pPr>
      <w:r w:rsidRPr="00091F61">
        <w:t>AANGENOMEN TEKSTEN</w:t>
      </w:r>
    </w:p>
    <w:p w14:paraId="6B641036" w14:textId="77777777" w:rsidR="00D058B8" w:rsidRPr="00091F61" w:rsidRDefault="00D058B8" w:rsidP="00D058B8">
      <w:pPr>
        <w:pStyle w:val="LineBottom"/>
      </w:pPr>
    </w:p>
    <w:p w14:paraId="78CED289" w14:textId="12B062A1" w:rsidR="00145907" w:rsidRPr="00091F61" w:rsidRDefault="00145907" w:rsidP="00145907">
      <w:pPr>
        <w:pStyle w:val="ATHeading1"/>
      </w:pPr>
      <w:bookmarkStart w:id="0" w:name="TANumber"/>
      <w:r w:rsidRPr="00091F61">
        <w:t>P10_TA(2025)0</w:t>
      </w:r>
      <w:r w:rsidR="00091F61" w:rsidRPr="00091F61">
        <w:t>197</w:t>
      </w:r>
      <w:bookmarkEnd w:id="0"/>
    </w:p>
    <w:p w14:paraId="316FD9C4" w14:textId="77777777" w:rsidR="00145907" w:rsidRPr="00091F61" w:rsidRDefault="00145907" w:rsidP="00145907">
      <w:pPr>
        <w:pStyle w:val="ATHeading2"/>
      </w:pPr>
      <w:bookmarkStart w:id="1" w:name="title"/>
      <w:r w:rsidRPr="00091F61">
        <w:t>Uitvoering en vereenvoudiging van internemarktregels van de EU om de eengemaakte markt te versterken</w:t>
      </w:r>
      <w:bookmarkEnd w:id="1"/>
    </w:p>
    <w:p w14:paraId="2B0201C1" w14:textId="77777777" w:rsidR="00145907" w:rsidRPr="00091F61" w:rsidRDefault="00145907" w:rsidP="00145907">
      <w:pPr>
        <w:rPr>
          <w:i/>
          <w:vanish/>
        </w:rPr>
      </w:pPr>
      <w:r w:rsidRPr="00091F61">
        <w:rPr>
          <w:i/>
        </w:rPr>
        <w:fldChar w:fldCharType="begin"/>
      </w:r>
      <w:r w:rsidRPr="00091F61">
        <w:rPr>
          <w:i/>
        </w:rPr>
        <w:instrText xml:space="preserve"> TC"(</w:instrText>
      </w:r>
      <w:bookmarkStart w:id="2" w:name="DocNumber"/>
      <w:r w:rsidRPr="00091F61">
        <w:rPr>
          <w:i/>
        </w:rPr>
        <w:instrText>A10-0151/2025</w:instrText>
      </w:r>
      <w:bookmarkEnd w:id="2"/>
      <w:r w:rsidRPr="00091F61">
        <w:rPr>
          <w:i/>
        </w:rPr>
        <w:instrText xml:space="preserve"> - Rapporteur: Anna-Maja Henriksson)"\l3 \n&gt; \* MERGEFORMAT </w:instrText>
      </w:r>
      <w:r w:rsidRPr="00091F61">
        <w:rPr>
          <w:i/>
        </w:rPr>
        <w:fldChar w:fldCharType="end"/>
      </w:r>
    </w:p>
    <w:p w14:paraId="070A22E2" w14:textId="77777777" w:rsidR="00145907" w:rsidRPr="00091F61" w:rsidRDefault="00145907" w:rsidP="00145907">
      <w:pPr>
        <w:rPr>
          <w:vanish/>
        </w:rPr>
      </w:pPr>
      <w:bookmarkStart w:id="3" w:name="Commission"/>
      <w:r w:rsidRPr="00091F61">
        <w:rPr>
          <w:vanish/>
        </w:rPr>
        <w:t>Commissie interne markt en consumentenbescherming</w:t>
      </w:r>
      <w:bookmarkEnd w:id="3"/>
    </w:p>
    <w:p w14:paraId="2AE8DC72" w14:textId="77777777" w:rsidR="00145907" w:rsidRPr="00091F61" w:rsidRDefault="00145907" w:rsidP="00145907">
      <w:pPr>
        <w:rPr>
          <w:vanish/>
        </w:rPr>
      </w:pPr>
      <w:bookmarkStart w:id="4" w:name="PE"/>
      <w:r w:rsidRPr="00091F61">
        <w:rPr>
          <w:vanish/>
        </w:rPr>
        <w:t>PE769.908</w:t>
      </w:r>
      <w:bookmarkEnd w:id="4"/>
    </w:p>
    <w:p w14:paraId="425DB890" w14:textId="77777777" w:rsidR="00145907" w:rsidRPr="00091F61" w:rsidRDefault="00145907" w:rsidP="00145907">
      <w:pPr>
        <w:pStyle w:val="ATHeading3"/>
      </w:pPr>
      <w:bookmarkStart w:id="5" w:name="Sujet"/>
      <w:r w:rsidRPr="00091F61">
        <w:t>Resolutie van het Europees Parlement van 11 september 2025 over de uitvoering en vereenvoudiging van internemarktregels van de EU om de eengemaakte markt te versterken</w:t>
      </w:r>
      <w:bookmarkEnd w:id="5"/>
      <w:r w:rsidRPr="00091F61">
        <w:t xml:space="preserve"> </w:t>
      </w:r>
      <w:bookmarkStart w:id="6" w:name="References"/>
      <w:r w:rsidRPr="00091F61">
        <w:t>(2025/2009(INI))</w:t>
      </w:r>
      <w:bookmarkEnd w:id="6"/>
    </w:p>
    <w:p w14:paraId="1A9A4677" w14:textId="77777777" w:rsidR="00BA1000" w:rsidRPr="00091F61" w:rsidRDefault="00BA1000" w:rsidP="00BA1000">
      <w:pPr>
        <w:pStyle w:val="EPComma"/>
      </w:pPr>
      <w:r w:rsidRPr="00091F61">
        <w:rPr>
          <w:rStyle w:val="Italic"/>
        </w:rPr>
        <w:t>Het Europees Parlement</w:t>
      </w:r>
      <w:r w:rsidRPr="00091F61">
        <w:t>,</w:t>
      </w:r>
    </w:p>
    <w:p w14:paraId="2B8DF43C" w14:textId="43132E6A" w:rsidR="00BA1000" w:rsidRPr="00091F61" w:rsidRDefault="00BA1000" w:rsidP="00BA1000">
      <w:pPr>
        <w:pStyle w:val="NormalHanging12a"/>
      </w:pPr>
      <w:r w:rsidRPr="00091F61">
        <w:t>–</w:t>
      </w:r>
      <w:r w:rsidRPr="00091F61">
        <w:tab/>
        <w:t>gezien de mededeling van de Commissie van 11 februari 2025 getiteld “Werkprogramma van de Commissie 2025 – Samen vooruit: Een doortastendere, eenvoudigere, snellere Unie” (COM(2025)0045),</w:t>
      </w:r>
    </w:p>
    <w:p w14:paraId="7FDF73B1" w14:textId="77777777" w:rsidR="00BA1000" w:rsidRPr="00091F61" w:rsidRDefault="00BA1000" w:rsidP="00BA1000">
      <w:pPr>
        <w:pStyle w:val="NormalHanging12a"/>
      </w:pPr>
      <w:r w:rsidRPr="00091F61">
        <w:t>–</w:t>
      </w:r>
      <w:r w:rsidRPr="00091F61">
        <w:tab/>
        <w:t>gezien de Politieke beleidslijnen voor de volgende Europese Commissie 2024-2029, die op 18 juli 2024 door de verkozen voorzitter van de Commissie zijn gepresenteerd,</w:t>
      </w:r>
    </w:p>
    <w:p w14:paraId="3A663B99" w14:textId="1C7A517E" w:rsidR="00BA1000" w:rsidRPr="00091F61" w:rsidRDefault="00BA1000" w:rsidP="00BA1000">
      <w:pPr>
        <w:pStyle w:val="NormalHanging12a"/>
      </w:pPr>
      <w:r w:rsidRPr="00091F61">
        <w:t>–</w:t>
      </w:r>
      <w:r w:rsidRPr="00091F61">
        <w:tab/>
        <w:t>gezien de mededeling van de Commissie van 11 februari 2025 getiteld “Een eenvoudiger en sneller Europa: mededeling over uitvoering en vereenvoudiging” (COM(2025)0047),</w:t>
      </w:r>
    </w:p>
    <w:p w14:paraId="7F091E71" w14:textId="2AB5AA50" w:rsidR="00BA1000" w:rsidRPr="00091F61" w:rsidRDefault="00BA1000" w:rsidP="00BA1000">
      <w:pPr>
        <w:pStyle w:val="NormalHanging12a"/>
      </w:pPr>
      <w:r w:rsidRPr="00091F61">
        <w:t>–</w:t>
      </w:r>
      <w:r w:rsidRPr="00091F61">
        <w:tab/>
        <w:t>gezien de mededeling van de Commissie van 29 januari 2025 getiteld “Het EU‑kompas voor concurrentievermogen” (COM(2025)0030),</w:t>
      </w:r>
    </w:p>
    <w:p w14:paraId="1BE1C84B" w14:textId="1931C6E3" w:rsidR="00BA1000" w:rsidRPr="00091F61" w:rsidRDefault="00BA1000" w:rsidP="00BA1000">
      <w:pPr>
        <w:pStyle w:val="NormalHanging12a"/>
      </w:pPr>
      <w:r w:rsidRPr="00091F61">
        <w:t>–</w:t>
      </w:r>
      <w:r w:rsidRPr="00091F61">
        <w:tab/>
        <w:t>gezien de mededeling van de Commissie van 29 januari 2025 getiteld “Het jaarverslag over de eengemaakte markt en het concurrentievermogen 2025” (COM(2025)0026),</w:t>
      </w:r>
    </w:p>
    <w:p w14:paraId="3FCDA6CF" w14:textId="77777777" w:rsidR="00BA1000" w:rsidRPr="00091F61" w:rsidRDefault="00BA1000" w:rsidP="00BA1000">
      <w:pPr>
        <w:pStyle w:val="NormalHanging12a"/>
      </w:pPr>
      <w:r w:rsidRPr="00091F61">
        <w:t>–</w:t>
      </w:r>
      <w:r w:rsidRPr="00091F61">
        <w:tab/>
        <w:t>gezien het rapport van Mario Draghi van 9 september 2024 getiteld “The future of European competitiveness” (De toekomst van het Europese concurrentievermogen),</w:t>
      </w:r>
    </w:p>
    <w:p w14:paraId="4F852A91" w14:textId="77777777" w:rsidR="00BA1000" w:rsidRPr="00091F61" w:rsidRDefault="00BA1000" w:rsidP="00BA1000">
      <w:pPr>
        <w:pStyle w:val="NormalHanging12a"/>
      </w:pPr>
      <w:r w:rsidRPr="00091F61">
        <w:t>–</w:t>
      </w:r>
      <w:r w:rsidRPr="00091F61">
        <w:tab/>
        <w:t>gezien het rapport van Enrico Letta van 10 april 2024 getiteld “Much more than a market” (Veel meer dan een markt),</w:t>
      </w:r>
    </w:p>
    <w:p w14:paraId="42BECE93" w14:textId="2F0A2A4D" w:rsidR="00BA1000" w:rsidRPr="00091F61" w:rsidRDefault="00BA1000" w:rsidP="00BA1000">
      <w:pPr>
        <w:pStyle w:val="NormalHanging12a"/>
      </w:pPr>
      <w:r w:rsidRPr="00091F61">
        <w:t>–</w:t>
      </w:r>
      <w:r w:rsidRPr="00091F61">
        <w:tab/>
        <w:t>gezien het rapport van Sauli</w:t>
      </w:r>
      <w:r w:rsidR="00EE6209" w:rsidRPr="00091F61">
        <w:rPr>
          <w:rStyle w:val="Bold"/>
        </w:rPr>
        <w:t xml:space="preserve"> </w:t>
      </w:r>
      <w:r w:rsidRPr="00091F61">
        <w:t>Niinistö van 30 oktober 2024 getiteld “Safer Together – Strengthening Europe’s Civilian and Military Preparedness and Readiness” (Samen veiliger – Versterking van de civiele en militaire paraatheid en gereedheid van Europa),</w:t>
      </w:r>
    </w:p>
    <w:p w14:paraId="2D07A556" w14:textId="77777777" w:rsidR="00BA1000" w:rsidRPr="00091F61" w:rsidRDefault="00BA1000" w:rsidP="00BA1000">
      <w:pPr>
        <w:pStyle w:val="NormalHanging12a"/>
      </w:pPr>
      <w:r w:rsidRPr="00091F61">
        <w:lastRenderedPageBreak/>
        <w:t>–</w:t>
      </w:r>
      <w:r w:rsidRPr="00091F61">
        <w:tab/>
        <w:t>gezien zijn resolutie van 18 januari 2023 over het dertigjarig bestaan van de eengemaakte markt: de verwezenlijkingen vieren en uitkijken naar toekomstige ontwikkelingen</w:t>
      </w:r>
      <w:r w:rsidRPr="00091F61">
        <w:rPr>
          <w:rStyle w:val="FootnoteReference"/>
        </w:rPr>
        <w:footnoteReference w:id="1"/>
      </w:r>
      <w:r w:rsidRPr="00091F61">
        <w:t>,</w:t>
      </w:r>
    </w:p>
    <w:p w14:paraId="195E961B" w14:textId="77777777" w:rsidR="00BA1000" w:rsidRPr="00091F61" w:rsidRDefault="00BA1000" w:rsidP="00BA1000">
      <w:pPr>
        <w:pStyle w:val="NormalHanging12a"/>
      </w:pPr>
      <w:r w:rsidRPr="00091F61">
        <w:t>–</w:t>
      </w:r>
      <w:r w:rsidRPr="00091F61">
        <w:tab/>
        <w:t>gezien artikel 55 van het Reglement,</w:t>
      </w:r>
    </w:p>
    <w:p w14:paraId="5CB156AF" w14:textId="77777777" w:rsidR="00BA1000" w:rsidRPr="00091F61" w:rsidRDefault="00BA1000" w:rsidP="00BA1000">
      <w:pPr>
        <w:pStyle w:val="NormalHanging12a"/>
      </w:pPr>
      <w:r w:rsidRPr="00091F61">
        <w:t>–</w:t>
      </w:r>
      <w:r w:rsidRPr="00091F61">
        <w:tab/>
        <w:t>gezien het verslag van de Commissie interne markt en consumentenbescherming (A10-0151/2025),</w:t>
      </w:r>
    </w:p>
    <w:p w14:paraId="1A575F5A" w14:textId="77777777" w:rsidR="00BA1000" w:rsidRPr="00091F61" w:rsidRDefault="00BA1000" w:rsidP="00BA1000">
      <w:pPr>
        <w:pStyle w:val="NormalHanging12a"/>
      </w:pPr>
      <w:r w:rsidRPr="00091F61">
        <w:t>A.</w:t>
      </w:r>
      <w:r w:rsidRPr="00091F61">
        <w:tab/>
        <w:t>overwegende dat de EU een van de grootste economische blokken ter wereld is, met een bevolking van ongeveer 450 miljoen mensen; overwegende dat het waarborgen van een concurrerend, doelmatig en vereenvoudigd regelgevingsklimaat essentieel is met het oog op het versterken van de mondiale positie van de EU, het bevorderen van langetermijngroei, consumentenvertrouwen en -bescherming en innovatie, en het voltooien van de groene en de digitale transitie;</w:t>
      </w:r>
    </w:p>
    <w:p w14:paraId="24F1C921" w14:textId="77777777" w:rsidR="00BA1000" w:rsidRPr="00091F61" w:rsidRDefault="00BA1000" w:rsidP="00BA1000">
      <w:pPr>
        <w:pStyle w:val="NormalHanging12a"/>
      </w:pPr>
      <w:r w:rsidRPr="00091F61">
        <w:t>B.</w:t>
      </w:r>
      <w:r w:rsidRPr="00091F61">
        <w:tab/>
        <w:t>overwegende dat de Commissie de doelstelling heeft vastgesteld om uiterlijk in 2029 de administratieve lasten voor alle ondernemingen met 25 % te verminderen alsook de doelstelling om uiterlijk in datzelfde jaar de administratieve lasten voor kleine en middelgrote ondernemingen (kmo’s) met 35 % te verminderen; overwegende dat de Commissie in haar mededeling “Een eenvoudiger en sneller Europa” benadrukt dat er snel concrete verbeteringen gerealiseerd moeten worden in de vorm van slimmere regelgeving, een doeltreffender uitvoering en een grotere rol voor belanghebbenden; overwegende dat de inspanningen op dit vlak erop gericht moeten zijn de markttoegang te verbeteren, onnodige lasten te verminderen en een eerlijk speelveld te waarborgen en dat het bedrijfsleven, de consumenten en de samenleving in het algemeen hiervan moeten kunnen profiteren, waarbij ook de belangrijkste beleidsdoelstellingen en de hoge sociale en milieunormen van de EU geëerbiedigd moeten worden;</w:t>
      </w:r>
    </w:p>
    <w:p w14:paraId="6ABDAAC3" w14:textId="77777777" w:rsidR="00BA1000" w:rsidRPr="00091F61" w:rsidRDefault="00BA1000" w:rsidP="00BA1000">
      <w:pPr>
        <w:pStyle w:val="NormalHanging12a"/>
        <w:rPr>
          <w:bCs/>
          <w:iCs/>
        </w:rPr>
      </w:pPr>
      <w:r w:rsidRPr="00091F61">
        <w:t>C.</w:t>
      </w:r>
      <w:r w:rsidRPr="00091F61">
        <w:tab/>
        <w:t>overwegende dat in het rapport-Draghi en het rapport-Letta wordt gesteld dat de versnippering van de interne markt, de complexiteit van de regelgeving en de inconsistente toepassing van EU-wetgeving belangrijke belemmeringen zijn voor het concurrentievermogen van de eengemaakte markt van de EU; overwegende dat in het rapport-Draghi wordt gesteld dat het bevorderen van een stabieler en voorspelbaarder regelgevingsklimaat, gekenmerkt door noodzakelijke en evenredige wetgevingsmaatregelen, het concurrentievermogen van de EU kan helpen versterken;</w:t>
      </w:r>
    </w:p>
    <w:p w14:paraId="094CE863" w14:textId="77777777" w:rsidR="00BA1000" w:rsidRPr="00091F61" w:rsidRDefault="00BA1000" w:rsidP="00BA1000">
      <w:pPr>
        <w:pStyle w:val="NormalHanging12a"/>
      </w:pPr>
      <w:r w:rsidRPr="00091F61">
        <w:t>D.</w:t>
      </w:r>
      <w:r w:rsidRPr="00091F61">
        <w:tab/>
        <w:t>overwegende dat in de bevindingen in het rapport-Niinistö over het vereenvoudigen en versterken van de defensie-industrie van de EU wordt benadrukt dat het van strategisch belang is om de regelgeving in belangrijke sectoren te stroomlijnen om versnippering te verminderen, openbare-aanbestedingsprocedures te versnellen en de prestaties te verbeteren, om de defensie-industrieën te ondersteunen en de lidstaten in staat te stellen belangrijke doelstellingen inzake defensie-uitgaven te bereiken en de veiligheid en het concurrentievermogen van de EU te bevorderen;</w:t>
      </w:r>
    </w:p>
    <w:p w14:paraId="667BE6DE" w14:textId="77777777" w:rsidR="00BA1000" w:rsidRPr="00091F61" w:rsidRDefault="00BA1000" w:rsidP="00BA1000">
      <w:pPr>
        <w:pStyle w:val="NormalHanging12a"/>
      </w:pPr>
      <w:r w:rsidRPr="00091F61">
        <w:t>E.</w:t>
      </w:r>
      <w:r w:rsidRPr="00091F61">
        <w:tab/>
        <w:t xml:space="preserve">overwegende dat het jaarverslag over de eengemaakte markt en het concurrentievermogen 2025 en het scorebord van de eengemaakte markt en het concurrentievermogen cruciale informatie verschaffen over de huidige stand van de eengemaakte markt, het ondernemersvertrouwen en het concurrentievermogen op </w:t>
      </w:r>
      <w:r w:rsidRPr="00091F61">
        <w:lastRenderedPageBreak/>
        <w:t>sectorniveau; overwegende dat de dienstensector nog altijd minder geïntegreerd is dan de goederensector; overwegende dat het gebrek aan harmonisatie nog altijd een belemmering vormt voor grensoverschrijdende dienstverlening, met name door kmo’s; overwegende dat uit recente statistieken blijkt dat de termijnen voor het verkrijgen van een vergunning om een bedrijf te starten en bedrijfsactiviteiten te gaan ontplooien in de EU nog altijd veel langer zijn dan in concurrerende regio’s en dat dit belemmeringen opwerpt voor investeringen en innovatie</w:t>
      </w:r>
      <w:r w:rsidRPr="00091F61">
        <w:rPr>
          <w:rStyle w:val="FootnoteReference"/>
        </w:rPr>
        <w:footnoteReference w:id="2"/>
      </w:r>
      <w:r w:rsidRPr="00091F61">
        <w:t xml:space="preserve">; </w:t>
      </w:r>
    </w:p>
    <w:p w14:paraId="3A54C8BC" w14:textId="77777777" w:rsidR="00BA1000" w:rsidRPr="00091F61" w:rsidRDefault="00BA1000" w:rsidP="00BA1000">
      <w:pPr>
        <w:pStyle w:val="NormalHanging12a"/>
      </w:pPr>
      <w:r w:rsidRPr="00091F61">
        <w:t>F.</w:t>
      </w:r>
      <w:r w:rsidRPr="00091F61">
        <w:tab/>
        <w:t xml:space="preserve">overwegende dat de versnippering, complexiteit, overlappingen en inconsistente uitvoering van de EU-regels voor de interne markt leiden tot ongerechtvaardigde belemmeringen en onnodige administratieve lasten, met onevenredig grote gevolgen voor kmo’s, kleine midcaps en start-ups, die 99 % van de EU-bedrijven uitmaken, waardoor het vermogen van deze bedrijven om te innoveren, te investeren, op te schalen, effectief te concurreren en grensoverschrijdende activiteiten te ontplooien binnen de eengemaakte markt en op de wereldmarkten wordt beperkt; overwegende dat de kmo-toets en een betere uitvoering en vereenvoudiging, waar nodig en gerechtvaardigd, van de EU-wetgeving van essentieel belang zijn om evenredigheid in het rechtskader te waarborgen; overwegende dat, zoals in het rapport-Draghi wordt benadrukt, de concurrentiekloof tussen de EU en andere economieën ook wordt veroorzaakt doordat Europese grote ondernemingen onderpresteren, en overwegende dat succesvolle bedrijven op de interne markt die ook waarde vangen op de wereldmarkten, van essentieel belang zijn voor het creëren van welvaart voor de EU en haar burgers; </w:t>
      </w:r>
    </w:p>
    <w:p w14:paraId="61A5B853" w14:textId="77777777" w:rsidR="00BA1000" w:rsidRPr="00091F61" w:rsidRDefault="00BA1000" w:rsidP="00BA1000">
      <w:pPr>
        <w:pStyle w:val="NormalHanging12a"/>
      </w:pPr>
      <w:r w:rsidRPr="00091F61">
        <w:t>G.</w:t>
      </w:r>
      <w:r w:rsidRPr="00091F61">
        <w:tab/>
        <w:t>overwegende dat krachtige handhaving van de regels inzake de eengemaakte markt, onder meer door ervoor te zorgen dat inbreukprocedures vlotter en doeltreffender verlopen, cruciaal moet worden geacht om eerlijke concurrentie en ondernemersvertrouwen te waarborgen en consumenten te beschermen tegen de gevolgen van marktversnippering en een beperkt aanbod; overwegende dat inspanningen om het wetgevingskader van de EU te verbeteren, te stroomlijnen en te vereenvoudigen ook gericht moeten zijn op het verbeteren van de kwaliteit, duidelijkheid en samenhang en op het verminderen van de versnippering bij de uitvoering van EU-regels, waarbij gewaarborgd moet worden dat de wetgeving gemakkelijk te begrijpen is voor autoriteiten en alle belanghebbenden;</w:t>
      </w:r>
    </w:p>
    <w:p w14:paraId="2D9D34CD" w14:textId="77777777" w:rsidR="00BA1000" w:rsidRPr="00091F61" w:rsidRDefault="00BA1000" w:rsidP="00BA1000">
      <w:pPr>
        <w:pStyle w:val="NormalHanging12a"/>
      </w:pPr>
      <w:r w:rsidRPr="00091F61">
        <w:t>H.</w:t>
      </w:r>
      <w:r w:rsidRPr="00091F61">
        <w:tab/>
        <w:t xml:space="preserve">overwegende dat het kompas voor concurrentievermogen en het werkprogramma van de Commissie voor 2025 ambitieuze beleidsdoelstellingen bevatten die erop gericht zijn de veerkracht van de eengemaakte markt te versterken, de administratieve lasten te verminderen en het regelgevingskader af te stemmen op mondiale beste praktijken; overwegende dat een sterkere koppeling tussen de industriestrategie van de EU en de strategie voor de eengemaakte markt van de EU noodzakelijk is om het concurrentievermogen van de economie van de EU te versterken, onder meer door middel van ondersteuning van de ontwikkeling en toepassing van schone en strategische technologieën; </w:t>
      </w:r>
    </w:p>
    <w:p w14:paraId="02FF5E7D" w14:textId="77777777" w:rsidR="00BA1000" w:rsidRPr="00091F61" w:rsidRDefault="00BA1000" w:rsidP="00BA1000">
      <w:pPr>
        <w:pStyle w:val="NormalHanging12a"/>
      </w:pPr>
      <w:r w:rsidRPr="00091F61">
        <w:lastRenderedPageBreak/>
        <w:t>I.</w:t>
      </w:r>
      <w:r w:rsidRPr="00091F61">
        <w:tab/>
        <w:t>overwegende dat bij inspanningen om de EU-regelgeving inzake de interne markt te vereenvoudigen rekening moet worden gehouden met de standpunten van bedrijven, vakbonden, consumenten, maatschappelijke organisaties, de academische wereld en andere belanghebbenden, zodat gewaarborgd wordt dat met het EU-beleid wordt bijgedragen aan economische groei en hoogwaardige banen en een positief klimaat wordt gecreëerd voor particuliere investeringen en innovatie en voor de verwezenlijking van beleidsdoelstellingen zoals duurzaamheid, digitalisering en consumentenbescherming, door middel van het organiseren van omvattende, transparante en inclusieve openbare raadplegingen, waarbij bijzondere aandacht wordt besteed aan de specifieke behoeften en perspectieven van kmo’s en start-ups en van andere belanghebbenden met een beperkte capaciteit, en waarbij wordt gewaarborgd dat de vereenvoudigingen niet ten koste gaan van pioniers en er geen stimulansen verdwijnen voor innovatieve bedrijven;</w:t>
      </w:r>
    </w:p>
    <w:p w14:paraId="19D895DD" w14:textId="77777777" w:rsidR="00BA1000" w:rsidRPr="00091F61" w:rsidRDefault="00BA1000" w:rsidP="00BA1000">
      <w:pPr>
        <w:pStyle w:val="NormalHanging12a"/>
      </w:pPr>
      <w:r w:rsidRPr="00091F61">
        <w:t>J.</w:t>
      </w:r>
      <w:r w:rsidRPr="00091F61">
        <w:tab/>
        <w:t>overwegende dat ongerechtvaardigde nationale belemmeringen voor het vrije verkeer van goederen en diensten de werking van de interne markt ondermijnen en dus moeten worden aangepakt en moeten worden voorkomen; overwegende dat het Internationaal Monetair Fonds heeft becijferd dat de belemmeringen voor de interne markt van de EU gelijkstaan aan douaneheffingen van 45 % in de productiesector en 110 % in de dienstensector; overwegende dat een dergelijke versnippering de mededinging verzwakt, de productiviteit en groei belemmert en kmo’s onevenredig hard treft;</w:t>
      </w:r>
    </w:p>
    <w:p w14:paraId="24F9F876" w14:textId="77777777" w:rsidR="00BA1000" w:rsidRPr="00091F61" w:rsidRDefault="00BA1000" w:rsidP="00BA1000">
      <w:pPr>
        <w:pStyle w:val="NormalHanging12a"/>
      </w:pPr>
      <w:r w:rsidRPr="00091F61">
        <w:t>K.</w:t>
      </w:r>
      <w:r w:rsidRPr="00091F61">
        <w:tab/>
        <w:t>overwegende dat de gevolgen van territoriale leveringsbeperkingen voor de interne markt, kmo’s en de koopkracht van burgers in de EU aanzienlijk zijn, omdat territoriale leveringsbeperkingen, zo stelt de Commissie, consumenten in de EU meer dan 14 miljard EUR per jaar kosten;</w:t>
      </w:r>
    </w:p>
    <w:p w14:paraId="24BD81B0" w14:textId="77777777" w:rsidR="00BA1000" w:rsidRPr="00091F61" w:rsidRDefault="00BA1000" w:rsidP="00BA1000">
      <w:pPr>
        <w:pStyle w:val="Normal12a24b"/>
        <w:rPr>
          <w:rStyle w:val="BoldItalic"/>
        </w:rPr>
      </w:pPr>
      <w:r w:rsidRPr="00091F61">
        <w:rPr>
          <w:rStyle w:val="BoldItalic"/>
        </w:rPr>
        <w:t>De eengemaakte markt versterken om het concurrentievermogen en de mondiale invloed van de EU te vergroten</w:t>
      </w:r>
    </w:p>
    <w:p w14:paraId="152506F8" w14:textId="77777777" w:rsidR="00BA1000" w:rsidRPr="00091F61" w:rsidRDefault="00BA1000" w:rsidP="00BA1000">
      <w:pPr>
        <w:pStyle w:val="Normal12a24b"/>
        <w:ind w:left="720" w:hanging="720"/>
      </w:pPr>
      <w:r w:rsidRPr="00091F61">
        <w:t>1.</w:t>
      </w:r>
      <w:r w:rsidRPr="00091F61">
        <w:tab/>
        <w:t>wijst erop dat het mondiale concurrentievermogen van de EU in bepaalde sectoren achterblijft; wijst erop dat tekortkomingen in verband met de uitvoering van wetgeving, versnippering van regelgeving en onnodige administratieve lasten enkele van de belangrijkste factoren zijn die ervoor zorgen dat de EU achterop raakt op het gebied van investeringen, innovatie, het scheppen van banen en zakelijke kansen; benadrukt dat bevordering, stroomlijning en vereenvoudiging van regels, alsook de correcte en tijdige tenuitvoerlegging en de effectieve handhaving van gemeenschappelijke regels de eengemaakte markt versterken, waardoor het concurrentievermogen, de economische welvaart, de werkgelegenheid, de ontwikkeling van vaardigheden, hoogwaardige banen, hoge milieunormen en innovatie worden gestimuleerd;</w:t>
      </w:r>
    </w:p>
    <w:p w14:paraId="48891D41" w14:textId="77777777" w:rsidR="00BA1000" w:rsidRPr="00091F61" w:rsidRDefault="00BA1000" w:rsidP="00BA1000">
      <w:pPr>
        <w:pStyle w:val="Normal12a24b"/>
        <w:ind w:left="720" w:hanging="720"/>
        <w:rPr>
          <w:iCs/>
        </w:rPr>
      </w:pPr>
      <w:r w:rsidRPr="00091F61">
        <w:t>2.</w:t>
      </w:r>
      <w:r w:rsidRPr="00091F61">
        <w:tab/>
        <w:t xml:space="preserve">wijst erop dat het met het oog op het waarborgen van de welvaart van de EU noodzakelijk is dat de samenhang van de regelgeving wordt verbeterd en dat onnodige administratieve lasten voor bedrijven, met name kleinere bedrijven en start-ups, worden verminderd; dringt er daarom op aan dat de belemmeringen die momenteel de groei, het scheppen van banen en investeringen in de weg staan, worden weggenomen en dat middelen worden ingezet om innovatie en groei te stimuleren, waarbij een gelijk speelveld op basis van hoge sociale en milieunormen wordt gewaarborgd; benadrukt dat particuliere investeringen moeten worden aangetrokken en dat </w:t>
      </w:r>
      <w:r w:rsidRPr="00091F61">
        <w:lastRenderedPageBreak/>
        <w:t>bijzondere aandacht moet worden besteed aan het verlagen van de nalevingskosten voor kmo’s door gebruikmaking van digitale instrumenten te bevorderen en bepaalde afwijkingen voor kmo’s toe te staan; is van mening dat bepalingen moeten worden ingevoerd die specifiek gericht zijn op kmo’s en dat er tevens hervormingen moeten worden doorgevoerd om de hardnekkige belemmeringen voor bedrijven die willen opschalen aan te pakken en om grotere bedrijven in staat te stellen grensoverschrijdend en internationaal te opereren en te concurreren;</w:t>
      </w:r>
    </w:p>
    <w:p w14:paraId="4F341330" w14:textId="77777777" w:rsidR="00BA1000" w:rsidRPr="00091F61" w:rsidRDefault="00BA1000" w:rsidP="00BA1000">
      <w:pPr>
        <w:pStyle w:val="Normal12a24b"/>
        <w:ind w:left="720" w:hanging="720"/>
      </w:pPr>
      <w:r w:rsidRPr="00091F61">
        <w:t>3.</w:t>
      </w:r>
      <w:r w:rsidRPr="00091F61">
        <w:tab/>
        <w:t>benadrukt dat meer harmonisatie, gestroomlijnde processen en een correcte uitvoering, doeltreffende toepassing, naleving, monitoring en handhaving van EU-wetgeving essentieel zijn voor de goede werking van de interne markt en de verwezenlijking van belangrijke EU-beleidsdoelstellingen; is ingenomen met de doelstellingen van de Commissie om het concurrentievermogen, innovatie en de productiviteit te stimuleren door middel van vereenvoudiging, stroomlijning en verbeterde uitvoering en handhaving van EU-regels; verzoekt de Commissie om de aanbevelingen in het rapport-Draghi, het rapport-Letta en het rapport-Niinistö op te volgen door concrete maatregelen te nemen en voor de uitvoering daarvan duidelijke tijdschema’s vast te leggen;</w:t>
      </w:r>
    </w:p>
    <w:p w14:paraId="1BD10AB5" w14:textId="77777777" w:rsidR="00BA1000" w:rsidRPr="00091F61" w:rsidRDefault="00BA1000" w:rsidP="00BA1000">
      <w:pPr>
        <w:pStyle w:val="Normal12a24b"/>
        <w:rPr>
          <w:rStyle w:val="BoldItalic"/>
        </w:rPr>
      </w:pPr>
      <w:r w:rsidRPr="00091F61">
        <w:rPr>
          <w:rStyle w:val="BoldItalic"/>
        </w:rPr>
        <w:t>Gestroomlijnde regels, betere uitvoering en krachtige handhaving voor een voorspelbaar en concurrerend ondernemingsklimaat</w:t>
      </w:r>
    </w:p>
    <w:p w14:paraId="3D94754E" w14:textId="77777777" w:rsidR="00BA1000" w:rsidRPr="00091F61" w:rsidRDefault="00BA1000" w:rsidP="00BA1000">
      <w:pPr>
        <w:pStyle w:val="Normal12a24b"/>
        <w:ind w:left="720" w:hanging="720"/>
        <w:rPr>
          <w:iCs/>
        </w:rPr>
      </w:pPr>
      <w:r w:rsidRPr="00091F61">
        <w:t>4.</w:t>
      </w:r>
      <w:r w:rsidRPr="00091F61">
        <w:tab/>
        <w:t>benadrukt dat het proces van stroomlijning en vereenvoudiging van de regelgeving gericht moet zijn op het vergemakkelijken van de naleving van de regelgeving, waarbij de belangrijkste beleidsdoelstellingen van de EU behouden moeten blijven, sociale en milieunormen, digitale rechten en consumentenbescherming niet mogen worden aangetast en een stabiel en voorspelbaar regelgevingsklimaat voor bedrijven gewaarborgd moet worden dat juridische duidelijkheid en rechtszekerheid biedt voor iedereen; onderstreept dat concurrentievermogen en innovatie, met name in het licht van de huidige crisis in verband met de kosten van levensonderhoud, resultaten moeten opleveren die gunstig zijn voor consumenten; wijst erop dat vereenvoudiging ook gericht moet zijn op het versterken van de langetermijndoelstellingen van de EU, waaronder de digitalisering van de economie, de groene transitie en consumentenbescherming, waarbij technologieneutraliteit moet worden gewaarborgd;</w:t>
      </w:r>
    </w:p>
    <w:p w14:paraId="036509FB" w14:textId="77777777" w:rsidR="00BA1000" w:rsidRPr="00091F61" w:rsidRDefault="00BA1000" w:rsidP="00BA1000">
      <w:pPr>
        <w:pStyle w:val="Normal12a24b"/>
        <w:ind w:left="720" w:hanging="720"/>
        <w:rPr>
          <w:iCs/>
        </w:rPr>
      </w:pPr>
      <w:r w:rsidRPr="00091F61">
        <w:t>5.</w:t>
      </w:r>
      <w:r w:rsidRPr="00091F61">
        <w:tab/>
        <w:t xml:space="preserve">is van mening dat een goed functionerende eengemaakte markt, waarin de regels op correcte, samenhangende en doeltreffende wijze ten uitvoer worden gelegd en gehandhaafd, een gedeelde verantwoordelijkheid van de EU-instellingen en de lidstaten is; benadrukt dat overregulering bij de omzetting van EU-richtlijnen en een versnipperde aanpak ten aanzien van de handhaving van EU-regels nog altijd een belemmering vormen voor de interne markt, waarbij kmo’s en start-ups onevenredig zwaar worden belast; dringt er bij de Commissie op aan ervoor te zorgen dat de EU-regels in alle lidstaten naar behoren en op geharmoniseerde wijze worden gehandhaafd, zodat belemmeringen voor het ontplooien van grensoverschrijdende activiteiten worden aangepakt; dringt er daarom bij de lidstaten op aan overregulering aan te pakken en ervoor te zorgen dat nationale uitvoeringsmaatregelen tijdig en op transparante wijze worden gepubliceerd en inconsistente uitvoering van EU-wetgeving te voorkomen, maar erkent tegelijkertijd het recht van de lidstaten om nationale maatregelen in te voeren of te behouden onder de voorwaarden van de Verdragen; </w:t>
      </w:r>
      <w:r w:rsidRPr="00091F61">
        <w:lastRenderedPageBreak/>
        <w:t>pleit voor nauwere samenwerking tussen de bevoegde autoriteiten van de verschillende lidstaten en tussen de nationale en de Europese regelgevende instanties; spoort de Commissie aan de lidstaten te helpen om tot een meer geharmoniseerde uitvoering van de EU-wetgeving te komen door gestructureerde uitwisselingen en wederzijds leren te bevorderen, onder meer door omzettingsworkshops te organiseren en door vergelijkende instrumenten en praktijken te ontwikkelen en toe te passen;</w:t>
      </w:r>
    </w:p>
    <w:p w14:paraId="563C9116" w14:textId="77777777" w:rsidR="00BA1000" w:rsidRPr="00091F61" w:rsidRDefault="00BA1000" w:rsidP="00BA1000">
      <w:pPr>
        <w:pStyle w:val="Normal12a24b"/>
        <w:ind w:left="720" w:hanging="720"/>
        <w:rPr>
          <w:iCs/>
        </w:rPr>
      </w:pPr>
      <w:r w:rsidRPr="00091F61">
        <w:t>6.</w:t>
      </w:r>
      <w:r w:rsidRPr="00091F61">
        <w:tab/>
        <w:t>verzoekt de Commissie ervoor te zorgen dat de huidige en toekomstige wetgeving evenredig blijft en geen onnodige lasten voor bedrijven met zich meebrengt, maar er tegelijkertijd op toe te zien dat de doelstellingen van die wetgeving wel worden bereikt, en verzoekt de Commissie tevens om in haar relevante wetgevingsinitiatieven een clausule op te nemen die voorziet in evaluatie in een vroeg stadium, zonder dat dit leidt tot een toename van de administratieve lasten; is van mening dat evaluatieclausules niet alleen moeten dienen om de algehele doeltreffendheid van wetgeving te beoordelen, maar meer specifiek ook om de impact van wetgeving op het concurrentievermogen van de EU te beoordelen, waarbij moet worden nagegaan of het noodzakelijk is om de wetgevingshandelingen die het concurrentievermogen onnodig belemmeren te herzien; pleit ervoor dat er bij een dergelijke evaluatie ook een beoordeling wordt gemaakt van de digitale paraatheid van de wetgeving en de mate waarin deze zich aan innovatie kan aanpassen; dringt er bij de Commissie op aan een duidelijke methode en een eenvoudig referentiescenario vast te leggen en toe te passen voor het verminderen van de lasten en voor het meten en monitoren van de vooruitgang op weg naar het bereiken van de vastgestelde doelstellingen, met het oog op het vaststellen van doeltreffende maatregelen en met het oog op controleerbaarheid; is van mening dat het verwezenlijken van een significante vermindering van de administratieve lasten een gedeelde verantwoordelijkheid van de EU-instellingen en de lidstaten is en dat bij het streven hiernaar de belangrijkste beleidsdoelstellingen van de EU ten volle in acht moeten worden genomen; verzoekt de medewetgevers ervoor te zorgen dat de wetgeving van de EU gericht, evenredig en doelmatig is en dat de beginselen van betere regelgeving in alle fasen van de beleidscyclus worden nageleefd;</w:t>
      </w:r>
    </w:p>
    <w:p w14:paraId="6C96EDF4" w14:textId="77777777" w:rsidR="00BA1000" w:rsidRPr="00091F61" w:rsidRDefault="00BA1000" w:rsidP="00BA1000">
      <w:pPr>
        <w:pStyle w:val="Normal12a24b"/>
        <w:ind w:left="720" w:hanging="720"/>
      </w:pPr>
      <w:r w:rsidRPr="00091F61">
        <w:t>7.</w:t>
      </w:r>
      <w:r w:rsidRPr="00091F61">
        <w:tab/>
        <w:t xml:space="preserve">dringt er bij de Commissie op aan om bij alle voorstellen voor wetgeving, ook als het gaat om gedelegeerde handelingen en uitvoeringshandelingen, effectbeoordelingen van hoge kwaliteit op te stellen, omdat dergelijke effectbeoordelingen een integraal onderdeel vormen van het wetgevingsproces en belangrijk zijn om te garanderen dat wetgeving van goede kwaliteit is; benadrukt dat in de effectbeoordelingen rekening moet worden gehouden met de cumulatieve effecten van regelgeving en dat de interoperabiliteit tussen nieuwe en bestaande regelgevingsinstrumenten moet worden beoordeeld, met name wat betreft de rapportagevereisten; dringt erop aan dat alle effectbeoordelingen een concurrentievermogenstoets omvatten, waarbij specifiek de gevolgen van wetgeving voor kmo’s, start-ups en midcaps evenals de gevolgen ervan voor sterk groeiende opkomende technologieën worden beoordeeld; benadrukt dat deze concurrentievermogenstoets bij alle relevante wetgevingsvoorstellen systematisch moet worden uitgevoerd en dat hierbij ook rekening moet worden gehouden met de sectoroverschrijdende impact van wetgevingsvoorstellen en de impact van nationale overloopeffecten, en wijst erop dat de bevindingen van deze toets in aanmerking moeten worden genomen, zoals ook uiteengezet in het EU-kompas voor concurrentievermogen; is van mening dat de Raad voor regelgevingstoetsing een belangrijke rol speelt bij het waarborgen van de kwaliteit van </w:t>
      </w:r>
      <w:r w:rsidRPr="00091F61">
        <w:lastRenderedPageBreak/>
        <w:t>effectbeoordelingen, geschiktheidscontroles en belangrijke evaluaties van de Commissie, en benadrukt dat hij op transparante en onafhankelijke wijze moet handelen en over de middelen moet beschikken om alle effectbeoordelingen en wetgevingsvoorstellen van de Commissie streng en op onpartijdige en uiterst zorgvuldige wijze te controleren en om als er effectbeoordelingen ontbreken, dit te signaleren; pleit ervoor dat het mandaat en de capaciteit van de Raad voor regelgevingstoetsing worden versterkt door ervoor te zorgen dat hij over voldoende middelen beschikt om zijn taken volledig en op doeltreffende wijze uit te voeren;</w:t>
      </w:r>
    </w:p>
    <w:p w14:paraId="7533983B" w14:textId="77777777" w:rsidR="00BA1000" w:rsidRPr="00091F61" w:rsidRDefault="00BA1000" w:rsidP="00BA1000">
      <w:pPr>
        <w:pStyle w:val="Normal12a24b"/>
        <w:ind w:left="720" w:hanging="720"/>
        <w:rPr>
          <w:iCs/>
        </w:rPr>
      </w:pPr>
      <w:r w:rsidRPr="00091F61">
        <w:t>8.</w:t>
      </w:r>
      <w:r w:rsidRPr="00091F61">
        <w:tab/>
        <w:t>dringt erop aan dat er systematisch effectbeoordelingen worden opgesteld over door het Parlement en de Raad voorgestelde wezenlijke wijzigingen van Commissievoorstellen, zoals reeds in 2016 door de medewetgevers werd overeengekomen</w:t>
      </w:r>
      <w:r w:rsidRPr="00091F61">
        <w:rPr>
          <w:vertAlign w:val="superscript"/>
        </w:rPr>
        <w:footnoteReference w:id="3"/>
      </w:r>
      <w:r w:rsidRPr="00091F61">
        <w:t>, daar waar dit passend is en noodzakelijk voor het wetgevingsproces, waarbij tevens rekening moet worden gehouden met de planning van het wetgevingsproces; dringt erop aan dat de bepalingen van het Interinstitutioneel Akkoord over beter wetgeven daadwerkelijk worden nageleefd en pleit voor verdere ontwikkeling en toepassing van een methodologie voor het uitvoeren van effectbeoordelingen en concurrentievermogenstoetsen voor de Commissie, het Europees Parlement, de Raad en de lidstaten; benadrukt dat een adequate effectbeoordeling de potentiële kosten en baten op de korte en de lange termijn moet omvatten, waarbij de economische, ecologische en sociale effecten op een geïntegreerde en evenwichtige manier worden beoordeeld en gebruik wordt gemaakt van zowel kwalitatieve als kwantitatieve analyses;</w:t>
      </w:r>
    </w:p>
    <w:p w14:paraId="57641388" w14:textId="77777777" w:rsidR="00BA1000" w:rsidRPr="00091F61" w:rsidRDefault="00BA1000" w:rsidP="00BA1000">
      <w:pPr>
        <w:pStyle w:val="Normal12a24b"/>
        <w:ind w:left="720" w:hanging="720"/>
        <w:rPr>
          <w:iCs/>
        </w:rPr>
      </w:pPr>
      <w:r w:rsidRPr="00091F61">
        <w:t>9.</w:t>
      </w:r>
      <w:r w:rsidRPr="00091F61">
        <w:tab/>
        <w:t>acht het van cruciaal belang dat overlappingen worden voorkomen en dat onduidelijke definities en inconsistenties tussen verschillende rechtshandelingen worden aangepakt, met name met betrekking tot wetgeving inzake de eengemaakte markt voor goederen, diensten en digitale technologieën, waarbij rekening moet worden gehouden met hun specifieke kenmerken, teneinde de juridische duidelijkheid en efficiëntie te vergroten; dringt er bij de Commissie op aan prioriteit te geven aan evaluaties op deze gebieden, teneinde te zorgen voor een voorspelbaar en coherent rechtskader dat bedrijven in staat stelt om zich bezig te houden met langetermijnplanning en -investeringen; benadrukt dat voordat nieuwe wetgeving wordt voorgesteld eerst gewerkt moet worden aan de effectieve uitvoering, handhaving en uniforme toepassing van het huidige rechtskader;</w:t>
      </w:r>
    </w:p>
    <w:p w14:paraId="354E2B3D" w14:textId="77777777" w:rsidR="00BA1000" w:rsidRPr="00091F61" w:rsidRDefault="00BA1000" w:rsidP="00BA1000">
      <w:pPr>
        <w:pStyle w:val="Normal12a24b"/>
        <w:ind w:left="720" w:hanging="720"/>
        <w:rPr>
          <w:iCs/>
        </w:rPr>
      </w:pPr>
      <w:r w:rsidRPr="00091F61">
        <w:t>10.</w:t>
      </w:r>
      <w:r w:rsidRPr="00091F61">
        <w:tab/>
        <w:t xml:space="preserve">dringt er bij de Commissie op aan het proces van raadpleging van belanghebbenden gestructureerder, transparanter en inclusiever te maken en tevens het systeem van deskundigengroepen te herzien; pleit ervoor dat er maatregelen worden genomen om de betrokkenheid van kmo’s en start-ups bij het wetgevingsproces te vergroten en dat raadplegingen worden afgestemd op de behoeften van kmo’s en andere belanghebbenden met beperkte capaciteiten, in die zin dat er voldoende tijd wordt gegeven voor het indienen van reacties en dat de toegankelijkheid van raadplegingen wordt verbeterd, om inclusieve en goed geïnformeerde besluitvorming te waarborgen en de kwaliteit van de regels inzake de eengemaakte markt te verbeteren; benadrukt dat het vergroten van de betrokkenheid van belanghebbenden, met een correcte </w:t>
      </w:r>
      <w:r w:rsidRPr="00091F61">
        <w:lastRenderedPageBreak/>
        <w:t>geografische vertegenwoordiging, essentieel is voor het verdiepen van de eengemaakte markt, waarbij de doeltreffende werking van de interne markt gewaarborgd wordt en de diversiteit ervan weerspiegeld wordt; wijst daarnaast op de cruciale rol die maatschappelijke organisaties spelen in het besluitvormingsproces doordat zij ervoor zorgen dat een brede waaier aan standpunten op een eerlijke en evenwichtige manier vertegenwoordigd wordt; steunt het initiatief om regelmatige uitvoeringsdialogen te laten plaatsvinden, waaronder met de sociale partners;</w:t>
      </w:r>
    </w:p>
    <w:p w14:paraId="12DD8D0B" w14:textId="77777777" w:rsidR="00BA1000" w:rsidRPr="00091F61" w:rsidRDefault="00BA1000" w:rsidP="00BA1000">
      <w:pPr>
        <w:pStyle w:val="Normal12a24b"/>
        <w:ind w:left="720" w:hanging="720"/>
        <w:rPr>
          <w:iCs/>
        </w:rPr>
      </w:pPr>
      <w:r w:rsidRPr="00091F61">
        <w:t>11.</w:t>
      </w:r>
      <w:r w:rsidRPr="00091F61">
        <w:tab/>
        <w:t>verzoekt de Commissie een mechanisme te ontwikkelen om duidelijke termijnen vast te stellen voor de bekendmaking van richtsnoeren en handhavingsmaatregelen voordat een verordening van kracht wordt, om onzekerheden in verband met de regelgeving en vertragingen bij de uitvoering ervan te voorkomen; dringt erop aan dat dergelijke richtsnoeren ook op een inclusieve en evenwichtige manier worden opgesteld en dat zij geen extra last vormen maar fungeren als instrument om de naleving te vergemakkelijken; wijst er bovendien op dat zij beknopt en duidelijk moeten zijn, met name voor kmo’s; staat erop dat het gebruik van niveau 2-wetgeving, zoals gedelegeerde handelingen en uitvoeringshandelingen, beperkt blijft tot technische aangelegenheden, dat de termijn voor kennisgeving van nieuwe wetgeving aan marktdeelnemers voldoende ruim is en dat gebruik wordt gemaakt van de wetgevingsbevoegdheden in overeenstemming met het mandaat zoals dat is vastgesteld door de medewetgevers;</w:t>
      </w:r>
    </w:p>
    <w:p w14:paraId="58789638" w14:textId="77777777" w:rsidR="00BA1000" w:rsidRPr="00091F61" w:rsidRDefault="00BA1000" w:rsidP="00BA1000">
      <w:pPr>
        <w:pStyle w:val="Normal12a24b"/>
        <w:ind w:left="720" w:hanging="720"/>
        <w:rPr>
          <w:iCs/>
        </w:rPr>
      </w:pPr>
      <w:r w:rsidRPr="00091F61">
        <w:t>12.</w:t>
      </w:r>
      <w:r w:rsidRPr="00091F61">
        <w:tab/>
        <w:t>benadrukt dat start-ups en scale-ups een belangrijke rol spelen bij het stimuleren van innovatie en het veiligstellen van het toekomstig leiderschap van de EU in cruciale sectoren; dingt er bij de Commissie en de medewetgevers op aan ervoor te zorgen dat toekomstige regelgeving erop gericht is innovatie te ondersteunen en altijd hoge normen te handhaven; stelt voor om bij toekomstige regelgeving die van invloed is op innovatieve sectoren waar nodig gebruik te maken van testomgevingen voor regelgeving, met bijzondere aandacht voor kmo’s en start-ups; pleit voor de oprichting van “EU-innovatiehubs” in alle lidstaten;</w:t>
      </w:r>
    </w:p>
    <w:p w14:paraId="2527B72A" w14:textId="77777777" w:rsidR="00BA1000" w:rsidRPr="00091F61" w:rsidRDefault="00BA1000" w:rsidP="00BA1000">
      <w:pPr>
        <w:pStyle w:val="Normal12a24b"/>
        <w:ind w:left="720" w:hanging="720"/>
        <w:rPr>
          <w:iCs/>
        </w:rPr>
      </w:pPr>
      <w:r w:rsidRPr="00091F61">
        <w:t>13.</w:t>
      </w:r>
      <w:r w:rsidRPr="00091F61">
        <w:tab/>
        <w:t>is ingenomen met de benoeming van een commissaris voor Uitvoering en Vereenvoudiging; dringt erop aan dat de commissaris over passende middelen en bevoegdheden beschikt om, in samenwerking met het college van commissarissen, de correcte uitvoering en handhaving van EU-wetgeving en sectorspecifieke vereenvoudiging te waarborgen; dringt er bij alle commissarissen op aan om de behoeften op het gebied van stroomlijning en uitvoering binnen hun respectieve beleidsterreinen systematisch te beoordelen en om in nauwe samenwerking en op gecoördineerde wijze coherentie te waarborgen en op het vlak van vereenvoudiging en stroomlijning concrete resultaten te boeken; verzoekt de Commissie voorstellen te blijven indienen die erop gericht zijn de wetgeving inzake de interne markt te vereenvoudigen en te stroomlijnen, waar dat nodig en gerechtvaardigd wordt geacht op basis van effectbeoordelingen; wijst erop dat nieuwe vereenvoudigingsvoorstellen erop gericht moeten zijn de samenhang van de regelgeving te verbeteren en juridische voorspelbaarheid voor bedrijven te garanderen, zonder dat de overeengekomen beleidsdoelstellingen worden ondergraven;</w:t>
      </w:r>
    </w:p>
    <w:p w14:paraId="7FAA9168" w14:textId="77777777" w:rsidR="00BA1000" w:rsidRPr="00091F61" w:rsidRDefault="00BA1000" w:rsidP="00BA1000">
      <w:pPr>
        <w:pStyle w:val="Normal12a24b"/>
        <w:ind w:left="720" w:hanging="720"/>
      </w:pPr>
      <w:r w:rsidRPr="00091F61">
        <w:t>14.</w:t>
      </w:r>
      <w:r w:rsidRPr="00091F61">
        <w:tab/>
        <w:t xml:space="preserve">merkt op dat de Commissie weliswaar de opsporing van inbreuken op het EU-recht heeft verbeterd en ervoor heeft gezorgd dat er in meer gevallen corrigerende </w:t>
      </w:r>
      <w:r w:rsidRPr="00091F61">
        <w:lastRenderedPageBreak/>
        <w:t>maatregelen worden genomen, maar dat de handhaving van de EU-wetgeving inzake de interne markt nog altijd traag verloopt en dat het lang duurt voordat er corrigerende maatregelen worden genomen om inbreuken met betrekking tot internemarktwetgeving te verhelpen; dringt er bij de Commissie op aan haar rol als hoedster van de Verdragen te blijven vervullen en ten volle gebruik te maken van haar handhavingsbevoegdheden, waaronder de bevoegdheid om waar nodig inbreukprocedures in te leiden, om een tijdige, consistente en doeltreffende handhaving van de regels inzake de eengemaakte markt te waarborgen; en verzoekt de Commissie om de wijze waarop zij in actie komt bij inbreuken onder te loep te nemen, en ervoor te zorgen dat haar reacties sneller, gestructureerder en voorspelbaarder worden; beveelt de Commissie aan om door middel van inbreukprocedures systemische schendingen van de regels inzake de interne mark aan te pakken; benadrukt dat de versnippering van de regelgeving moet worden aangepakt, omdat versnippering het gelijk speelveld in het gedrang brengt en de rechtszekerheid aantast, waarbij echter de discretionaire bevoegdheid van de lidstaten wat betreft de omzetting van richtlijnen in nationaal recht, zoals vastgelegd in de Verdragen, moet worden erkend;</w:t>
      </w:r>
    </w:p>
    <w:p w14:paraId="4D994A1A" w14:textId="77777777" w:rsidR="00BA1000" w:rsidRPr="00091F61" w:rsidRDefault="00BA1000" w:rsidP="00BA1000">
      <w:pPr>
        <w:pStyle w:val="Normal12a24b"/>
        <w:rPr>
          <w:rStyle w:val="BoldItalic"/>
        </w:rPr>
      </w:pPr>
      <w:r w:rsidRPr="00091F61">
        <w:rPr>
          <w:rStyle w:val="BoldItalic"/>
        </w:rPr>
        <w:t>Het volledige potentieel van de eengemaakte markt benutten</w:t>
      </w:r>
    </w:p>
    <w:p w14:paraId="0CBCA316" w14:textId="77777777" w:rsidR="00BA1000" w:rsidRPr="00091F61" w:rsidRDefault="00BA1000" w:rsidP="00BA1000">
      <w:pPr>
        <w:pStyle w:val="Normal12a24b"/>
        <w:ind w:left="567" w:hanging="567"/>
        <w:rPr>
          <w:bCs/>
          <w:iCs/>
        </w:rPr>
      </w:pPr>
      <w:r w:rsidRPr="00091F61">
        <w:t>15.</w:t>
      </w:r>
      <w:r w:rsidRPr="00091F61">
        <w:tab/>
        <w:t>spoort de Commissie en de lidstaten aan om doeltreffender en op meer gestructureerde wijze gebruik te maken van het huidige instrumentarium voor naleving en samenwerking; verzoekt de Commissie in dit kader om bestaande instrumenten voor handhaving en samenwerking, zoals Solvit, de productcontactpunten en de taskforce voor de handhaving van de eengemaakte markt, te versterken, zodat problemen in verband met de werking van de eengemaakte markt kunnen worden aangepakt; spoort de Commissie voorts aan een inventaris op te maken van de instrumenten, mechanismen en processen die worden gebruikt om wetgevings- en niet-wetgevingsinitiatieven te ontwikkelen en de naleving van de EU-wetgeving te monitoren en te waarborgen, met als doel de samenhang ervan te verbeteren, overlappingen weg te nemen en ze te consolideren en te stroomlijnen, en op basis van die inventaris na te denken over eventuele uitbreiding van de bestaande netwerken en instrumenten; dringt er bij de handhavingsautoriteiten en de bevoegde instanties in de lidstaten op aan de samenwerking en wederzijdse ondersteuning te verbeteren om onnodige versnippering van de regelgeving aan te pakken en te zorgen voor een meer gestroomlijnde, doelgerichte en geharmoniseerde uitvoering van de regels inzake de interne markt, en spreekt zijn steun uit voor de oprichting van coördinatieplatforms op nationaal niveau met als doel een efficiënte en coherente uitvoering en omzetting van EU-regels te realiseren;</w:t>
      </w:r>
    </w:p>
    <w:p w14:paraId="3BC93C17" w14:textId="77777777" w:rsidR="00BA1000" w:rsidRPr="00091F61" w:rsidRDefault="00BA1000" w:rsidP="00BA1000">
      <w:pPr>
        <w:pStyle w:val="Normal12a24b"/>
        <w:ind w:left="567" w:hanging="567"/>
        <w:rPr>
          <w:iCs/>
        </w:rPr>
      </w:pPr>
      <w:r w:rsidRPr="00091F61">
        <w:t>16.</w:t>
      </w:r>
      <w:r w:rsidRPr="00091F61">
        <w:tab/>
        <w:t>wijst erop dat het vrije verkeer van diensten een cruciale rol speelt bij het ontsluiten van economisch potentieel, maar merkt hierbij op dat de dienstensector nog altijd minder geïntegreerd is dan de goederensector en dat de grensoverschrijdende dimensie van diensten in de interne markt nog altijd onderontwikkeld is; benadrukt daarom dat gewaarborgd moet worden dat de dienstenrichtlijn</w:t>
      </w:r>
      <w:r w:rsidRPr="00091F61">
        <w:rPr>
          <w:iCs/>
          <w:vertAlign w:val="superscript"/>
        </w:rPr>
        <w:footnoteReference w:id="4"/>
      </w:r>
      <w:r w:rsidRPr="00091F61">
        <w:t xml:space="preserve"> op consistente wijze wordt toegepast, omdat de beoogde doelstelling ervan pas slechts gedeeltelijk is bereikt omdat </w:t>
      </w:r>
      <w:r w:rsidRPr="00091F61">
        <w:lastRenderedPageBreak/>
        <w:t>er nog altijd sprake is van ongerechtvaardigde belemmeringen, in verschillende verschijningsvormen, die met name belastend zijn voor kmo’s, die daardoor minder in staat zijn om over de grenzen diensten te verlenen; wijst op de belangrijke rol van de dienstensector in de onlangs gepubliceerde strategie voor de interne markt; pleit voor nieuwe initiatieven en gerichte en doeltreffende maatregelen in sectoren die belangrijk zijn voor de interne markt, die erop gericht zijn de nog altijd bestaande ongerechtvaardigde belemmeringen aan te pakken en de marktintegratie te verbeteren, zonder dat daarbij afbreuk wordt gedaan aan de sociale normen, waarbij de samenhang van de regelgeving gewaarborgd moet worden en versnippering van de regels inzake de interne markt moet worden voorkomen;</w:t>
      </w:r>
    </w:p>
    <w:p w14:paraId="32130191" w14:textId="77777777" w:rsidR="00BA1000" w:rsidRPr="00091F61" w:rsidRDefault="00BA1000" w:rsidP="00BA1000">
      <w:pPr>
        <w:pStyle w:val="NormalHanging12a"/>
        <w:rPr>
          <w:bCs/>
          <w:iCs/>
          <w:shd w:val="clear" w:color="auto" w:fill="FFFFFF" w:themeFill="background1"/>
        </w:rPr>
      </w:pPr>
      <w:r w:rsidRPr="00091F61">
        <w:rPr>
          <w:shd w:val="clear" w:color="auto" w:fill="FFFFFF" w:themeFill="background1"/>
        </w:rPr>
        <w:t>17.</w:t>
      </w:r>
      <w:r w:rsidRPr="00091F61">
        <w:rPr>
          <w:shd w:val="clear" w:color="auto" w:fill="FFFFFF" w:themeFill="background1"/>
        </w:rPr>
        <w:tab/>
        <w:t>betreurt dat er onvoldoende gebruik wordt gemaakt van de kennisgevingsprocedure uit hoofde van de dienstenrichtlijn; verzoekt de lidstaten ervoor te zorgen dat systematisch, tijdig en op transparante wijze toepassing wordt gegeven aan de kennisgevingsprocedures uit hoofde van de dienstenrichtlijn en de richtlijn transparantie op de eengemaakte markt</w:t>
      </w:r>
      <w:r w:rsidRPr="00091F61">
        <w:rPr>
          <w:rStyle w:val="FootnoteReference"/>
          <w:bCs/>
          <w:iCs/>
          <w:shd w:val="clear" w:color="auto" w:fill="FFFFFF" w:themeFill="background1"/>
        </w:rPr>
        <w:footnoteReference w:id="5"/>
      </w:r>
      <w:r w:rsidRPr="00091F61">
        <w:rPr>
          <w:shd w:val="clear" w:color="auto" w:fill="FFFFFF" w:themeFill="background1"/>
        </w:rPr>
        <w:t>;</w:t>
      </w:r>
    </w:p>
    <w:p w14:paraId="1E2FEEE5" w14:textId="77777777" w:rsidR="00BA1000" w:rsidRPr="00091F61" w:rsidRDefault="00BA1000" w:rsidP="00BA1000">
      <w:pPr>
        <w:pStyle w:val="NormalHanging12a"/>
        <w:rPr>
          <w:bCs/>
          <w:iCs/>
        </w:rPr>
      </w:pPr>
      <w:r w:rsidRPr="00091F61">
        <w:t>18.</w:t>
      </w:r>
      <w:r w:rsidRPr="00091F61">
        <w:tab/>
      </w:r>
      <w:r w:rsidRPr="00091F61">
        <w:rPr>
          <w:shd w:val="clear" w:color="auto" w:fill="FFFFFF" w:themeFill="background1"/>
        </w:rPr>
        <w:t>verzoekt de Commissie om doeltreffende wetgevings- en niet-wetgevingsinstrumenten voor te stellen om nieuwe belemmeringen voor de interne markt te voorkomen wanneer dat nodig en gerechtvaardigd is;</w:t>
      </w:r>
    </w:p>
    <w:p w14:paraId="2FEC8B27" w14:textId="77777777" w:rsidR="00BA1000" w:rsidRPr="00091F61" w:rsidRDefault="00BA1000" w:rsidP="00BA1000">
      <w:pPr>
        <w:pStyle w:val="NormalHanging12a"/>
        <w:rPr>
          <w:bCs/>
          <w:iCs/>
          <w:shd w:val="clear" w:color="auto" w:fill="FFFFFF" w:themeFill="background1"/>
        </w:rPr>
      </w:pPr>
      <w:r w:rsidRPr="00091F61">
        <w:t>19.</w:t>
      </w:r>
      <w:r w:rsidRPr="00091F61">
        <w:tab/>
        <w:t>verzoekt de Commissie om verschillende methoden te onderzoeken om territoriale leveringsbeperkingen aan te pakken, waaronder niet uit wetgeving voortvloeiende beperkingen, zoals onevenredige taalvereisten betreffende de etikettering van producten, omdat dergelijke beperkingen aanhoudende belemmeringen vormen die de mededinging aantasten en gevolgen hebben voor de kosten van levensonderhoud;</w:t>
      </w:r>
    </w:p>
    <w:p w14:paraId="20A32758" w14:textId="77777777" w:rsidR="00BA1000" w:rsidRPr="00091F61" w:rsidRDefault="00BA1000" w:rsidP="00BA1000">
      <w:pPr>
        <w:pStyle w:val="NormalHanging12a"/>
      </w:pPr>
      <w:r w:rsidRPr="00091F61">
        <w:rPr>
          <w:shd w:val="clear" w:color="auto" w:fill="FFFFFF" w:themeFill="background1"/>
        </w:rPr>
        <w:t>20</w:t>
      </w:r>
      <w:r w:rsidRPr="00091F61">
        <w:t>.</w:t>
      </w:r>
      <w:r w:rsidRPr="00091F61">
        <w:tab/>
      </w:r>
      <w:r w:rsidRPr="00091F61">
        <w:rPr>
          <w:shd w:val="clear" w:color="auto" w:fill="FFFFFF" w:themeFill="background1"/>
        </w:rPr>
        <w:t>merkt op dat vereenvoudiging van administratieve procedures, zoals vergunnings- en certificeringsprocedures, evenals stroomlijning van nalevingsprocessen van cruciaal belang is om de kosten omlaag te brengen en rechtsonzekerheid te verminderen, met name voor kmo’s; benadrukt dat gestroomlijnde processen kmo’s in staat zouden stellen doeltreffender zaken te doen binnen de eengemaakte markt</w:t>
      </w:r>
      <w:r w:rsidRPr="00091F61">
        <w:t>;</w:t>
      </w:r>
    </w:p>
    <w:p w14:paraId="2E291C15" w14:textId="5AB02D19" w:rsidR="00BA1000" w:rsidRPr="00091F61" w:rsidRDefault="00BA1000" w:rsidP="00BA1000">
      <w:pPr>
        <w:pStyle w:val="NormalHanging12a"/>
        <w:rPr>
          <w:bCs/>
          <w:iCs/>
        </w:rPr>
      </w:pPr>
      <w:r w:rsidRPr="00091F61">
        <w:t>21.</w:t>
      </w:r>
      <w:r w:rsidRPr="00091F61">
        <w:tab/>
        <w:t>merkt op dat inconsistenties bij de uitvoering, handhaving en coördinatie van EU-regels de doeltreffende werking van de eengemaakte markt belemmert en negatieve gevolgen kan hebben voor het vrije verkeer van werknemers en beroepsbeoefenaars; wijst erop dat administratieve belemmeringen en het feit dat kwalificaties niet altijd worden erkend het tekort aan arbeidskrachten en vaardigheden kunnen doen toenemen en het concurrentievermogen van de EU kunnen verzwakken; beveelt de Commissie aan verder te gaan met het evalueren van de toepassing van de richtlijn betreffende de erkenning van beroepskwalificaties</w:t>
      </w:r>
      <w:r w:rsidRPr="00091F61">
        <w:rPr>
          <w:rStyle w:val="FootnoteReference"/>
          <w:iCs/>
        </w:rPr>
        <w:footnoteReference w:id="6"/>
      </w:r>
      <w:r w:rsidRPr="00091F61">
        <w:t xml:space="preserve"> in de lidstaten en in kaart te brengen welke maatregelen kunnen worden genomen om inconsistenties in verband met de erkenning van kwalificaties aan te pakken; wijst op de noodzaak van gestroomlijnde procedures </w:t>
      </w:r>
      <w:r w:rsidRPr="00091F61">
        <w:lastRenderedPageBreak/>
        <w:t xml:space="preserve">voor automatische erkenning en mechanismen voor snellere erkenning van beroepskwalificaties, met name in sectoren die kampen met een tekort aan arbeidskrachten; verzoekt de Commissie ervoor te zorgen dat de internemarktregels inzake het vrije verkeer van werknemers in overeenstemming zijn met de huidige sociale normen in de lidstaten, en benadrukt dat ongerechtvaardigde belemmeringen moeten worden weggenomen; is groot voorstander van digitalisering van het A1-formulier, dat op grond van Verordening </w:t>
      </w:r>
      <w:r w:rsidR="006A57BE" w:rsidRPr="00091F61">
        <w:t xml:space="preserve">(EG) </w:t>
      </w:r>
      <w:r w:rsidR="00E75BCB">
        <w:t>n</w:t>
      </w:r>
      <w:r w:rsidR="006A57BE" w:rsidRPr="00091F61">
        <w:t xml:space="preserve">r. </w:t>
      </w:r>
      <w:r w:rsidRPr="00091F61">
        <w:t>883/2004 verplicht moet worden aangevraagd</w:t>
      </w:r>
      <w:r w:rsidRPr="00091F61">
        <w:rPr>
          <w:rStyle w:val="FootnoteReference"/>
          <w:bCs/>
          <w:iCs/>
        </w:rPr>
        <w:footnoteReference w:id="7"/>
      </w:r>
      <w:r w:rsidRPr="00091F61">
        <w:t>, in alle lidstaten om de procedures voor grensoverschrijdende dienstverlening te stroomlijnen;</w:t>
      </w:r>
    </w:p>
    <w:p w14:paraId="7A27258C" w14:textId="77777777" w:rsidR="00BA1000" w:rsidRPr="00091F61" w:rsidRDefault="00BA1000" w:rsidP="00BA1000">
      <w:pPr>
        <w:pStyle w:val="NormalHanging12a"/>
        <w:rPr>
          <w:bCs/>
          <w:iCs/>
        </w:rPr>
      </w:pPr>
      <w:r w:rsidRPr="00091F61">
        <w:t>22.</w:t>
      </w:r>
      <w:r w:rsidRPr="00091F61">
        <w:tab/>
        <w:t>is van mening dat de eengemaakte markt een belangrijke rol speelt in tijden van crisis, als de lidstaten op gecoördineerde wijze handelen; is in dit kader van mening dat de recentelijk vastgestelde verordening inzake noodsituaties op de interne markt en veerkracht van de interne markt (Imera)</w:t>
      </w:r>
      <w:r w:rsidRPr="00091F61">
        <w:rPr>
          <w:rStyle w:val="FootnoteReference"/>
          <w:bCs/>
          <w:iCs/>
        </w:rPr>
        <w:footnoteReference w:id="8"/>
      </w:r>
      <w:r w:rsidRPr="00091F61">
        <w:t xml:space="preserve"> belangrijk is om een dergelijke coördinatie te waarborgen, opdat tekorten worden voorkomen en de soepele werking van de eengemaakte markt wordt gewaarborgd, met inbegrip van het vrije verkeer van essentiële goederen en diensten in de hele EU;</w:t>
      </w:r>
    </w:p>
    <w:p w14:paraId="4AD8567B" w14:textId="77777777" w:rsidR="00BA1000" w:rsidRPr="00091F61" w:rsidRDefault="00BA1000" w:rsidP="00BA1000">
      <w:pPr>
        <w:pStyle w:val="NormalHanging12a"/>
        <w:rPr>
          <w:iCs/>
        </w:rPr>
      </w:pPr>
      <w:r w:rsidRPr="00091F61">
        <w:t>23.</w:t>
      </w:r>
      <w:r w:rsidRPr="00091F61">
        <w:tab/>
        <w:t>herinnert aan het belang van gemeenschappelijke normen voor de werking van de eengemaakte markt; benadrukt dat het belangrijk is dat het EU-normalisatiestelsel behouden blijft, dat eventuele vastgestelde tekortkomingen worden verholpen en dat de operationele integriteit ervan gewaarborgd wordt;</w:t>
      </w:r>
    </w:p>
    <w:p w14:paraId="687A98CE" w14:textId="77777777" w:rsidR="00BA1000" w:rsidRPr="00091F61" w:rsidRDefault="00BA1000" w:rsidP="00BA1000">
      <w:pPr>
        <w:pStyle w:val="NormalHanging12a"/>
        <w:rPr>
          <w:bCs/>
          <w:iCs/>
        </w:rPr>
      </w:pPr>
      <w:r w:rsidRPr="00091F61">
        <w:t>24.</w:t>
      </w:r>
      <w:r w:rsidRPr="00091F61">
        <w:tab/>
        <w:t xml:space="preserve">dringt er bij de Commissie op aan onnodige rapportagelasten in kaart te brengen en deze terug te dringen door middel van gerichte maatregelen, zoals het vaststellen van langere rapportage-intervallen, het schrappen van overbodige verplichtingen en het waarborgen van evenredigheid met betrekking tot sectorspecifieke vereisten zonder afbreuk te doen aan de beleidsdoelstellingen die met die vereisten bereikt moeten worden; herhaalt dat moet worden gewaarborgd dat de rapportageverplichtingen die voortvloeien uit verschillende EU-wetgevingsinstrumenten coherent zijn; benadrukt dat het belangrijk is het “denk eerst klein”-principe in acht te nemen, benaderingen op maat te hanteren ten aanzien van kmo’s en start-ups en een digitaal ondernemingsklimaat te bevorderen dat gekenmerkt wordt door betrouwbare digitale identiteiten, beveiligde gegevensuitwisseling en wettelijk erkende digitale kennisgevingen; wijst erop dat het met het oog op het stroomlijnen van nalevingsprocedures belangrijk is dat het beginsel van eenmalige gegevensverstrekking wordt gehanteerd en wijst er tevens op dat het belangrijk is dat rapportageformaten en digitale interfaces in de lidstaten waar mogelijk geharmoniseerd worden; benadrukt dat gerechtvaardigde en evenredige rapportagevereisten noodzakelijk zijn om een goede monitoring en naleving van de vastgestelde regels te waarborgen, waarmee een doeltreffende handhaving gewaarborgd </w:t>
      </w:r>
      <w:r w:rsidRPr="00091F61">
        <w:lastRenderedPageBreak/>
        <w:t xml:space="preserve">wordt evenals een betere gegevensverzameling die als basis kan dienen voor toekomstige beleidsinitiatieven; </w:t>
      </w:r>
    </w:p>
    <w:p w14:paraId="4244F4CC" w14:textId="77777777" w:rsidR="00BA1000" w:rsidRPr="00091F61" w:rsidRDefault="00BA1000" w:rsidP="00BA1000">
      <w:pPr>
        <w:pStyle w:val="NormalHanging12a"/>
      </w:pPr>
      <w:r w:rsidRPr="00091F61">
        <w:t>25.</w:t>
      </w:r>
      <w:r w:rsidRPr="00091F61">
        <w:tab/>
        <w:t>benadrukt dat het nieuwe wetgevingskader tot doel heeft de interne markt voor goederen te verbeteren en de voorwaarden voor het in de handel brengen van een breed scala aan producten op de EU-markt aan te scherpen; verzoekt de Commissie om dit kader te herzien om het toekomstbestendig te maken en ervoor te zorgen dat het aangepast kan worden aan veranderende geopolitieke uitdagingen en aan de eisen van de digitale en de groene transitie, en zo het algemene concurrentievermogen van de interne markt van de EU te versterken;</w:t>
      </w:r>
    </w:p>
    <w:p w14:paraId="6A700768" w14:textId="77777777" w:rsidR="00BA1000" w:rsidRPr="00091F61" w:rsidRDefault="00BA1000" w:rsidP="00BA1000">
      <w:pPr>
        <w:pStyle w:val="NormalHanging12a"/>
      </w:pPr>
      <w:r w:rsidRPr="00091F61">
        <w:t>26.</w:t>
      </w:r>
      <w:r w:rsidRPr="00091F61">
        <w:tab/>
        <w:t>stelt vast dat de Commissie voornemens is om een nieuw EU-breed rechtskader voor te stellen (het “28e regime”), dat erop gericht is een kader voor vennootschapsrecht tot stand te brengen dat groei en opschaling van kmo’s, waaronder kleinere en innovatieve bedrijven, ondersteunt en de concurrentiepositie van de EU in de wereld versterkt; merkt op dat een dergelijk nieuw rechtsregime de ontwikkeling en invoering van de Europese portemonnee voor ondernemingen zou kunnen vergemakkelijken;</w:t>
      </w:r>
    </w:p>
    <w:p w14:paraId="66D8FDB1" w14:textId="77777777" w:rsidR="00BA1000" w:rsidRPr="00091F61" w:rsidRDefault="00BA1000" w:rsidP="00BA1000">
      <w:pPr>
        <w:pStyle w:val="Normal12a24b"/>
        <w:rPr>
          <w:rStyle w:val="BoldItalic"/>
        </w:rPr>
      </w:pPr>
      <w:r w:rsidRPr="00091F61">
        <w:rPr>
          <w:rStyle w:val="BoldItalic"/>
        </w:rPr>
        <w:t>Digitalisering en kunstmatige intelligentie omarmen voor groei en governance</w:t>
      </w:r>
    </w:p>
    <w:p w14:paraId="2D895222" w14:textId="77777777" w:rsidR="00BA1000" w:rsidRPr="00091F61" w:rsidRDefault="00BA1000" w:rsidP="00BA1000">
      <w:pPr>
        <w:pStyle w:val="Normal12a24b"/>
        <w:ind w:left="567" w:hanging="567"/>
      </w:pPr>
      <w:r w:rsidRPr="00091F61">
        <w:t>27.</w:t>
      </w:r>
      <w:r w:rsidRPr="00091F61">
        <w:tab/>
        <w:t>is ingenomen met de door de Commissie geplande geschiktheidscontrole van het wetgevend acquis op het gebied van digitaal beleid; verzoekt de Commissie om een beoordeling uit te voeren en helderheid te verschaffen over het wetgevingskader en de wisselwerking tussen bestaande EU-rechtshandelingen, zoals de digitaledienstenverordening</w:t>
      </w:r>
      <w:r w:rsidRPr="00091F61">
        <w:rPr>
          <w:bCs/>
          <w:iCs/>
          <w:vertAlign w:val="superscript"/>
        </w:rPr>
        <w:footnoteReference w:id="9"/>
      </w:r>
      <w:r w:rsidRPr="00091F61">
        <w:t>, de algemene verordening gegevensbescherming</w:t>
      </w:r>
      <w:r w:rsidRPr="00091F61">
        <w:rPr>
          <w:bCs/>
          <w:iCs/>
          <w:vertAlign w:val="superscript"/>
        </w:rPr>
        <w:footnoteReference w:id="10"/>
      </w:r>
      <w:r w:rsidRPr="00091F61">
        <w:t>, de verordening artificiële intelligentie</w:t>
      </w:r>
      <w:r w:rsidRPr="00091F61">
        <w:rPr>
          <w:rStyle w:val="FootnoteReference"/>
          <w:bCs/>
          <w:iCs/>
        </w:rPr>
        <w:footnoteReference w:id="11"/>
      </w:r>
      <w:r w:rsidRPr="00091F61">
        <w:t>, de verordening betreffende transparantie en gerichte politieke reclame</w:t>
      </w:r>
      <w:r w:rsidRPr="00091F61">
        <w:rPr>
          <w:rStyle w:val="FootnoteReference"/>
        </w:rPr>
        <w:footnoteReference w:id="12"/>
      </w:r>
      <w:r w:rsidRPr="00091F61">
        <w:t>, de richtlijn productaansprakelijkheid</w:t>
      </w:r>
      <w:r w:rsidRPr="00091F61">
        <w:rPr>
          <w:bCs/>
          <w:iCs/>
          <w:vertAlign w:val="superscript"/>
        </w:rPr>
        <w:footnoteReference w:id="13"/>
      </w:r>
      <w:r w:rsidRPr="00091F61">
        <w:t xml:space="preserve"> en de regels inzake elektronische handel en cyberbeveiliging, en tussen deze handelingen en toekomstige </w:t>
      </w:r>
      <w:r w:rsidRPr="00091F61">
        <w:lastRenderedPageBreak/>
        <w:t xml:space="preserve">wetgevingsinitiatieven voordat zij door de Commissie worden aangenomen; dringt erop aan dat regelgevende instanties, netwerken van nationale autoriteiten en belanghebbenden bij dit proces betrokken worden, en benadrukt dat de resultaten van deze inventarisatie moeten worden gebruikt om mogelijke overlappingen, tegenstrijdige bepalingen en mogelijke handhavingsconflicten op te sporen en dergelijke tekortkomingen aan te pakken, en tevens om de coördinatie tussen de handhavingsinstanties in de lidstaten en de interne diensten van de Commissie te verbeteren en om het vermogen van bedrijven in de EU om te investeren en te innoveren te vergroten; dringt erop aan dat de Commissie erop toeziet dat alle wetgeving die in de mandaatsperiode 2019-2024 van de Commissie is aangenomen en van kracht is geworden, op correcte en </w:t>
      </w:r>
      <w:r w:rsidRPr="00091F61">
        <w:rPr>
          <w:shd w:val="clear" w:color="auto" w:fill="FFFFFF" w:themeFill="background1"/>
        </w:rPr>
        <w:t>consistente wijze in alle lidstaten wordt uitgevoerd en toegepast; verzoekt de Commissie om, waar uit effectbeoordelingen blijkt dat dit nodig en gerechtvaardigd is,</w:t>
      </w:r>
      <w:r w:rsidRPr="00091F61">
        <w:t xml:space="preserve"> in het beoogde digitale pakket vereenvoudigingsvoorstellen op te nemen, met als doel de coherentie, juridische duidelijkheid en voorspelbaarheid voor alle belanghebbenden te vergroten, zonder dat daarbij de overeengekomen beleidsdoelstellingen worden ondermijnd; </w:t>
      </w:r>
    </w:p>
    <w:p w14:paraId="0820AC3C" w14:textId="77777777" w:rsidR="00BA1000" w:rsidRPr="00091F61" w:rsidRDefault="00BA1000" w:rsidP="00BA1000">
      <w:pPr>
        <w:pStyle w:val="NormalHanging12a"/>
      </w:pPr>
      <w:r w:rsidRPr="00091F61">
        <w:t>28.</w:t>
      </w:r>
      <w:r w:rsidRPr="00091F61">
        <w:tab/>
        <w:t>wijst op het komende verslag van de Commissie over de wisselwerking tussen de digitaledienstenverordening en andere rechtshandelingen en spoort de Commissie aan om in dit verslag duidelijkheid te verschaffen over de wijze waarop deze verordening samenhangt met andere rechtshandelingen, en hierbij onder meer in te gaan op manieren waarop mogelijke overlappingen kunnen worden aangepakt, teneinde de effectieve uitvoering en handhaving van het digitale rulebook van de EU te ondersteunen en rechtszekerheid te bieden aan dienstverleners, gebruikers, consumenten en regelgevende instanties;</w:t>
      </w:r>
    </w:p>
    <w:p w14:paraId="687C3104" w14:textId="77777777" w:rsidR="00BA1000" w:rsidRPr="00091F61" w:rsidRDefault="00BA1000" w:rsidP="00BA1000">
      <w:pPr>
        <w:pStyle w:val="NormalHanging12a"/>
        <w:rPr>
          <w:bCs/>
          <w:iCs/>
        </w:rPr>
      </w:pPr>
      <w:r w:rsidRPr="00091F61">
        <w:t>29.</w:t>
      </w:r>
      <w:r w:rsidRPr="00091F61">
        <w:tab/>
        <w:t>benadrukt dat het digitaal beleid, met name op het gebied van opkomende technologieën of in verband met zeer complexe technologieën, een iteratieve aanpak moet volgen, waarbij onder meer rekening wordt gehouden met instrumenten zoals een gestructureerde dialoog met ondernemingen en andere relevante belanghebbenden, coregulering en testomgevingen voor regelgeving, om uitvoerbare, evenredige en toekomstbestendige regels te waarborgen die ontworpen zijn met het oog op innovatie, waarbij onbedoelde effecten worden vermeden en de impact van recentelijk aangenomen wetgevingsbesluiten wordt beoordeeld alvorens nieuwe verplichtingen worden voorgesteld; herinnert aan het belang van gemeenschappelijke normen voor de werking van de digitale eengemaakte markt; wijst op het belang van EU-leiderschap op het gebied van de normalisatie betreffende digitale technologieën, alsook op het cruciale belang van trans-Atlantische en internationale samenwerking op dit gebied om de technologische soevereiniteit en het mondiale concurrentievermogen te waarborgen, met name op opkomende gebieden zoals artificiële intelligentie en clouddiensten;</w:t>
      </w:r>
    </w:p>
    <w:p w14:paraId="7F7161A2" w14:textId="77777777" w:rsidR="00BA1000" w:rsidRPr="00091F61" w:rsidRDefault="00BA1000" w:rsidP="00BA1000">
      <w:pPr>
        <w:pStyle w:val="NormalHanging12a"/>
      </w:pPr>
      <w:r w:rsidRPr="00091F61">
        <w:t>30.</w:t>
      </w:r>
      <w:r w:rsidRPr="00091F61">
        <w:tab/>
        <w:t xml:space="preserve">wijst op het potentieel van digitalisering en artificiële intelligentie als belangrijke instrumenten voor het versterken van het concurrentievermogen van de EU, het verminderen van administratieve lasten, het stroomlijnen en automatiseren van administratieve procedures, waaronder rapportage-, autorisatie-, vergunnings- en nalevingsvereisten, alsook voor het vergemakkelijken van markttoegang en het beoordelen van toepasselijke wetgevingsinstrumenten; wijst op de noodzaak om het gebruik van deze belangrijke instrumenten te bevorderen om de efficiëntie van de regelgeving te verbeteren en bij te dragen aan een betere uitvoering en monitoring van de wetgeving inzake de interne markt; merkt op dat het feit dat de mate van </w:t>
      </w:r>
      <w:r w:rsidRPr="00091F61">
        <w:lastRenderedPageBreak/>
        <w:t>digitalisering van overheidsdiensten in de lidstaten uiteenloopt een belemmering vormt voor grensoverschrijdende activiteiten;</w:t>
      </w:r>
    </w:p>
    <w:p w14:paraId="3BBB755E" w14:textId="65D70A38" w:rsidR="00BA1000" w:rsidRPr="00091F61" w:rsidRDefault="00BA1000" w:rsidP="00BA1000">
      <w:pPr>
        <w:pStyle w:val="NormalHanging12a"/>
      </w:pPr>
      <w:r w:rsidRPr="00091F61">
        <w:t>31.</w:t>
      </w:r>
      <w:r w:rsidRPr="00091F61">
        <w:tab/>
        <w:t>is van mening dat aan alle rapportage- en administratieve vereisten moet kunnen worden voldaan via elektronische instrumenten en portalen, en is er voorstander van dat deze instrumenten en portalen worden samengevoegd in een digitaal “éénloketsysteem”; verzoekt de Commissie de haalbaarheid van een dergelijk digitaal “éénloketsysteem” te onderzoeken door de digitale toegangspoort uit te breiden, met als doel een gestroomlijnde aanpak voor de toegang tot informatie, administratieve procedures en ondersteunende diensten voor bedrijven te faciliteren en meer onlinediensten aan te bieden aan zowel burgers als bedrijven, met name kmo’s, en daarbij gebruik te maken van digitale openbare infrastructuur zoals de Europese portemonnee voor digitale identiteit en de toekomstige Europese portemonnee voor ondernemingen, en te zorgen voor consistentie door deze instrumenten in alle relevante wetgevingsvoorstellen te integreren;</w:t>
      </w:r>
    </w:p>
    <w:p w14:paraId="2192782F" w14:textId="77777777" w:rsidR="00BA1000" w:rsidRPr="00091F61" w:rsidRDefault="00BA1000" w:rsidP="00BA1000">
      <w:pPr>
        <w:pStyle w:val="NormalHanging12a"/>
      </w:pPr>
      <w:r w:rsidRPr="00091F61">
        <w:t>32.</w:t>
      </w:r>
      <w:r w:rsidRPr="00091F61">
        <w:tab/>
        <w:t>wijst op het belang van interoperabiliteit om de administratieve lasten te verminderen en wijst met name op de noodzaak om ervoor te zorgen dat rapportageverplichtingen coherent zijn en gemakkelijk zijn na te leven, en roept de Commissie op om te blijven zoeken naar manieren om rapportageprocedures te verbeteren en te digitaliseren, onder meer in de vorm van geautomatiseerde verslaglegging tussen bedrijven, om de uitwisseling van informatie en de naleving te verbeteren, zonder dat bedrijven overbelast raken; is ingenomen met het technisch systeem voor de toepassing van het eenmaligheidsbeginsel, wat een belangrijk instrument is om geautomatiseerde grensoverschrijdende gegevensuitwisseling mogelijk te maken en dubbele rapportageverplichtingen voor bedrijven terug te dringen; benadrukt dat bij de ontwikkeling van vereisten inzake gegevensuitwisseling en rapportage digitalisering voor ogen moet worden gehouden, om gegevensgestuurde en geautomatiseerde gegevensuitwisseling en verslaglegging mogelijk te maken;</w:t>
      </w:r>
    </w:p>
    <w:p w14:paraId="0B195F2C" w14:textId="77777777" w:rsidR="00BA1000" w:rsidRPr="00091F61" w:rsidRDefault="00BA1000" w:rsidP="00BA1000">
      <w:pPr>
        <w:pStyle w:val="NormalHanging12a"/>
      </w:pPr>
      <w:r w:rsidRPr="00091F61">
        <w:t>33.</w:t>
      </w:r>
      <w:r w:rsidRPr="00091F61">
        <w:tab/>
        <w:t>verzoekt de Commissie om de IT-instrumenten die marktdeelnemers en relevante nationale autoriteiten momenteel kunnen gebruiken voor het melden en doorgeven van relevante informatie, zoals informatie over incidenten, corrigerende maatregelen en andere gegevens over productveiligheid op de interne markt, te stroomlijnen; benadrukt dat er één enkel IT-instrument moet worden ontwikkeld om tijd en kosten te besparen en om de naleving en handhaving te verbeteren;</w:t>
      </w:r>
    </w:p>
    <w:p w14:paraId="6764C205" w14:textId="77777777" w:rsidR="00BA1000" w:rsidRPr="00091F61" w:rsidRDefault="00BA1000" w:rsidP="00BA1000">
      <w:pPr>
        <w:pStyle w:val="NormalHanging12a"/>
      </w:pPr>
      <w:r w:rsidRPr="00091F61">
        <w:t>34.</w:t>
      </w:r>
      <w:r w:rsidRPr="00091F61">
        <w:tab/>
        <w:t>verzoekt de Commissie om de ontwikkeling van nalevingsinstrumenten, zoals praktijkrichtlijnen, te verbeteren en ervoor te zorgen dat deze binnen de grenzen van de onderliggende wettelijke verplichtingen blijven, praktisch uitvoerbaar zijn voor bedrijven van welke omvang dan ook en tot stand worden gebracht op basis van zorgvuldige raadpleging van belanghebbenden in een vroeg stadium;</w:t>
      </w:r>
    </w:p>
    <w:p w14:paraId="1F742C02" w14:textId="77777777" w:rsidR="00BA1000" w:rsidRPr="00091F61" w:rsidRDefault="00BA1000" w:rsidP="00BA1000">
      <w:pPr>
        <w:pStyle w:val="NormalHanging12a"/>
      </w:pPr>
      <w:r w:rsidRPr="00091F61">
        <w:t>35.</w:t>
      </w:r>
      <w:r w:rsidRPr="00091F61">
        <w:tab/>
        <w:t>wijst op de noodzaak van een moderne en robuuste digitale infrastructuur om de ambities van de EU op het gebied van digitalisering en grensverleggende technologieën te verwezenlijken; dringt aan op verdere investeringen in de ontwikkeling van “digitale snelwegen”, waaronder grensoverschrijdende breedbandnetwerken met hoge capaciteit, 5G-corridors, beveiligde cloud- en edge-infrastructuur en interoperabele digitale overheidsdiensten;</w:t>
      </w:r>
    </w:p>
    <w:p w14:paraId="46C91BAC" w14:textId="77777777" w:rsidR="00BA1000" w:rsidRPr="00091F61" w:rsidRDefault="00BA1000" w:rsidP="00BA1000">
      <w:pPr>
        <w:pStyle w:val="NormalHanging12a"/>
      </w:pPr>
      <w:r w:rsidRPr="00091F61">
        <w:lastRenderedPageBreak/>
        <w:t>36.</w:t>
      </w:r>
      <w:r w:rsidRPr="00091F61">
        <w:tab/>
        <w:t>dringt aan op geharmoniseerde invoering van digitale etikettering en het digitaal productpaspoort in de EU-productwetgeving; wijst erop dat hierdoor de nalevingslasten kunnen worden verlaagd, de toegang van consumenten tot accurate informatie kan worden verbeterd en meertalige interoperabiliteit kan worden ondersteund, waarbij de mogelijkheid blijft bestaan om consumentenproducten te voorzien van essentiële informatie over veiligheid in papieren vorm; verzoekt de Commissie de ontwikkeling te faciliteren van gemeenschappelijke normen en gedetailleerde richtsnoeren om versnippering te voorkomen en de deelname van kmo’s aan grensoverschrijdende handel te vergemakkelijken;</w:t>
      </w:r>
    </w:p>
    <w:p w14:paraId="2C37723F" w14:textId="77777777" w:rsidR="00BA1000" w:rsidRPr="00091F61" w:rsidRDefault="00BA1000" w:rsidP="00BA1000">
      <w:pPr>
        <w:pStyle w:val="Normal12a24b"/>
        <w:rPr>
          <w:rStyle w:val="BoldItalic"/>
        </w:rPr>
      </w:pPr>
      <w:r w:rsidRPr="00091F61">
        <w:rPr>
          <w:rStyle w:val="BoldItalic"/>
        </w:rPr>
        <w:t>Consumentenbescherming in het digitale tijdperk verbeteren</w:t>
      </w:r>
    </w:p>
    <w:p w14:paraId="6626AFC7" w14:textId="77777777" w:rsidR="00BA1000" w:rsidRPr="00091F61" w:rsidRDefault="00BA1000" w:rsidP="00BA1000">
      <w:pPr>
        <w:pStyle w:val="Normal12a24b"/>
        <w:ind w:left="567" w:hanging="567"/>
      </w:pPr>
      <w:r w:rsidRPr="00091F61">
        <w:t>37.</w:t>
      </w:r>
      <w:r w:rsidRPr="00091F61">
        <w:tab/>
        <w:t>benadrukt dat het stroomlijnen van de wetgeving inzake consumentenbescherming er niet toe mag leiden dat het huidige hoge niveau van consumentenbescherming in de EU wordt verlaagd; wijst op de aanzienlijke vooruitgang die is geboekt bij het versterken van de regels inzake consumentenbescherming en het aanpassen van die regels aan de nieuwe werkelijkheid op het gebied van technologie en duurzaamheid; benadrukt dat de consumentenbescherming nog verder moet worden versterkt en dat consumenten met name moeten worden beschermd tegen onjuiste of misleidende productinformatie binnen de elektronische handel; wijst op het belang van een effectieve handhaving en een grondige analyse van de wetgeving inzake consumentenbescherming en de effecten ervan; vindt het belangrijk dat nieuwe wetgevingsinitiatieven gericht zijn op het dichten van lacunes in de bestaande wetgeving of op de aanpak van bewezen nieuwe uitdagingen die in het bestaande rechtskader niet worden aangepakt;</w:t>
      </w:r>
    </w:p>
    <w:p w14:paraId="75325DC6" w14:textId="77777777" w:rsidR="00BA1000" w:rsidRPr="00091F61" w:rsidRDefault="00BA1000" w:rsidP="00BA1000">
      <w:pPr>
        <w:pStyle w:val="NormalHanging12a"/>
      </w:pPr>
      <w:r w:rsidRPr="00091F61">
        <w:t>38.</w:t>
      </w:r>
      <w:r w:rsidRPr="00091F61">
        <w:tab/>
        <w:t>benadrukt dat de snelle uitbreiding van digitale platformen en elektronische handel heeft geleid tot een nieuwe marktdynamiek, en nieuwe kansen, uitdagingen en risico’s voor gebruikers met zich mee heeft gebracht; wijst erop dat de digitalemarktenverordening</w:t>
      </w:r>
      <w:r w:rsidRPr="00091F61">
        <w:rPr>
          <w:rStyle w:val="FootnoteReference"/>
        </w:rPr>
        <w:footnoteReference w:id="14"/>
      </w:r>
      <w:r w:rsidRPr="00091F61">
        <w:t xml:space="preserve"> en de digitaledienstenverordening belangrijke wetgevingsinstrumenten zijn om eerlijke concurrentie, betwistbaarheid en billijkheid op digitale platformen te waarborgen en tegelijkertijd een veiliger, betrouwbaardere en transparantere digitale omgeving en consumentenbescherming in de digitale economie te bevorderen, en dringt erop aan dat deze technologiewetgeving adequaat wordt gehandhaafd, zodat consumenten daadwerkelijk autonome en geïnformeerde keuzes kunnen maken en goed worden beschermd, en eerlijke concurrentie wordt gewaarborgd;</w:t>
      </w:r>
    </w:p>
    <w:p w14:paraId="28447822" w14:textId="77777777" w:rsidR="00BA1000" w:rsidRPr="00091F61" w:rsidRDefault="00BA1000" w:rsidP="00BA1000">
      <w:pPr>
        <w:pStyle w:val="NormalHanging12a"/>
        <w:rPr>
          <w:bCs/>
          <w:iCs/>
        </w:rPr>
      </w:pPr>
      <w:r w:rsidRPr="00091F61">
        <w:t>39.</w:t>
      </w:r>
      <w:r w:rsidRPr="00091F61">
        <w:tab/>
        <w:t xml:space="preserve">stelt nogmaals dat de wetgeving inzake consumentenbescherming overwegend gebaseerd moet blijven op beginselen en dat de coherentie tussen de verschillende rechtsinstrumenten bewaard moet blijven, maar is van mening dat er ook specifieke bepalingen moeten kunnen worden vastgesteld als dit nodig is met het oog op de rechtszekerheid voor ondernemingen en consumenten; benadrukt dat voorkomen moet worden dat er buitensporige of overbodige verplichtingen gelden inzake het verstrekken van informatie, aangezien dergelijke verplichtingen kunnen leiden tot onnodige lasten voor bedrijven zonder dat zij bijdragen tot meer begrip bij consumenten; dringt aan op evenredige en doelgerichte verplichtingen inzake consumentenvoorlichting; merkt op </w:t>
      </w:r>
      <w:r w:rsidRPr="00091F61">
        <w:lastRenderedPageBreak/>
        <w:t>dat uit het scorebord voor de consumentenvoorwaarden 2025 blijkt dat de meeste consumenten slecht op de hoogte zijn van hun rechten; verzoekt de Commissie en de lidstaten om bewustmakingscampagnes voor consumenten op te zetten;</w:t>
      </w:r>
    </w:p>
    <w:p w14:paraId="65C165EC" w14:textId="77777777" w:rsidR="00BA1000" w:rsidRPr="00091F61" w:rsidRDefault="00BA1000" w:rsidP="00BA1000">
      <w:pPr>
        <w:pStyle w:val="NormalHanging12a"/>
        <w:rPr>
          <w:bCs/>
          <w:iCs/>
        </w:rPr>
      </w:pPr>
      <w:r w:rsidRPr="00091F61">
        <w:t>40.</w:t>
      </w:r>
      <w:r w:rsidRPr="00091F61">
        <w:tab/>
        <w:t>dringt er bij de Commissie op aan digitale instrumenten te gebruiken om de transparantie en het consumentenvertrouwen in grensoverschrijdende transacties te vergroten; roept op tot een doeltreffende toepassing van de verhaalsmechanismen voor consumenten, waaronder de mechanismen voor collectief verhaal, en tot volledige handhaving van de consumentenrechten in de EU, onder meer door middel van een herziening van de verordening betreffende samenwerking met betrekking tot consumentenbescherming</w:t>
      </w:r>
      <w:r w:rsidRPr="00091F61">
        <w:rPr>
          <w:rStyle w:val="FootnoteReference"/>
        </w:rPr>
        <w:footnoteReference w:id="15"/>
      </w:r>
      <w:r w:rsidRPr="00091F61">
        <w:t>, waarbij de focus moet liggen op verbetering van de grensoverschrijdende handhaving; wijst voorts op het belang van een herziening van de verordening betreffende samenwerking met betrekking tot consumentenbescherming, met als doel de grensoverschrijdende handhaving te verbeteren en oneerlijke praktijken, met name door handelaren van buiten de EU, aan te pakken; merkt op dat het belangrijk is dat de samenwerking tussen de bevoegde autoriteiten van de lidstaten wordt versterkt, onder meer door middel van het opzetten van gecoördineerde gezamenlijke-handhavingsprojecten en het stroomlijnen van de uitwisseling van informatie;</w:t>
      </w:r>
    </w:p>
    <w:p w14:paraId="47700A11" w14:textId="77777777" w:rsidR="00BA1000" w:rsidRPr="00091F61" w:rsidRDefault="00BA1000" w:rsidP="00BA1000">
      <w:pPr>
        <w:pStyle w:val="NormalCenter12a"/>
      </w:pPr>
      <w:r w:rsidRPr="00091F61">
        <w:t>°</w:t>
      </w:r>
    </w:p>
    <w:p w14:paraId="303F0744" w14:textId="77777777" w:rsidR="00BA1000" w:rsidRPr="00091F61" w:rsidRDefault="00BA1000" w:rsidP="00BA1000">
      <w:pPr>
        <w:pStyle w:val="NormalCenter12a"/>
      </w:pPr>
      <w:r w:rsidRPr="00091F61">
        <w:t>°</w:t>
      </w:r>
      <w:r w:rsidRPr="00091F61">
        <w:tab/>
        <w:t>°</w:t>
      </w:r>
    </w:p>
    <w:p w14:paraId="7D06946A" w14:textId="7900BAA8" w:rsidR="003413AD" w:rsidRPr="00091F61" w:rsidRDefault="00BA1000" w:rsidP="003413AD">
      <w:pPr>
        <w:pStyle w:val="NormalHanging12a"/>
      </w:pPr>
      <w:r w:rsidRPr="00091F61">
        <w:t>41.</w:t>
      </w:r>
      <w:r w:rsidRPr="00091F61">
        <w:tab/>
        <w:t>verzoekt zijn Voorzitter deze resolutie te doen toekomen aan de Raad en de Commissie.</w:t>
      </w:r>
    </w:p>
    <w:sectPr w:rsidR="003413AD" w:rsidRPr="00091F61" w:rsidSect="003413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09A7" w14:textId="77777777" w:rsidR="00145907" w:rsidRPr="003413AD" w:rsidRDefault="00145907">
      <w:r w:rsidRPr="003413AD">
        <w:separator/>
      </w:r>
    </w:p>
  </w:endnote>
  <w:endnote w:type="continuationSeparator" w:id="0">
    <w:p w14:paraId="1D14523F" w14:textId="77777777" w:rsidR="00145907" w:rsidRPr="003413AD" w:rsidRDefault="00145907">
      <w:r w:rsidRPr="00341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78716" w14:textId="77777777" w:rsidR="00064002" w:rsidRPr="003413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1744" w14:textId="77777777" w:rsidR="00064002" w:rsidRPr="003413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DD075" w14:textId="77777777" w:rsidR="00064002" w:rsidRPr="003413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208DF" w14:textId="77777777" w:rsidR="00145907" w:rsidRPr="003413AD" w:rsidRDefault="00145907">
      <w:r w:rsidRPr="003413AD">
        <w:separator/>
      </w:r>
    </w:p>
  </w:footnote>
  <w:footnote w:type="continuationSeparator" w:id="0">
    <w:p w14:paraId="6A0457D5" w14:textId="77777777" w:rsidR="00145907" w:rsidRPr="003413AD" w:rsidRDefault="00145907">
      <w:r w:rsidRPr="003413AD">
        <w:continuationSeparator/>
      </w:r>
    </w:p>
  </w:footnote>
  <w:footnote w:id="1">
    <w:p w14:paraId="2FFC61BA" w14:textId="50CA7232"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r w:rsidRPr="003413AD">
        <w:rPr>
          <w:sz w:val="24"/>
          <w:lang w:val="nl-NL"/>
        </w:rPr>
        <w:t>PB C 214 van 16.6.2023, blz. 8.</w:t>
      </w:r>
    </w:p>
  </w:footnote>
  <w:footnote w:id="2">
    <w:p w14:paraId="003DEC26" w14:textId="68F7B989" w:rsidR="00BA1000" w:rsidRPr="003413AD" w:rsidRDefault="00BA1000" w:rsidP="003413AD">
      <w:pPr>
        <w:pStyle w:val="FootnoteText"/>
        <w:ind w:left="567" w:hanging="567"/>
        <w:rPr>
          <w:sz w:val="24"/>
          <w:vertAlign w:val="superscript"/>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hyperlink r:id="rId1" w:history="1">
        <w:r w:rsidRPr="003413AD">
          <w:rPr>
            <w:rStyle w:val="Hyperlink"/>
            <w:sz w:val="24"/>
            <w:lang w:val="nl-NL"/>
          </w:rPr>
          <w:t>https://single-market-economy.ec.europa.eu/publications/2025-annual-single-market-and-competitiveness-report_en</w:t>
        </w:r>
      </w:hyperlink>
      <w:r w:rsidRPr="003413AD">
        <w:rPr>
          <w:sz w:val="24"/>
          <w:lang w:val="nl-NL"/>
        </w:rPr>
        <w:t>;</w:t>
      </w:r>
    </w:p>
    <w:p w14:paraId="62992909" w14:textId="02959F01" w:rsidR="00BA1000" w:rsidRPr="003413AD" w:rsidRDefault="003413AD" w:rsidP="003413AD">
      <w:pPr>
        <w:pStyle w:val="FootnoteText"/>
        <w:ind w:left="567" w:hanging="567"/>
        <w:rPr>
          <w:sz w:val="24"/>
          <w:vertAlign w:val="superscript"/>
          <w:lang w:val="nl-NL"/>
        </w:rPr>
      </w:pPr>
      <w:r w:rsidRPr="003413AD">
        <w:rPr>
          <w:sz w:val="24"/>
          <w:lang w:val="nl-NL"/>
        </w:rPr>
        <w:t xml:space="preserve"> </w:t>
      </w:r>
      <w:r w:rsidRPr="003413AD">
        <w:rPr>
          <w:sz w:val="24"/>
          <w:lang w:val="nl-NL"/>
        </w:rPr>
        <w:tab/>
      </w:r>
      <w:hyperlink r:id="rId2" w:history="1">
        <w:r w:rsidR="00BA1000" w:rsidRPr="003413AD">
          <w:rPr>
            <w:rStyle w:val="Hyperlink"/>
            <w:sz w:val="24"/>
            <w:lang w:val="nl-NL"/>
          </w:rPr>
          <w:t>https://documents1.worldbank.org/curated/en/600621587713071010/pdf/Doing-Business-in-the-European-Union-2020-Greece-Ireland-and-Italy.pdf</w:t>
        </w:r>
      </w:hyperlink>
      <w:r w:rsidR="00BA1000" w:rsidRPr="003413AD">
        <w:rPr>
          <w:sz w:val="24"/>
          <w:lang w:val="nl-NL"/>
        </w:rPr>
        <w:t xml:space="preserve">; </w:t>
      </w:r>
    </w:p>
    <w:p w14:paraId="28C81B72" w14:textId="4101AD53" w:rsidR="00BA1000" w:rsidRPr="003413AD" w:rsidRDefault="003413AD" w:rsidP="003413AD">
      <w:pPr>
        <w:pStyle w:val="FootnoteText"/>
        <w:ind w:left="567" w:hanging="567"/>
        <w:rPr>
          <w:sz w:val="24"/>
          <w:lang w:val="nl-NL"/>
        </w:rPr>
      </w:pPr>
      <w:r w:rsidRPr="003413AD">
        <w:rPr>
          <w:sz w:val="24"/>
          <w:lang w:val="nl-NL"/>
        </w:rPr>
        <w:t xml:space="preserve"> </w:t>
      </w:r>
      <w:r w:rsidRPr="003413AD">
        <w:rPr>
          <w:sz w:val="24"/>
          <w:lang w:val="nl-NL"/>
        </w:rPr>
        <w:tab/>
      </w:r>
      <w:hyperlink r:id="rId3" w:history="1">
        <w:r w:rsidR="00BA1000" w:rsidRPr="003413AD">
          <w:rPr>
            <w:rStyle w:val="Hyperlink"/>
            <w:sz w:val="24"/>
            <w:lang w:val="nl-NL"/>
          </w:rPr>
          <w:t>https://www.weforum.org/stories/2024/09/wind-energy-permitting-processes-europe/</w:t>
        </w:r>
      </w:hyperlink>
      <w:r w:rsidR="00BA1000" w:rsidRPr="003413AD">
        <w:rPr>
          <w:sz w:val="24"/>
          <w:lang w:val="nl-NL"/>
        </w:rPr>
        <w:t xml:space="preserve">. </w:t>
      </w:r>
    </w:p>
  </w:footnote>
  <w:footnote w:id="3">
    <w:p w14:paraId="1FD1B471" w14:textId="0CCF83A2"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r w:rsidRPr="003413AD">
        <w:rPr>
          <w:sz w:val="24"/>
          <w:lang w:val="nl-NL"/>
        </w:rPr>
        <w:t xml:space="preserve">Interinstitutioneel Akkoord van 13 april 2016 tussen het Europees Parlement, de Raad van de Europese Unie en de Europese Commissie over beter wetgeven (PB L 123 van 12.5.2016, blz. 1, ELI: </w:t>
      </w:r>
      <w:hyperlink r:id="rId4" w:history="1">
        <w:r w:rsidRPr="003413AD">
          <w:rPr>
            <w:rStyle w:val="Hyperlink"/>
            <w:sz w:val="24"/>
            <w:lang w:val="nl-NL"/>
          </w:rPr>
          <w:t>http://data.europa.eu/eli/agree_interinstit/2016/512/oj</w:t>
        </w:r>
      </w:hyperlink>
      <w:r w:rsidRPr="003413AD">
        <w:rPr>
          <w:sz w:val="24"/>
          <w:lang w:val="nl-NL"/>
        </w:rPr>
        <w:t>).</w:t>
      </w:r>
    </w:p>
  </w:footnote>
  <w:footnote w:id="4">
    <w:p w14:paraId="4B04063A" w14:textId="77C9ECD6"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r w:rsidRPr="003413AD">
        <w:rPr>
          <w:sz w:val="24"/>
          <w:lang w:val="nl-NL"/>
        </w:rPr>
        <w:t xml:space="preserve">Richtlijn 2006/123/EG van het Europees Parlement en de Raad van 12 december 2006 betreffende diensten op de interne markt (PB L 376 van 27.12.2006, blz. 36, ELI: </w:t>
      </w:r>
      <w:hyperlink r:id="rId5" w:history="1">
        <w:r w:rsidRPr="003413AD">
          <w:rPr>
            <w:rStyle w:val="Hyperlink"/>
            <w:sz w:val="24"/>
            <w:lang w:val="nl-NL"/>
          </w:rPr>
          <w:t>http://data.europa.eu/eli/dir/2006/123/oj</w:t>
        </w:r>
      </w:hyperlink>
      <w:r w:rsidRPr="003413AD">
        <w:rPr>
          <w:sz w:val="24"/>
          <w:lang w:val="nl-NL"/>
        </w:rPr>
        <w:t>).</w:t>
      </w:r>
    </w:p>
  </w:footnote>
  <w:footnote w:id="5">
    <w:p w14:paraId="746FBB3B" w14:textId="5CD47194"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shd w:val="clear" w:color="auto" w:fill="FFFFFF"/>
          <w:lang w:val="nl-NL"/>
        </w:rPr>
        <w:t xml:space="preserve"> </w:t>
      </w:r>
      <w:r w:rsidR="003413AD" w:rsidRPr="003413AD">
        <w:rPr>
          <w:sz w:val="24"/>
          <w:shd w:val="clear" w:color="auto" w:fill="FFFFFF"/>
          <w:lang w:val="nl-NL"/>
        </w:rPr>
        <w:tab/>
      </w:r>
      <w:r w:rsidRPr="003413AD">
        <w:rPr>
          <w:sz w:val="24"/>
          <w:shd w:val="clear" w:color="auto" w:fill="FFFFFF"/>
          <w:lang w:val="nl-NL"/>
        </w:rPr>
        <w:t>Richtlijn (EU) 2015/1535 van het Europees Parlement en de Raad van 9 september 2015 betreffende een informatieprocedure op het gebied van technische voorschriften en regels betreffende de diensten van de informatiemaatschappij (</w:t>
      </w:r>
      <w:r w:rsidRPr="00EE6209">
        <w:rPr>
          <w:rStyle w:val="Emphasis"/>
          <w:i w:val="0"/>
          <w:iCs w:val="0"/>
          <w:sz w:val="24"/>
          <w:shd w:val="clear" w:color="auto" w:fill="FFFFFF"/>
          <w:lang w:val="nl-NL"/>
        </w:rPr>
        <w:t xml:space="preserve">PB L 241 van 17.9.2015, blz. 1, </w:t>
      </w:r>
      <w:r w:rsidRPr="003413AD">
        <w:rPr>
          <w:sz w:val="24"/>
          <w:shd w:val="clear" w:color="auto" w:fill="FFFFFF"/>
          <w:lang w:val="nl-NL"/>
        </w:rPr>
        <w:t>ELI: </w:t>
      </w:r>
      <w:hyperlink r:id="rId6" w:tooltip="Geeft toegang tot dit document via de ELI URI." w:history="1">
        <w:r w:rsidRPr="003413AD">
          <w:rPr>
            <w:color w:val="0000FF"/>
            <w:sz w:val="24"/>
            <w:u w:val="single"/>
            <w:shd w:val="clear" w:color="auto" w:fill="FFFFFF"/>
            <w:lang w:val="nl-NL"/>
          </w:rPr>
          <w:t>http://data.europa.eu/eli/dir/2015/1535/oj</w:t>
        </w:r>
      </w:hyperlink>
      <w:r w:rsidRPr="003413AD">
        <w:rPr>
          <w:sz w:val="24"/>
          <w:lang w:val="nl-NL"/>
        </w:rPr>
        <w:t>).</w:t>
      </w:r>
    </w:p>
  </w:footnote>
  <w:footnote w:id="6">
    <w:p w14:paraId="7D6EB04E" w14:textId="34212479"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shd w:val="clear" w:color="auto" w:fill="FFFFFF"/>
          <w:lang w:val="nl-NL"/>
        </w:rPr>
        <w:t xml:space="preserve"> </w:t>
      </w:r>
      <w:r w:rsidR="003413AD" w:rsidRPr="003413AD">
        <w:rPr>
          <w:sz w:val="24"/>
          <w:shd w:val="clear" w:color="auto" w:fill="FFFFFF"/>
          <w:lang w:val="nl-NL"/>
        </w:rPr>
        <w:tab/>
      </w:r>
      <w:r w:rsidRPr="003413AD">
        <w:rPr>
          <w:sz w:val="24"/>
          <w:shd w:val="clear" w:color="auto" w:fill="FFFFFF"/>
          <w:lang w:val="nl-NL"/>
        </w:rPr>
        <w:t>Richtlijn 2005/36/EG van het Europees Parlement en de Raad van 7 september 2005 betreffende de erkenning van beroepskwalificaties (</w:t>
      </w:r>
      <w:r w:rsidRPr="00EE6209">
        <w:rPr>
          <w:rStyle w:val="Emphasis"/>
          <w:i w:val="0"/>
          <w:iCs w:val="0"/>
          <w:sz w:val="24"/>
          <w:shd w:val="clear" w:color="auto" w:fill="FFFFFF"/>
          <w:lang w:val="nl-NL"/>
        </w:rPr>
        <w:t xml:space="preserve">PB L 255 van 30.9.2005, blz. 22, </w:t>
      </w:r>
      <w:r w:rsidRPr="003413AD">
        <w:rPr>
          <w:sz w:val="24"/>
          <w:shd w:val="clear" w:color="auto" w:fill="FFFFFF"/>
          <w:lang w:val="nl-NL"/>
        </w:rPr>
        <w:t>ELI: </w:t>
      </w:r>
      <w:hyperlink r:id="rId7" w:tooltip="Geeft toegang tot dit document via de ELI URI." w:history="1">
        <w:r w:rsidRPr="003413AD">
          <w:rPr>
            <w:color w:val="0000FF"/>
            <w:sz w:val="24"/>
            <w:u w:val="single"/>
            <w:shd w:val="clear" w:color="auto" w:fill="FFFFFF"/>
            <w:lang w:val="nl-NL"/>
          </w:rPr>
          <w:t>http://data.europa.eu/eli/dir/2005/36/oj</w:t>
        </w:r>
      </w:hyperlink>
      <w:r w:rsidRPr="003413AD">
        <w:rPr>
          <w:sz w:val="24"/>
          <w:lang w:val="nl-NL"/>
        </w:rPr>
        <w:t>).</w:t>
      </w:r>
    </w:p>
  </w:footnote>
  <w:footnote w:id="7">
    <w:p w14:paraId="1A6E9381" w14:textId="5B3115BB"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shd w:val="clear" w:color="auto" w:fill="FFFFFF"/>
          <w:lang w:val="nl-NL"/>
        </w:rPr>
        <w:t xml:space="preserve"> </w:t>
      </w:r>
      <w:r w:rsidR="003413AD" w:rsidRPr="003413AD">
        <w:rPr>
          <w:sz w:val="24"/>
          <w:shd w:val="clear" w:color="auto" w:fill="FFFFFF"/>
          <w:lang w:val="nl-NL"/>
        </w:rPr>
        <w:tab/>
      </w:r>
      <w:r w:rsidRPr="003413AD">
        <w:rPr>
          <w:sz w:val="24"/>
          <w:shd w:val="clear" w:color="auto" w:fill="FFFFFF"/>
          <w:lang w:val="nl-NL"/>
        </w:rPr>
        <w:t xml:space="preserve">Verordening (EG) </w:t>
      </w:r>
      <w:r w:rsidR="00097FBF">
        <w:rPr>
          <w:sz w:val="24"/>
          <w:shd w:val="clear" w:color="auto" w:fill="FFFFFF"/>
          <w:lang w:val="nl-NL"/>
        </w:rPr>
        <w:t>n</w:t>
      </w:r>
      <w:r w:rsidRPr="003413AD">
        <w:rPr>
          <w:sz w:val="24"/>
          <w:shd w:val="clear" w:color="auto" w:fill="FFFFFF"/>
          <w:lang w:val="nl-NL"/>
        </w:rPr>
        <w:t>r. 883/2004 van het Europees Parlement en de Raad van 29 april 2004 betreffende de coördinatie van de socialezekerheidsstelsels (</w:t>
      </w:r>
      <w:r w:rsidRPr="00EE6209">
        <w:rPr>
          <w:rStyle w:val="Emphasis"/>
          <w:i w:val="0"/>
          <w:iCs w:val="0"/>
          <w:sz w:val="24"/>
          <w:shd w:val="clear" w:color="auto" w:fill="FFFFFF"/>
          <w:lang w:val="nl-NL"/>
        </w:rPr>
        <w:t xml:space="preserve">PB L 166 van 30.4.2004, blz. 1, </w:t>
      </w:r>
      <w:r w:rsidRPr="003413AD">
        <w:rPr>
          <w:sz w:val="24"/>
          <w:shd w:val="clear" w:color="auto" w:fill="FFFFFF"/>
          <w:lang w:val="nl-NL"/>
        </w:rPr>
        <w:t xml:space="preserve">ELI: </w:t>
      </w:r>
      <w:hyperlink r:id="rId8" w:tooltip="Geeft toegang tot dit document via de ELI URI." w:history="1">
        <w:r w:rsidRPr="003413AD">
          <w:rPr>
            <w:color w:val="0000FF"/>
            <w:sz w:val="24"/>
            <w:u w:val="single"/>
            <w:shd w:val="clear" w:color="auto" w:fill="FFFFFF"/>
            <w:lang w:val="nl-NL"/>
          </w:rPr>
          <w:t>http://data.europa.eu/eli/reg/2004/883/oj</w:t>
        </w:r>
      </w:hyperlink>
      <w:r w:rsidRPr="003413AD">
        <w:rPr>
          <w:sz w:val="24"/>
          <w:lang w:val="nl-NL"/>
        </w:rPr>
        <w:t>).</w:t>
      </w:r>
    </w:p>
  </w:footnote>
  <w:footnote w:id="8">
    <w:p w14:paraId="1F1D7662" w14:textId="49D8FF0B"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shd w:val="clear" w:color="auto" w:fill="FFFFFF"/>
          <w:lang w:val="nl-NL"/>
        </w:rPr>
        <w:t xml:space="preserve"> </w:t>
      </w:r>
      <w:r w:rsidR="003413AD" w:rsidRPr="003413AD">
        <w:rPr>
          <w:sz w:val="24"/>
          <w:shd w:val="clear" w:color="auto" w:fill="FFFFFF"/>
          <w:lang w:val="nl-NL"/>
        </w:rPr>
        <w:tab/>
      </w:r>
      <w:r w:rsidRPr="003413AD">
        <w:rPr>
          <w:sz w:val="24"/>
          <w:shd w:val="clear" w:color="auto" w:fill="FFFFFF"/>
          <w:lang w:val="nl-NL"/>
        </w:rPr>
        <w:t>Verordening (EU) 2024/2747 van het Europees Parlement en de Raad van 9 oktober 2024 tot vaststelling van een kader van maatregelen in verband met noodsituaties op de interne markt en met de veerkracht van de interne markt en tot wijziging van Verordening (EG) nr. 2679/98 van de Raad (verordening inzake noodsituaties op de interne markt en veerkracht van de interne markt) (PB L, 2024/2747, 8.11.2024, ELI: </w:t>
      </w:r>
      <w:hyperlink r:id="rId9" w:tgtFrame="_blank" w:tooltip="Geeft toegang tot dit document via de ELI URI." w:history="1">
        <w:r w:rsidRPr="003413AD">
          <w:rPr>
            <w:color w:val="0000FF"/>
            <w:sz w:val="24"/>
            <w:u w:val="single"/>
            <w:lang w:val="nl-NL"/>
          </w:rPr>
          <w:t>http://data.europa.eu/eli/reg/2024/2747/oj</w:t>
        </w:r>
      </w:hyperlink>
      <w:r w:rsidRPr="003413AD">
        <w:rPr>
          <w:sz w:val="24"/>
          <w:shd w:val="clear" w:color="auto" w:fill="FFFFFF"/>
          <w:lang w:val="nl-NL"/>
        </w:rPr>
        <w:t>).</w:t>
      </w:r>
    </w:p>
  </w:footnote>
  <w:footnote w:id="9">
    <w:p w14:paraId="4853621F" w14:textId="095B217C"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r w:rsidRPr="003413AD">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10" w:history="1">
        <w:r w:rsidRPr="003413AD">
          <w:rPr>
            <w:rStyle w:val="Hyperlink"/>
            <w:sz w:val="24"/>
            <w:lang w:val="nl-NL"/>
          </w:rPr>
          <w:t>http://data.europa.eu/eli/reg/2022/2065/oj</w:t>
        </w:r>
      </w:hyperlink>
      <w:r w:rsidRPr="003413AD">
        <w:rPr>
          <w:sz w:val="24"/>
          <w:lang w:val="nl-NL"/>
        </w:rPr>
        <w:t>).</w:t>
      </w:r>
    </w:p>
  </w:footnote>
  <w:footnote w:id="10">
    <w:p w14:paraId="41E814E8" w14:textId="57DBC594"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r w:rsidRPr="003413AD">
        <w:rPr>
          <w:sz w:val="24"/>
          <w:lang w:val="nl-NL"/>
        </w:rPr>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w:t>
      </w:r>
      <w:hyperlink r:id="rId11" w:history="1">
        <w:r w:rsidRPr="003413AD">
          <w:rPr>
            <w:rStyle w:val="Hyperlink"/>
            <w:sz w:val="24"/>
            <w:lang w:val="nl-NL"/>
          </w:rPr>
          <w:t>http://data.europa.eu/eli/reg/2016/679/oj</w:t>
        </w:r>
      </w:hyperlink>
      <w:r w:rsidRPr="003413AD">
        <w:rPr>
          <w:sz w:val="24"/>
          <w:lang w:val="nl-NL"/>
        </w:rPr>
        <w:t>).</w:t>
      </w:r>
    </w:p>
  </w:footnote>
  <w:footnote w:id="11">
    <w:p w14:paraId="7F76D35B" w14:textId="5FC6D0E9"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shd w:val="clear" w:color="auto" w:fill="FFFFFF"/>
          <w:lang w:val="nl-NL"/>
        </w:rPr>
        <w:t xml:space="preserve"> </w:t>
      </w:r>
      <w:r w:rsidR="003413AD" w:rsidRPr="003413AD">
        <w:rPr>
          <w:sz w:val="24"/>
          <w:shd w:val="clear" w:color="auto" w:fill="FFFFFF"/>
          <w:lang w:val="nl-NL"/>
        </w:rPr>
        <w:tab/>
      </w:r>
      <w:r w:rsidRPr="003413AD">
        <w:rPr>
          <w:sz w:val="24"/>
          <w:shd w:val="clear" w:color="auto" w:fill="FFFFFF"/>
          <w:lang w:val="nl-NL"/>
        </w:rP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12" w:tgtFrame="_blank" w:tooltip="Geeft toegang tot dit document via de ELI URI." w:history="1">
        <w:r w:rsidRPr="003413AD">
          <w:rPr>
            <w:color w:val="0000FF"/>
            <w:sz w:val="24"/>
            <w:u w:val="single"/>
            <w:lang w:val="nl-NL"/>
          </w:rPr>
          <w:t>http://data.europa.eu/eli/reg/2024/1689/oj</w:t>
        </w:r>
      </w:hyperlink>
      <w:r w:rsidRPr="003413AD">
        <w:rPr>
          <w:sz w:val="24"/>
          <w:shd w:val="clear" w:color="auto" w:fill="FFFFFF"/>
          <w:lang w:val="nl-NL"/>
        </w:rPr>
        <w:t>).</w:t>
      </w:r>
    </w:p>
  </w:footnote>
  <w:footnote w:id="12">
    <w:p w14:paraId="0C974A6A" w14:textId="416DFA5A"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r w:rsidRPr="003413AD">
        <w:rPr>
          <w:sz w:val="24"/>
          <w:lang w:val="nl-NL"/>
        </w:rPr>
        <w:t xml:space="preserve">Verordening (EU) 2024/900 van het Europees Parlement en de Raad van 13 maart 2024 betreffende transparantie en gerichte politieke reclame (PB L, 2024/900, 20.3.2024, ELI: </w:t>
      </w:r>
      <w:hyperlink r:id="rId13" w:history="1">
        <w:r w:rsidRPr="003413AD">
          <w:rPr>
            <w:rStyle w:val="Hyperlink"/>
            <w:sz w:val="24"/>
            <w:lang w:val="nl-NL"/>
          </w:rPr>
          <w:t>http://data.europa.eu/eli/reg/2024/900/oj</w:t>
        </w:r>
      </w:hyperlink>
      <w:r w:rsidRPr="003413AD">
        <w:rPr>
          <w:sz w:val="24"/>
          <w:lang w:val="nl-NL"/>
        </w:rPr>
        <w:t>).</w:t>
      </w:r>
    </w:p>
  </w:footnote>
  <w:footnote w:id="13">
    <w:p w14:paraId="230E7DD4" w14:textId="724DEDDB"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r w:rsidRPr="003413AD">
        <w:rPr>
          <w:sz w:val="24"/>
          <w:lang w:val="nl-NL"/>
        </w:rPr>
        <w:t xml:space="preserve">Richtlijn (EU) 2024/2853 van het Europees Parlement en de Raad van 23 oktober 2024 inzake aansprakelijkheid voor gebrekkige producten en tot intrekking van Richtlijn 85/374/EEG (PB L, 2024/2853, 18.11.2024, ELI: </w:t>
      </w:r>
      <w:hyperlink r:id="rId14" w:history="1">
        <w:r w:rsidRPr="003413AD">
          <w:rPr>
            <w:rStyle w:val="Hyperlink"/>
            <w:sz w:val="24"/>
            <w:lang w:val="nl-NL"/>
          </w:rPr>
          <w:t>http://data.europa.eu/eli/dir/2024/2853/oj</w:t>
        </w:r>
      </w:hyperlink>
      <w:r w:rsidRPr="003413AD">
        <w:rPr>
          <w:sz w:val="24"/>
          <w:lang w:val="nl-NL"/>
        </w:rPr>
        <w:t>).</w:t>
      </w:r>
    </w:p>
  </w:footnote>
  <w:footnote w:id="14">
    <w:p w14:paraId="7DFE0621" w14:textId="5DF7FAE2"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shd w:val="clear" w:color="auto" w:fill="FFFFFF"/>
          <w:lang w:val="nl-NL"/>
        </w:rPr>
        <w:t xml:space="preserve"> </w:t>
      </w:r>
      <w:r w:rsidR="003413AD" w:rsidRPr="003413AD">
        <w:rPr>
          <w:sz w:val="24"/>
          <w:shd w:val="clear" w:color="auto" w:fill="FFFFFF"/>
          <w:lang w:val="nl-NL"/>
        </w:rPr>
        <w:tab/>
      </w:r>
      <w:r w:rsidRPr="003413AD">
        <w:rPr>
          <w:sz w:val="24"/>
          <w:shd w:val="clear" w:color="auto" w:fill="FFFFFF"/>
          <w:lang w:val="nl-NL"/>
        </w:rPr>
        <w:t>Verordening (EU) 2022/1925 van het Europees Parlement en de Raad van 14 september 2022 over betwistbare en eerlijke markten in de digitale sector, en tot wijziging van Richtlijnen (EU) 2019/1937 en (EU) 2020/1828 (digitalemarktenverordening) (</w:t>
      </w:r>
      <w:r w:rsidRPr="00EE6209">
        <w:rPr>
          <w:rStyle w:val="Emphasis"/>
          <w:i w:val="0"/>
          <w:iCs w:val="0"/>
          <w:sz w:val="24"/>
          <w:shd w:val="clear" w:color="auto" w:fill="FFFFFF"/>
          <w:lang w:val="nl-NL"/>
        </w:rPr>
        <w:t>PB L 265 van 12.10.2022, blz. 1,</w:t>
      </w:r>
      <w:r w:rsidRPr="003413AD">
        <w:rPr>
          <w:sz w:val="24"/>
          <w:shd w:val="clear" w:color="auto" w:fill="FFFFFF"/>
          <w:lang w:val="nl-NL"/>
        </w:rPr>
        <w:t xml:space="preserve"> ELI: </w:t>
      </w:r>
      <w:hyperlink r:id="rId15" w:tooltip="Geeft toegang tot dit document via de ELI URI." w:history="1">
        <w:r w:rsidRPr="003413AD">
          <w:rPr>
            <w:color w:val="0000FF"/>
            <w:sz w:val="24"/>
            <w:u w:val="single"/>
            <w:shd w:val="clear" w:color="auto" w:fill="FFFFFF"/>
            <w:lang w:val="nl-NL"/>
          </w:rPr>
          <w:t>http://data.europa.eu/eli/reg/2022/1925/oj</w:t>
        </w:r>
      </w:hyperlink>
      <w:r w:rsidRPr="003413AD">
        <w:rPr>
          <w:sz w:val="24"/>
          <w:lang w:val="nl-NL"/>
        </w:rPr>
        <w:t>).</w:t>
      </w:r>
    </w:p>
  </w:footnote>
  <w:footnote w:id="15">
    <w:p w14:paraId="153E1135" w14:textId="4F336AB5" w:rsidR="00BA1000" w:rsidRPr="003413AD" w:rsidRDefault="00BA1000" w:rsidP="003413AD">
      <w:pPr>
        <w:pStyle w:val="FootnoteText"/>
        <w:ind w:left="567" w:hanging="567"/>
        <w:rPr>
          <w:sz w:val="24"/>
          <w:lang w:val="nl-NL"/>
        </w:rPr>
      </w:pPr>
      <w:r w:rsidRPr="003413AD">
        <w:rPr>
          <w:rStyle w:val="FootnoteReference"/>
          <w:sz w:val="24"/>
          <w:lang w:val="nl-NL"/>
        </w:rPr>
        <w:footnoteRef/>
      </w:r>
      <w:r w:rsidR="003413AD" w:rsidRPr="003413AD">
        <w:rPr>
          <w:sz w:val="24"/>
          <w:lang w:val="nl-NL"/>
        </w:rPr>
        <w:t xml:space="preserve"> </w:t>
      </w:r>
      <w:r w:rsidR="003413AD" w:rsidRPr="003413AD">
        <w:rPr>
          <w:sz w:val="24"/>
          <w:lang w:val="nl-NL"/>
        </w:rPr>
        <w:tab/>
      </w:r>
      <w:r w:rsidRPr="003413AD">
        <w:rPr>
          <w:sz w:val="24"/>
          <w:lang w:val="nl-NL"/>
        </w:rPr>
        <w:t xml:space="preserve">Verordening (EU) 2017/2394 van het Europees Parlement en de Raad van 12 december 2017 betreffende samenwerking tussen de nationale autoriteiten die verantwoordelijk zijn voor handhaving van de wetgeving inzake consumentenbescherming en tot intrekking van Verordening (EG) nr. 2006/2004 (PB L 345 van 27.12.2017, blz. 1, ELI: </w:t>
      </w:r>
      <w:hyperlink r:id="rId16" w:history="1">
        <w:r w:rsidRPr="003413AD">
          <w:rPr>
            <w:rStyle w:val="Hyperlink"/>
            <w:sz w:val="24"/>
            <w:lang w:val="nl-NL"/>
          </w:rPr>
          <w:t>http://data.europa.eu/eli/reg/2017/2394/oj</w:t>
        </w:r>
      </w:hyperlink>
      <w:r w:rsidRPr="003413A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3CDC2" w14:textId="77777777" w:rsidR="00064002" w:rsidRPr="003413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C0AA0" w14:textId="77777777" w:rsidR="00064002" w:rsidRPr="003413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D7BF" w14:textId="77777777" w:rsidR="00064002" w:rsidRPr="003413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2156148">
    <w:abstractNumId w:val="9"/>
  </w:num>
  <w:num w:numId="2" w16cid:durableId="2006785802">
    <w:abstractNumId w:val="9"/>
  </w:num>
  <w:num w:numId="3" w16cid:durableId="1337224692">
    <w:abstractNumId w:val="7"/>
  </w:num>
  <w:num w:numId="4" w16cid:durableId="501042343">
    <w:abstractNumId w:val="7"/>
  </w:num>
  <w:num w:numId="5" w16cid:durableId="1665694934">
    <w:abstractNumId w:val="6"/>
  </w:num>
  <w:num w:numId="6" w16cid:durableId="651564036">
    <w:abstractNumId w:val="6"/>
  </w:num>
  <w:num w:numId="7" w16cid:durableId="21981917">
    <w:abstractNumId w:val="5"/>
  </w:num>
  <w:num w:numId="8" w16cid:durableId="722563427">
    <w:abstractNumId w:val="5"/>
  </w:num>
  <w:num w:numId="9" w16cid:durableId="1580675170">
    <w:abstractNumId w:val="4"/>
  </w:num>
  <w:num w:numId="10" w16cid:durableId="1761174734">
    <w:abstractNumId w:val="4"/>
  </w:num>
  <w:num w:numId="11" w16cid:durableId="906301393">
    <w:abstractNumId w:val="8"/>
  </w:num>
  <w:num w:numId="12" w16cid:durableId="1114396747">
    <w:abstractNumId w:val="8"/>
  </w:num>
  <w:num w:numId="13" w16cid:durableId="1873029557">
    <w:abstractNumId w:val="3"/>
  </w:num>
  <w:num w:numId="14" w16cid:durableId="256407688">
    <w:abstractNumId w:val="3"/>
  </w:num>
  <w:num w:numId="15" w16cid:durableId="2108110021">
    <w:abstractNumId w:val="2"/>
  </w:num>
  <w:num w:numId="16" w16cid:durableId="954602842">
    <w:abstractNumId w:val="2"/>
  </w:num>
  <w:num w:numId="17" w16cid:durableId="203256974">
    <w:abstractNumId w:val="1"/>
  </w:num>
  <w:num w:numId="18" w16cid:durableId="581985958">
    <w:abstractNumId w:val="1"/>
  </w:num>
  <w:num w:numId="19" w16cid:durableId="287779745">
    <w:abstractNumId w:val="0"/>
  </w:num>
  <w:num w:numId="20" w16cid:durableId="1850487063">
    <w:abstractNumId w:val="0"/>
  </w:num>
  <w:num w:numId="21" w16cid:durableId="1402603302">
    <w:abstractNumId w:val="9"/>
  </w:num>
  <w:num w:numId="22" w16cid:durableId="660472104">
    <w:abstractNumId w:val="7"/>
  </w:num>
  <w:num w:numId="23" w16cid:durableId="1785032884">
    <w:abstractNumId w:val="6"/>
  </w:num>
  <w:num w:numId="24" w16cid:durableId="2062242683">
    <w:abstractNumId w:val="5"/>
  </w:num>
  <w:num w:numId="25" w16cid:durableId="2087068136">
    <w:abstractNumId w:val="4"/>
  </w:num>
  <w:num w:numId="26" w16cid:durableId="1447775870">
    <w:abstractNumId w:val="8"/>
  </w:num>
  <w:num w:numId="27" w16cid:durableId="785657381">
    <w:abstractNumId w:val="3"/>
  </w:num>
  <w:num w:numId="28" w16cid:durableId="1159540215">
    <w:abstractNumId w:val="2"/>
  </w:num>
  <w:num w:numId="29" w16cid:durableId="1402479549">
    <w:abstractNumId w:val="1"/>
  </w:num>
  <w:num w:numId="30" w16cid:durableId="279994192">
    <w:abstractNumId w:val="0"/>
  </w:num>
  <w:num w:numId="31" w16cid:durableId="937516947">
    <w:abstractNumId w:val="9"/>
  </w:num>
  <w:num w:numId="32" w16cid:durableId="363678381">
    <w:abstractNumId w:val="7"/>
  </w:num>
  <w:num w:numId="33" w16cid:durableId="1356930580">
    <w:abstractNumId w:val="6"/>
  </w:num>
  <w:num w:numId="34" w16cid:durableId="1202782827">
    <w:abstractNumId w:val="5"/>
  </w:num>
  <w:num w:numId="35" w16cid:durableId="760102030">
    <w:abstractNumId w:val="4"/>
  </w:num>
  <w:num w:numId="36" w16cid:durableId="1045443797">
    <w:abstractNumId w:val="8"/>
  </w:num>
  <w:num w:numId="37" w16cid:durableId="233778701">
    <w:abstractNumId w:val="3"/>
  </w:num>
  <w:num w:numId="38" w16cid:durableId="1011034133">
    <w:abstractNumId w:val="2"/>
  </w:num>
  <w:num w:numId="39" w16cid:durableId="1488282699">
    <w:abstractNumId w:val="1"/>
  </w:num>
  <w:num w:numId="40" w16cid:durableId="1697198019">
    <w:abstractNumId w:val="0"/>
  </w:num>
  <w:num w:numId="41" w16cid:durableId="1600598476">
    <w:abstractNumId w:val="10"/>
  </w:num>
  <w:num w:numId="42" w16cid:durableId="823473214">
    <w:abstractNumId w:val="10"/>
  </w:num>
  <w:num w:numId="43" w16cid:durableId="560948993">
    <w:abstractNumId w:val="10"/>
  </w:num>
  <w:num w:numId="44" w16cid:durableId="5427954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NL"/>
    <w:docVar w:name="dvnumam" w:val="0"/>
    <w:docVar w:name="dvpe" w:val="769.908"/>
    <w:docVar w:name="dvrapporteur" w:val="Rapporteur: "/>
    <w:docVar w:name="dvtitre" w:val="Resolutie van het Europees Parlement van 11 september 2025 over de uitvoering en vereenvoudiging van internemarktregels van de EU om de eengemaakte markt te versterken(2025/2009(INI))"/>
  </w:docVars>
  <w:rsids>
    <w:rsidRoot w:val="00145907"/>
    <w:rsid w:val="00002272"/>
    <w:rsid w:val="00064002"/>
    <w:rsid w:val="000677B9"/>
    <w:rsid w:val="000831BA"/>
    <w:rsid w:val="00091F61"/>
    <w:rsid w:val="00097FBF"/>
    <w:rsid w:val="000A42CC"/>
    <w:rsid w:val="000C3C72"/>
    <w:rsid w:val="000E7DD9"/>
    <w:rsid w:val="0010095E"/>
    <w:rsid w:val="00125B37"/>
    <w:rsid w:val="00130188"/>
    <w:rsid w:val="00145907"/>
    <w:rsid w:val="00187494"/>
    <w:rsid w:val="001F32AE"/>
    <w:rsid w:val="00230C32"/>
    <w:rsid w:val="002767FF"/>
    <w:rsid w:val="002B18FE"/>
    <w:rsid w:val="002B5493"/>
    <w:rsid w:val="003413AD"/>
    <w:rsid w:val="00343214"/>
    <w:rsid w:val="00361C00"/>
    <w:rsid w:val="00363624"/>
    <w:rsid w:val="00395FA1"/>
    <w:rsid w:val="003E15D4"/>
    <w:rsid w:val="00411CCE"/>
    <w:rsid w:val="0041666E"/>
    <w:rsid w:val="00421060"/>
    <w:rsid w:val="00471C19"/>
    <w:rsid w:val="004867E3"/>
    <w:rsid w:val="00494A28"/>
    <w:rsid w:val="004A25B2"/>
    <w:rsid w:val="004C0004"/>
    <w:rsid w:val="004C5D52"/>
    <w:rsid w:val="0050519A"/>
    <w:rsid w:val="005072A1"/>
    <w:rsid w:val="00514517"/>
    <w:rsid w:val="00545827"/>
    <w:rsid w:val="00560270"/>
    <w:rsid w:val="005C2568"/>
    <w:rsid w:val="005F1B17"/>
    <w:rsid w:val="006037C0"/>
    <w:rsid w:val="006631B6"/>
    <w:rsid w:val="00680577"/>
    <w:rsid w:val="006A57BE"/>
    <w:rsid w:val="006F74FA"/>
    <w:rsid w:val="00731ADD"/>
    <w:rsid w:val="00734777"/>
    <w:rsid w:val="00747932"/>
    <w:rsid w:val="00747E3F"/>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4F3"/>
    <w:rsid w:val="00BA100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BCB"/>
    <w:rsid w:val="00E820A4"/>
    <w:rsid w:val="00EB006A"/>
    <w:rsid w:val="00EB4772"/>
    <w:rsid w:val="00ED169E"/>
    <w:rsid w:val="00ED4235"/>
    <w:rsid w:val="00EE620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2CE92"/>
  <w15:chartTrackingRefBased/>
  <w15:docId w15:val="{CC322D96-99CF-4984-A26A-9F3FD1A0C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1000"/>
    <w:pPr>
      <w:spacing w:before="480" w:after="240"/>
    </w:pPr>
    <w:rPr>
      <w:snapToGrid w:val="0"/>
      <w:lang w:eastAsia="en-US"/>
    </w:rPr>
  </w:style>
  <w:style w:type="paragraph" w:customStyle="1" w:styleId="NormalHanging12a">
    <w:name w:val="NormalHanging12a"/>
    <w:basedOn w:val="Normal"/>
    <w:rsid w:val="00BA1000"/>
    <w:pPr>
      <w:widowControl/>
      <w:spacing w:after="240"/>
      <w:ind w:left="567" w:hanging="567"/>
    </w:pPr>
    <w:rPr>
      <w:snapToGrid w:val="0"/>
      <w:lang w:eastAsia="en-US"/>
    </w:rPr>
  </w:style>
  <w:style w:type="paragraph" w:customStyle="1" w:styleId="NormalCenter12a">
    <w:name w:val="NormalCenter12a"/>
    <w:basedOn w:val="Normal"/>
    <w:rsid w:val="00BA1000"/>
    <w:pPr>
      <w:spacing w:after="240"/>
      <w:jc w:val="center"/>
    </w:pPr>
  </w:style>
  <w:style w:type="character" w:customStyle="1" w:styleId="Bold">
    <w:name w:val="Bold"/>
    <w:uiPriority w:val="1"/>
    <w:rsid w:val="00BA1000"/>
    <w:rPr>
      <w:b/>
    </w:rPr>
  </w:style>
  <w:style w:type="character" w:customStyle="1" w:styleId="BoldItalic">
    <w:name w:val="BoldItalic"/>
    <w:uiPriority w:val="1"/>
    <w:rsid w:val="00BA1000"/>
    <w:rPr>
      <w:b/>
      <w:i/>
      <w:u w:val="none"/>
    </w:rPr>
  </w:style>
  <w:style w:type="character" w:customStyle="1" w:styleId="Italic">
    <w:name w:val="Italic"/>
    <w:uiPriority w:val="1"/>
    <w:rsid w:val="00BA1000"/>
    <w:rPr>
      <w:i/>
    </w:rPr>
  </w:style>
  <w:style w:type="paragraph" w:customStyle="1" w:styleId="Normal12a24b">
    <w:name w:val="Normal12a24b"/>
    <w:basedOn w:val="Normal"/>
    <w:rsid w:val="00BA1000"/>
    <w:pPr>
      <w:spacing w:before="360" w:after="240"/>
    </w:pPr>
    <w:rPr>
      <w:snapToGrid w:val="0"/>
      <w:lang w:eastAsia="en-US"/>
    </w:rPr>
  </w:style>
  <w:style w:type="character" w:styleId="Hyperlink">
    <w:name w:val="Hyperlink"/>
    <w:basedOn w:val="DefaultParagraphFont"/>
    <w:uiPriority w:val="99"/>
    <w:rsid w:val="00BA1000"/>
    <w:rPr>
      <w:color w:val="0000FF"/>
      <w:u w:val="single"/>
    </w:rPr>
  </w:style>
  <w:style w:type="character" w:styleId="Emphasis">
    <w:name w:val="Emphasis"/>
    <w:basedOn w:val="DefaultParagraphFont"/>
    <w:uiPriority w:val="20"/>
    <w:qFormat/>
    <w:rsid w:val="00BA1000"/>
    <w:rPr>
      <w:i/>
      <w:iCs/>
    </w:rPr>
  </w:style>
  <w:style w:type="paragraph" w:styleId="Revision">
    <w:name w:val="Revision"/>
    <w:hidden/>
    <w:uiPriority w:val="99"/>
    <w:semiHidden/>
    <w:rsid w:val="006A57B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6679</Words>
  <Characters>41873</Characters>
  <Application>Microsoft Office Word</Application>
  <DocSecurity>0</DocSecurity>
  <Lines>1674</Lines>
  <Paragraphs>462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SOLTYSOVA Zuzana</cp:lastModifiedBy>
  <cp:revision>4</cp:revision>
  <cp:lastPrinted>2004-11-19T15:42:00Z</cp:lastPrinted>
  <dcterms:created xsi:type="dcterms:W3CDTF">2025-10-16T17:38:00Z</dcterms:created>
  <dcterms:modified xsi:type="dcterms:W3CDTF">2025-11-11T14:23:00Z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A10-0151/2025</vt:lpwstr>
  </property>
  <property fmtid="{D5CDD505-2E9C-101B-9397-08002B2CF9AE}" pid="4" name="&lt;Type&gt;">
    <vt:lpwstr>RR</vt:lpwstr>
  </property>
</Properties>
</file>