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8797E" w14:paraId="1222389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11605D9" w14:textId="77777777" w:rsidR="00751A4A" w:rsidRPr="0018797E" w:rsidRDefault="00AE2834" w:rsidP="0010095E">
            <w:pPr>
              <w:pStyle w:val="EPName"/>
            </w:pPr>
            <w:r w:rsidRPr="0018797E">
              <w:t>Parlament Europejski</w:t>
            </w:r>
          </w:p>
          <w:p w14:paraId="74EB3EF4" w14:textId="77777777" w:rsidR="00751A4A" w:rsidRPr="0018797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8797E">
              <w:t>2024</w:t>
            </w:r>
            <w:r w:rsidR="00817416" w:rsidRPr="0018797E">
              <w:t>-202</w:t>
            </w:r>
            <w:r w:rsidRPr="0018797E">
              <w:t>9</w:t>
            </w:r>
          </w:p>
        </w:tc>
        <w:tc>
          <w:tcPr>
            <w:tcW w:w="2268" w:type="dxa"/>
            <w:shd w:val="clear" w:color="auto" w:fill="auto"/>
          </w:tcPr>
          <w:p w14:paraId="7FDB10D8" w14:textId="77777777" w:rsidR="00751A4A" w:rsidRPr="0018797E" w:rsidRDefault="00187494" w:rsidP="0010095E">
            <w:pPr>
              <w:pStyle w:val="EPLogo"/>
            </w:pPr>
            <w:r w:rsidRPr="0018797E">
              <w:rPr>
                <w:noProof/>
                <w:lang w:eastAsia="ja-JP"/>
              </w:rPr>
              <w:drawing>
                <wp:inline distT="0" distB="0" distL="0" distR="0" wp14:anchorId="61B990E9" wp14:editId="26F930B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E0BD29" w14:textId="77777777" w:rsidR="00D058B8" w:rsidRPr="0018797E" w:rsidRDefault="00D058B8" w:rsidP="004C5D52">
      <w:pPr>
        <w:pStyle w:val="LineTop"/>
      </w:pPr>
    </w:p>
    <w:p w14:paraId="59C5A75C" w14:textId="77777777" w:rsidR="00680577" w:rsidRPr="0018797E" w:rsidRDefault="00AE2834" w:rsidP="00680577">
      <w:pPr>
        <w:pStyle w:val="EPBodyTA1"/>
      </w:pPr>
      <w:r w:rsidRPr="0018797E">
        <w:t>TEKSTY PRZYJĘTE</w:t>
      </w:r>
    </w:p>
    <w:p w14:paraId="0EB2499E" w14:textId="77777777" w:rsidR="00D058B8" w:rsidRPr="0018797E" w:rsidRDefault="00D058B8" w:rsidP="00D058B8">
      <w:pPr>
        <w:pStyle w:val="LineBottom"/>
      </w:pPr>
    </w:p>
    <w:p w14:paraId="68BEFA07" w14:textId="68092750" w:rsidR="00AE2834" w:rsidRPr="0018797E" w:rsidRDefault="00AE2834" w:rsidP="00AE2834">
      <w:pPr>
        <w:pStyle w:val="ATHeading1"/>
      </w:pPr>
      <w:bookmarkStart w:id="0" w:name="TANumber"/>
      <w:r w:rsidRPr="0018797E">
        <w:t>P10_TA(2025)0</w:t>
      </w:r>
      <w:bookmarkEnd w:id="0"/>
      <w:r w:rsidR="00C92F28">
        <w:t>197</w:t>
      </w:r>
    </w:p>
    <w:p w14:paraId="018AD143" w14:textId="72EB9938" w:rsidR="00AE2834" w:rsidRPr="00430113" w:rsidRDefault="00430113" w:rsidP="00AE2834">
      <w:pPr>
        <w:pStyle w:val="ATHeading2"/>
      </w:pPr>
      <w:r w:rsidRPr="00430113">
        <w:t>Wdrożenie i usprawnienie zasad rynku wewnętrznego UE w celu umocnienia jednolitego rynku</w:t>
      </w:r>
    </w:p>
    <w:p w14:paraId="458AAE56" w14:textId="77777777" w:rsidR="00AE2834" w:rsidRPr="0018797E" w:rsidRDefault="00AE2834" w:rsidP="00AE2834">
      <w:pPr>
        <w:rPr>
          <w:i/>
          <w:vanish/>
        </w:rPr>
      </w:pPr>
      <w:r w:rsidRPr="0018797E">
        <w:rPr>
          <w:i/>
        </w:rPr>
        <w:fldChar w:fldCharType="begin"/>
      </w:r>
      <w:r w:rsidRPr="0018797E">
        <w:rPr>
          <w:i/>
        </w:rPr>
        <w:instrText xml:space="preserve"> TC"(</w:instrText>
      </w:r>
      <w:bookmarkStart w:id="1" w:name="DocNumber"/>
      <w:r w:rsidRPr="0018797E">
        <w:rPr>
          <w:i/>
        </w:rPr>
        <w:instrText>A10-0151/2025</w:instrText>
      </w:r>
      <w:bookmarkEnd w:id="1"/>
      <w:r w:rsidRPr="0018797E">
        <w:rPr>
          <w:i/>
        </w:rPr>
        <w:instrText xml:space="preserve"> - Sprawozdawca: </w:instrText>
      </w:r>
      <w:proofErr w:type="spellStart"/>
      <w:r w:rsidRPr="0018797E">
        <w:rPr>
          <w:i/>
        </w:rPr>
        <w:instrText>Anna-Maja</w:instrText>
      </w:r>
      <w:proofErr w:type="spellEnd"/>
      <w:r w:rsidRPr="0018797E">
        <w:rPr>
          <w:i/>
        </w:rPr>
        <w:instrText xml:space="preserve"> </w:instrText>
      </w:r>
      <w:proofErr w:type="spellStart"/>
      <w:r w:rsidRPr="0018797E">
        <w:rPr>
          <w:i/>
        </w:rPr>
        <w:instrText>Henriksson</w:instrText>
      </w:r>
      <w:proofErr w:type="spellEnd"/>
      <w:r w:rsidRPr="0018797E">
        <w:rPr>
          <w:i/>
        </w:rPr>
        <w:instrText xml:space="preserve">)"\l3 \n&gt; \* MERGEFORMAT </w:instrText>
      </w:r>
      <w:r w:rsidRPr="0018797E">
        <w:rPr>
          <w:i/>
        </w:rPr>
        <w:fldChar w:fldCharType="end"/>
      </w:r>
    </w:p>
    <w:p w14:paraId="744EFF85" w14:textId="77777777" w:rsidR="00AE2834" w:rsidRPr="0018797E" w:rsidRDefault="00AE2834" w:rsidP="00AE2834">
      <w:pPr>
        <w:rPr>
          <w:vanish/>
        </w:rPr>
      </w:pPr>
      <w:bookmarkStart w:id="2" w:name="Commission"/>
      <w:r w:rsidRPr="0018797E">
        <w:rPr>
          <w:vanish/>
        </w:rPr>
        <w:t>Komisja Rynku Wewnętrznego i Ochrony Konsumentów</w:t>
      </w:r>
      <w:bookmarkEnd w:id="2"/>
    </w:p>
    <w:p w14:paraId="15AD744D" w14:textId="77777777" w:rsidR="00AE2834" w:rsidRPr="0018797E" w:rsidRDefault="00AE2834" w:rsidP="00AE2834">
      <w:pPr>
        <w:rPr>
          <w:vanish/>
        </w:rPr>
      </w:pPr>
      <w:bookmarkStart w:id="3" w:name="PE"/>
      <w:r w:rsidRPr="0018797E">
        <w:rPr>
          <w:vanish/>
        </w:rPr>
        <w:t>PE769.908</w:t>
      </w:r>
      <w:bookmarkEnd w:id="3"/>
    </w:p>
    <w:p w14:paraId="3A535F80" w14:textId="4C7BF4F5" w:rsidR="00AE2834" w:rsidRPr="0018797E" w:rsidRDefault="00AE2834" w:rsidP="00AE2834">
      <w:pPr>
        <w:pStyle w:val="ATHeading3"/>
      </w:pPr>
      <w:bookmarkStart w:id="4" w:name="Sujet"/>
      <w:r w:rsidRPr="0018797E">
        <w:t xml:space="preserve">Rezolucja Parlamentu Europejskiego z dnia </w:t>
      </w:r>
      <w:r w:rsidR="00430113">
        <w:t>11 września</w:t>
      </w:r>
      <w:r w:rsidRPr="0018797E">
        <w:t xml:space="preserve"> 2025 r. w sprawie wdrożenia i usprawnienia zasad rynku wewnętrznego UE w celu umocnienia jednolitego rynku</w:t>
      </w:r>
      <w:bookmarkEnd w:id="4"/>
      <w:r w:rsidRPr="0018797E">
        <w:t xml:space="preserve"> </w:t>
      </w:r>
      <w:bookmarkStart w:id="5" w:name="References"/>
      <w:r w:rsidRPr="0018797E">
        <w:t>(2025/2009(INI))</w:t>
      </w:r>
      <w:bookmarkEnd w:id="5"/>
    </w:p>
    <w:p w14:paraId="7DAD01D3" w14:textId="77777777" w:rsidR="000E2005" w:rsidRPr="0018797E" w:rsidRDefault="000E2005" w:rsidP="000E2005">
      <w:pPr>
        <w:pStyle w:val="EPComma"/>
      </w:pPr>
      <w:r w:rsidRPr="0018797E">
        <w:rPr>
          <w:rStyle w:val="Italic"/>
        </w:rPr>
        <w:t>Parlament Europejski</w:t>
      </w:r>
      <w:r w:rsidRPr="0018797E">
        <w:t>,</w:t>
      </w:r>
    </w:p>
    <w:p w14:paraId="712C0033" w14:textId="3C8CD1C2" w:rsidR="000E2005" w:rsidRPr="0018797E" w:rsidRDefault="000E2005" w:rsidP="000E2005">
      <w:pPr>
        <w:pStyle w:val="NormalHanging12a"/>
      </w:pPr>
      <w:r w:rsidRPr="0018797E">
        <w:t>–</w:t>
      </w:r>
      <w:r w:rsidRPr="0018797E">
        <w:tab/>
        <w:t>uwzględniając komunikat Komisji z 11 lutego 2025 r. pt. „Program prac Komisji na 2025 r. Razem ku odważniejszej, prostszej, szybszej Unii” (</w:t>
      </w:r>
      <w:proofErr w:type="gramStart"/>
      <w:r w:rsidRPr="00430113">
        <w:t>COM(</w:t>
      </w:r>
      <w:proofErr w:type="gramEnd"/>
      <w:r w:rsidRPr="00430113">
        <w:t>2025)0045</w:t>
      </w:r>
      <w:r w:rsidRPr="0018797E">
        <w:t>),</w:t>
      </w:r>
    </w:p>
    <w:p w14:paraId="40108ACE" w14:textId="77777777" w:rsidR="000E2005" w:rsidRPr="0018797E" w:rsidRDefault="000E2005" w:rsidP="000E2005">
      <w:pPr>
        <w:pStyle w:val="NormalHanging12a"/>
      </w:pPr>
      <w:r w:rsidRPr="0018797E">
        <w:t>–</w:t>
      </w:r>
      <w:r w:rsidRPr="0018797E">
        <w:tab/>
        <w:t>uwzględniając wytyczne polityczne na kadencję Komisji 2024–2029, przedstawione 18 lipca 2024 r. przez kandydatkę na przewodniczącą Komisji,</w:t>
      </w:r>
    </w:p>
    <w:p w14:paraId="55A9D86D" w14:textId="2241752D" w:rsidR="000E2005" w:rsidRPr="0018797E" w:rsidRDefault="000E2005" w:rsidP="000E2005">
      <w:pPr>
        <w:pStyle w:val="NormalHanging12a"/>
      </w:pPr>
      <w:r w:rsidRPr="0018797E">
        <w:t>–</w:t>
      </w:r>
      <w:r w:rsidRPr="0018797E">
        <w:tab/>
        <w:t>uwzględniając komunikat Komisji z 11 lutego 2025 r. pt. „Prostsza i szybsza Europa: komunikat dotyczący wdrażania i upraszczania” (</w:t>
      </w:r>
      <w:proofErr w:type="gramStart"/>
      <w:r w:rsidRPr="00430113">
        <w:t>COM(</w:t>
      </w:r>
      <w:proofErr w:type="gramEnd"/>
      <w:r w:rsidRPr="00430113">
        <w:t>2025)0047</w:t>
      </w:r>
      <w:r w:rsidRPr="0018797E">
        <w:t>),</w:t>
      </w:r>
    </w:p>
    <w:p w14:paraId="6FE0B466" w14:textId="5A690790" w:rsidR="000E2005" w:rsidRPr="0018797E" w:rsidRDefault="000E2005" w:rsidP="000E2005">
      <w:pPr>
        <w:pStyle w:val="NormalHanging12a"/>
      </w:pPr>
      <w:r w:rsidRPr="0018797E">
        <w:t>–</w:t>
      </w:r>
      <w:r w:rsidRPr="0018797E">
        <w:tab/>
        <w:t>uwzględniając komunikat Komisji z 29 stycznia 2025 r. pt. „Kompas konkurencyjności dla UE” (</w:t>
      </w:r>
      <w:proofErr w:type="gramStart"/>
      <w:r w:rsidRPr="00430113">
        <w:t>COM(</w:t>
      </w:r>
      <w:proofErr w:type="gramEnd"/>
      <w:r w:rsidRPr="00430113">
        <w:t>2025)0030</w:t>
      </w:r>
      <w:r w:rsidRPr="0018797E">
        <w:t>),</w:t>
      </w:r>
    </w:p>
    <w:p w14:paraId="1A758EFD" w14:textId="53E02F73" w:rsidR="000E2005" w:rsidRPr="0018797E" w:rsidRDefault="000E2005" w:rsidP="000E2005">
      <w:pPr>
        <w:pStyle w:val="NormalHanging12a"/>
      </w:pPr>
      <w:r w:rsidRPr="0018797E">
        <w:t>–</w:t>
      </w:r>
      <w:r w:rsidRPr="0018797E">
        <w:tab/>
        <w:t>uwzględniając komunikat Komisji z 29 stycznia 2025 r. pt. „Roczne sprawozdanie dotyczące jednolitego rynku i konkurencyjności za 2025 r.” (</w:t>
      </w:r>
      <w:proofErr w:type="gramStart"/>
      <w:r w:rsidRPr="00430113">
        <w:t>COM(</w:t>
      </w:r>
      <w:proofErr w:type="gramEnd"/>
      <w:r w:rsidRPr="00430113">
        <w:t>2025)0026</w:t>
      </w:r>
      <w:r w:rsidRPr="0018797E">
        <w:t>),</w:t>
      </w:r>
    </w:p>
    <w:p w14:paraId="2AFB42F9" w14:textId="77777777" w:rsidR="000E2005" w:rsidRPr="0018797E" w:rsidRDefault="000E2005" w:rsidP="000E2005">
      <w:pPr>
        <w:pStyle w:val="NormalHanging12a"/>
      </w:pPr>
      <w:r w:rsidRPr="0018797E">
        <w:t>–</w:t>
      </w:r>
      <w:r w:rsidRPr="0018797E">
        <w:tab/>
        <w:t xml:space="preserve">uwzględniając sprawozdanie Maria </w:t>
      </w:r>
      <w:proofErr w:type="spellStart"/>
      <w:r w:rsidRPr="0018797E">
        <w:t>Draghiego</w:t>
      </w:r>
      <w:proofErr w:type="spellEnd"/>
      <w:r w:rsidRPr="0018797E">
        <w:t xml:space="preserve"> z 9 września 2024 r. pt. „Przyszłość europejskiej konkurencyjności”,</w:t>
      </w:r>
    </w:p>
    <w:p w14:paraId="044513BE" w14:textId="77777777" w:rsidR="000E2005" w:rsidRPr="0018797E" w:rsidRDefault="000E2005" w:rsidP="000E2005">
      <w:pPr>
        <w:pStyle w:val="NormalHanging12a"/>
      </w:pPr>
      <w:r w:rsidRPr="0018797E">
        <w:t>–</w:t>
      </w:r>
      <w:r w:rsidRPr="0018797E">
        <w:tab/>
        <w:t xml:space="preserve">uwzględniając sprawozdanie Enrica </w:t>
      </w:r>
      <w:proofErr w:type="spellStart"/>
      <w:r w:rsidRPr="0018797E">
        <w:t>Letty</w:t>
      </w:r>
      <w:proofErr w:type="spellEnd"/>
      <w:r w:rsidRPr="0018797E">
        <w:t xml:space="preserve"> z 10 kwietnia 2024 r. pt. „Much </w:t>
      </w:r>
      <w:proofErr w:type="spellStart"/>
      <w:r w:rsidRPr="0018797E">
        <w:t>more</w:t>
      </w:r>
      <w:proofErr w:type="spellEnd"/>
      <w:r w:rsidRPr="0018797E">
        <w:t xml:space="preserve"> </w:t>
      </w:r>
      <w:proofErr w:type="spellStart"/>
      <w:r w:rsidRPr="0018797E">
        <w:t>than</w:t>
      </w:r>
      <w:proofErr w:type="spellEnd"/>
      <w:r w:rsidRPr="0018797E">
        <w:t xml:space="preserve"> a market” [Znacznie więcej niż rynek],</w:t>
      </w:r>
    </w:p>
    <w:p w14:paraId="691305DC" w14:textId="77777777" w:rsidR="000E2005" w:rsidRPr="0018797E" w:rsidRDefault="000E2005" w:rsidP="000E2005">
      <w:pPr>
        <w:pStyle w:val="NormalHanging12a"/>
      </w:pPr>
      <w:r w:rsidRPr="0018797E">
        <w:t>–</w:t>
      </w:r>
      <w:r w:rsidRPr="0018797E">
        <w:tab/>
        <w:t xml:space="preserve">uwzględniając sprawozdanie </w:t>
      </w:r>
      <w:proofErr w:type="spellStart"/>
      <w:r w:rsidRPr="0018797E">
        <w:t>Sauliego</w:t>
      </w:r>
      <w:proofErr w:type="spellEnd"/>
      <w:r w:rsidRPr="0018797E">
        <w:rPr>
          <w:rStyle w:val="Bold"/>
        </w:rPr>
        <w:t xml:space="preserve"> </w:t>
      </w:r>
      <w:proofErr w:type="spellStart"/>
      <w:r w:rsidRPr="0018797E">
        <w:t>Niinistö</w:t>
      </w:r>
      <w:proofErr w:type="spellEnd"/>
      <w:r w:rsidRPr="0018797E">
        <w:t xml:space="preserve"> z 30 października 2024 r. pt. „</w:t>
      </w:r>
      <w:proofErr w:type="spellStart"/>
      <w:r w:rsidRPr="0018797E">
        <w:t>Safer</w:t>
      </w:r>
      <w:proofErr w:type="spellEnd"/>
      <w:r w:rsidRPr="0018797E">
        <w:t xml:space="preserve"> </w:t>
      </w:r>
      <w:proofErr w:type="spellStart"/>
      <w:r w:rsidRPr="0018797E">
        <w:t>Together</w:t>
      </w:r>
      <w:proofErr w:type="spellEnd"/>
      <w:r w:rsidRPr="0018797E">
        <w:t xml:space="preserve"> – </w:t>
      </w:r>
      <w:proofErr w:type="spellStart"/>
      <w:r w:rsidRPr="0018797E">
        <w:t>Strengthening</w:t>
      </w:r>
      <w:proofErr w:type="spellEnd"/>
      <w:r w:rsidRPr="0018797E">
        <w:t xml:space="preserve"> </w:t>
      </w:r>
      <w:proofErr w:type="spellStart"/>
      <w:r w:rsidRPr="0018797E">
        <w:t>Europe’s</w:t>
      </w:r>
      <w:proofErr w:type="spellEnd"/>
      <w:r w:rsidRPr="0018797E">
        <w:t xml:space="preserve"> </w:t>
      </w:r>
      <w:proofErr w:type="spellStart"/>
      <w:r w:rsidRPr="0018797E">
        <w:t>Civilian</w:t>
      </w:r>
      <w:proofErr w:type="spellEnd"/>
      <w:r w:rsidRPr="0018797E">
        <w:t xml:space="preserve"> and </w:t>
      </w:r>
      <w:proofErr w:type="spellStart"/>
      <w:r w:rsidRPr="0018797E">
        <w:t>Military</w:t>
      </w:r>
      <w:proofErr w:type="spellEnd"/>
      <w:r w:rsidRPr="0018797E">
        <w:t xml:space="preserve"> </w:t>
      </w:r>
      <w:proofErr w:type="spellStart"/>
      <w:r w:rsidRPr="0018797E">
        <w:t>Preparedness</w:t>
      </w:r>
      <w:proofErr w:type="spellEnd"/>
      <w:r w:rsidRPr="0018797E">
        <w:t xml:space="preserve"> and Readiness” [Razem bezpieczniej – wzmocnienie gotowości cywilnej i wojskowej oraz przygotowania w Europie],</w:t>
      </w:r>
    </w:p>
    <w:p w14:paraId="19D4BEB6" w14:textId="77777777" w:rsidR="000E2005" w:rsidRPr="0018797E" w:rsidRDefault="000E2005" w:rsidP="000E2005">
      <w:pPr>
        <w:pStyle w:val="NormalHanging12a"/>
      </w:pPr>
      <w:r w:rsidRPr="0018797E">
        <w:lastRenderedPageBreak/>
        <w:t>–</w:t>
      </w:r>
      <w:r w:rsidRPr="0018797E">
        <w:tab/>
        <w:t>uwzględniając rezolucję Parlamentu Europejskiego z dnia 18 stycznia 2023 r. w sprawie trzydziestolecia jednolitego rynku – radość z osiągnięć i spojrzenie w przyszłość</w:t>
      </w:r>
      <w:r w:rsidRPr="0018797E">
        <w:rPr>
          <w:rStyle w:val="FootnoteReference"/>
        </w:rPr>
        <w:footnoteReference w:id="1"/>
      </w:r>
      <w:r w:rsidRPr="0018797E">
        <w:t>,</w:t>
      </w:r>
    </w:p>
    <w:p w14:paraId="11A51447" w14:textId="77777777" w:rsidR="000E2005" w:rsidRPr="0018797E" w:rsidRDefault="000E2005" w:rsidP="000E2005">
      <w:pPr>
        <w:pStyle w:val="NormalHanging12a"/>
      </w:pPr>
      <w:r w:rsidRPr="0018797E">
        <w:t>–</w:t>
      </w:r>
      <w:r w:rsidRPr="0018797E">
        <w:tab/>
        <w:t>uwzględniając art. 55 Regulaminu,</w:t>
      </w:r>
    </w:p>
    <w:p w14:paraId="05079833" w14:textId="77777777" w:rsidR="000E2005" w:rsidRPr="0018797E" w:rsidRDefault="000E2005" w:rsidP="000E2005">
      <w:pPr>
        <w:pStyle w:val="NormalHanging12a"/>
      </w:pPr>
      <w:r w:rsidRPr="0018797E">
        <w:t>–</w:t>
      </w:r>
      <w:r w:rsidRPr="0018797E">
        <w:tab/>
        <w:t>uwzględniając sprawozdanie Komisji Rynku Wewnętrznego i Ochrony Konsumentów (A10-0151/2025),</w:t>
      </w:r>
    </w:p>
    <w:p w14:paraId="0F669D0B" w14:textId="77777777" w:rsidR="000E2005" w:rsidRPr="0018797E" w:rsidRDefault="000E2005" w:rsidP="000E2005">
      <w:pPr>
        <w:pStyle w:val="NormalHanging12a"/>
      </w:pPr>
      <w:r w:rsidRPr="0018797E">
        <w:t>A.</w:t>
      </w:r>
      <w:r w:rsidRPr="0018797E">
        <w:tab/>
        <w:t>mając na uwadze, że UE jest jednym z największych bloków gospodarczych na świecie liczącym około 450 milionów ludzi; mając na uwadze, że konkurencyjne, dostosowane do potrzeb i uproszczone otoczenie regulacyjne ma zasadnicze znaczenie dla wzmocnienia globalnej pozycji UE, wspierania długoterminowego wzrostu, ochrony i zaufania konsumentów, innowacji i zakończenia dwojakiej transformacji;</w:t>
      </w:r>
    </w:p>
    <w:p w14:paraId="6EA37188" w14:textId="77777777" w:rsidR="000E2005" w:rsidRPr="0018797E" w:rsidRDefault="000E2005" w:rsidP="000E2005">
      <w:pPr>
        <w:pStyle w:val="NormalHanging12a"/>
      </w:pPr>
      <w:r w:rsidRPr="0018797E">
        <w:t>B.</w:t>
      </w:r>
      <w:r w:rsidRPr="0018797E">
        <w:tab/>
        <w:t>mając na uwadze, że Komisja wyznaczyła cele dotyczące zmniejszenia  do 2029 r. kosztów administracyjnych o 25 % dla wszystkich przedsiębiorstw i o 35 % dla małych i średnich przedsiębiorstw (MŚP); mając na uwadze, że w komunikacie Komisji zatytułowanym „Prostsza i szybsza Europa” podkreśla się potrzebę zapewnienia szybkiej i odczuwalnej poprawy przez inteligentniejsze regulacje, skuteczniejsze wdrażanie i większe zaangażowanie zainteresowanych stron; mając na uwadze, że wysiłki te powinny być pomyślane tak, aby przynosić korzyści przedsiębiorstwom i całemu społeczeństwu poprzez zwiększenie dostępu do rynku, zmniejszenie zbędnych obciążeń i zapewnienie równych warunków działania, przy jednoczesnym utrzymaniu podstawowych celów polityki UE oraz wysokich standardów społecznych i środowiskowych;</w:t>
      </w:r>
    </w:p>
    <w:p w14:paraId="0F4753A3" w14:textId="77777777" w:rsidR="000E2005" w:rsidRPr="0018797E" w:rsidRDefault="000E2005" w:rsidP="000E2005">
      <w:pPr>
        <w:pStyle w:val="NormalHanging12a"/>
        <w:rPr>
          <w:bCs/>
          <w:iCs/>
        </w:rPr>
      </w:pPr>
      <w:r w:rsidRPr="0018797E">
        <w:t>C.</w:t>
      </w:r>
      <w:r w:rsidRPr="0018797E">
        <w:tab/>
        <w:t xml:space="preserve">mając na uwadze, że w sprawozdaniach </w:t>
      </w:r>
      <w:proofErr w:type="spellStart"/>
      <w:r w:rsidRPr="0018797E">
        <w:t>Draghiego</w:t>
      </w:r>
      <w:proofErr w:type="spellEnd"/>
      <w:r w:rsidRPr="0018797E">
        <w:t xml:space="preserve"> i </w:t>
      </w:r>
      <w:proofErr w:type="spellStart"/>
      <w:r w:rsidRPr="0018797E">
        <w:t>Letty</w:t>
      </w:r>
      <w:proofErr w:type="spellEnd"/>
      <w:r w:rsidRPr="0018797E">
        <w:t xml:space="preserve"> fragmentację rynku wewnętrznego, zawiłości regulacyjne i niespójne wdrażanie unijnych przepisów uznano za główne przeszkody dla konkurencyjności jednolitego rynku UE; mając na uwadze, że zgodnie ze sprawozdaniem </w:t>
      </w:r>
      <w:proofErr w:type="spellStart"/>
      <w:r w:rsidRPr="0018797E">
        <w:t>Draghiego</w:t>
      </w:r>
      <w:proofErr w:type="spellEnd"/>
      <w:r w:rsidRPr="0018797E">
        <w:t xml:space="preserve"> wspieranie bardziej stabilnego i przewidywalnego otoczenia regulacyjnego, ze szczególnym uwzględnieniem niezbędnych i proporcjonalnych działań ustawodawczych, mogłoby przyczynić się do wzmocnienia konkurencyjności UE;</w:t>
      </w:r>
    </w:p>
    <w:p w14:paraId="3E6056FA" w14:textId="77777777" w:rsidR="000E2005" w:rsidRPr="0018797E" w:rsidRDefault="000E2005" w:rsidP="000E2005">
      <w:pPr>
        <w:pStyle w:val="NormalHanging12a"/>
      </w:pPr>
      <w:r w:rsidRPr="0018797E">
        <w:t>D.</w:t>
      </w:r>
      <w:r w:rsidRPr="0018797E">
        <w:tab/>
        <w:t xml:space="preserve">mając na uwadze, że uwagi zawarte w sprawozdaniu </w:t>
      </w:r>
      <w:proofErr w:type="spellStart"/>
      <w:r w:rsidRPr="0018797E">
        <w:t>Sauliego</w:t>
      </w:r>
      <w:proofErr w:type="spellEnd"/>
      <w:r w:rsidRPr="0018797E">
        <w:t xml:space="preserve"> </w:t>
      </w:r>
      <w:proofErr w:type="spellStart"/>
      <w:r w:rsidRPr="0018797E">
        <w:t>Niinistö</w:t>
      </w:r>
      <w:proofErr w:type="spellEnd"/>
      <w:r w:rsidRPr="0018797E">
        <w:t xml:space="preserve"> dotyczące uproszczenia i umocnienia unijnego przemysłu obronnego naświetlają strategiczną potrzebę usprawnienia przepisów w kluczowych sektorach, tak aby zmniejszyć rozdrobnienie, zwiększyć tempo udzielania zamówień publicznych i usprawnić dostawy, by wspierać przemysł obronny i umożliwić państwom członkowskim realizację podstawowych celów dotyczących wydatków na obronność oraz wspierać bezpieczeństwo i konkurencyjność UE;</w:t>
      </w:r>
    </w:p>
    <w:p w14:paraId="10F58898" w14:textId="77777777" w:rsidR="000E2005" w:rsidRPr="0018797E" w:rsidRDefault="000E2005" w:rsidP="000E2005">
      <w:pPr>
        <w:pStyle w:val="NormalHanging12a"/>
      </w:pPr>
      <w:r w:rsidRPr="0018797E">
        <w:t>E.</w:t>
      </w:r>
      <w:r w:rsidRPr="0018797E">
        <w:tab/>
        <w:t xml:space="preserve">mając na uwadze, że w rocznym sprawozdaniu dotyczącym jednolitego rynku i konkurencyjności za 2025 r. oraz w tabeli wyników jednolitego rynku i konkurencyjności zawarto najważniejsze informacje na temat obecnego stanu jednolitego rynku, nastrojów przedsiębiorców i konkurencyjności sektorowej; mając na uwadze, że sektor usług pozostaje mniej zintegrowany niż sektor dóbr; mając na uwadze, że brak harmonizacji nadal utrudnia świadczenie usług transgranicznych, zwłaszcza przez MŚP; mając na uwadze, że najnowsze statystyki wskazują, że czas </w:t>
      </w:r>
      <w:r w:rsidRPr="0018797E">
        <w:lastRenderedPageBreak/>
        <w:t>wydawania pozwoleń na otwarcie i prowadzenie działalności gospodarczej w UE pozostaje znacznie dłuższy niż w konkurencyjnych regionach, co stwarza bariery dla inwestycji i innowacji</w:t>
      </w:r>
      <w:r w:rsidRPr="0018797E">
        <w:rPr>
          <w:rStyle w:val="FootnoteReference"/>
        </w:rPr>
        <w:footnoteReference w:id="2"/>
      </w:r>
      <w:r w:rsidRPr="0018797E">
        <w:t xml:space="preserve">; </w:t>
      </w:r>
    </w:p>
    <w:p w14:paraId="3685E58B" w14:textId="77777777" w:rsidR="000E2005" w:rsidRPr="0018797E" w:rsidRDefault="000E2005" w:rsidP="000E2005">
      <w:pPr>
        <w:pStyle w:val="NormalHanging12a"/>
      </w:pPr>
      <w:r w:rsidRPr="0018797E">
        <w:t>F.</w:t>
      </w:r>
      <w:r w:rsidRPr="0018797E">
        <w:tab/>
        <w:t>mając na uwadze, że fragmentacja regulacyjna, złożoność, nakładanie się przepisów i niespójne wdrażanie zasad rynku wewnętrznego UE przyczyniają się do powstania nieuzasadnionych barier i niepotrzebnych obciążeń administracyjnych, które w nieproporcjonalny sposób wpływają na MŚP, małe spółki o średniej kapitalizacji i przedsiębiorstwa typu start-</w:t>
      </w:r>
      <w:proofErr w:type="spellStart"/>
      <w:r w:rsidRPr="0018797E">
        <w:t>up</w:t>
      </w:r>
      <w:proofErr w:type="spellEnd"/>
      <w:r w:rsidRPr="0018797E">
        <w:t xml:space="preserve">, reprezentujące 99 % przedsiębiorstw UE, ograniczając ich zdolność do innowacji, inwestowania, zwiększania skali działalności, skutecznego konkurowania i angażowania się w działalność transgraniczną na jednolitym rynku i na rynkach światowych; mając na uwadze, że test MŚP oraz lepsze wdrażanie i uproszczenie przepisów UE, tam gdzie jest to konieczne i uzasadnione, mają zasadnicze znaczenie dla zapewnienia proporcjonalności w ramach prawnych; mając na uwadze, że – jak podkreślono w sprawozdaniu Maria </w:t>
      </w:r>
      <w:proofErr w:type="spellStart"/>
      <w:r w:rsidRPr="0018797E">
        <w:t>Draghiego</w:t>
      </w:r>
      <w:proofErr w:type="spellEnd"/>
      <w:r w:rsidRPr="0018797E">
        <w:t xml:space="preserve"> – luka w konkurencyjności UE wynika również ze słabych wyników dużych przedsiębiorstw, a także mając na uwadze, że przedsiębiorstwa, które odniosły sukces na rynku wewnętrznym, również czerpiące wartość ze światowych rynków, mają zasadnicze znaczenie dla tworzenia dobrobytu UE i jej obywateli; </w:t>
      </w:r>
    </w:p>
    <w:p w14:paraId="49C3D36C" w14:textId="77777777" w:rsidR="000E2005" w:rsidRPr="0018797E" w:rsidRDefault="000E2005" w:rsidP="000E2005">
      <w:pPr>
        <w:pStyle w:val="NormalHanging12a"/>
      </w:pPr>
      <w:r w:rsidRPr="0018797E">
        <w:t>G.</w:t>
      </w:r>
      <w:r w:rsidRPr="0018797E">
        <w:tab/>
        <w:t>mając na uwadze, że solidne egzekwowanie zasad jednolitego rynku, w tym przez szybsze i skuteczne postępowania w sprawie uchybienia zobowiązaniom państwa członkowskiego, należy uznać za mające zasadnicze znaczenie dla zapewnienia uczciwej konkurencji, przywrócenia zaufania przedsiębiorstw i ochrony konsumentów przed konsekwencjami fragmentacji rynku i ograniczonego wyboru; mając na uwadze, że wysiłki na rzecz poprawy, usprawnienia i uproszczenia ram prawnych UE powinny również koncentrować się na poprawie jakości, jasności i spójności, ograniczeniu fragmentacji we wdrażaniu przepisów UE, a także zapewnieniu, aby przepisy były łatwo zrozumiałe dla organów i wszystkich zainteresowanych stron;</w:t>
      </w:r>
    </w:p>
    <w:p w14:paraId="7892AC79" w14:textId="77777777" w:rsidR="000E2005" w:rsidRPr="0018797E" w:rsidRDefault="000E2005" w:rsidP="000E2005">
      <w:pPr>
        <w:pStyle w:val="NormalHanging12a"/>
      </w:pPr>
      <w:r w:rsidRPr="0018797E">
        <w:t>H.</w:t>
      </w:r>
      <w:r w:rsidRPr="0018797E">
        <w:tab/>
        <w:t xml:space="preserve">mając na uwadze, że w Kompasie konkurencyjności i programie prac Komisji na 2025 r. wyznaczono ambitne cele polityczne – wzmocnienie odporności jednolitego rynku, zmniejszenie obciążeń administracyjnych i dostosowanie ram regulacyjnych do najlepszych światowych praktyk; mając na uwadze, że ważne jest dalsze powiązanie strategii przemysłowej UE ze strategią jednolitego rynku w celu wzmocnienia konkurencyjności gospodarki UE, w tym przez wspieranie rozwoju i wdrażania czystych i strategicznych technologii; </w:t>
      </w:r>
    </w:p>
    <w:p w14:paraId="2DEFA0C9" w14:textId="77777777" w:rsidR="000E2005" w:rsidRPr="0018797E" w:rsidRDefault="000E2005" w:rsidP="000E2005">
      <w:pPr>
        <w:pStyle w:val="NormalHanging12a"/>
      </w:pPr>
      <w:r w:rsidRPr="0018797E">
        <w:t>I.</w:t>
      </w:r>
      <w:r w:rsidRPr="0018797E">
        <w:tab/>
        <w:t xml:space="preserve">mając na uwadze, że w dążeniu do uproszczenia otoczenia regulacyjnego na rynku wewnętrznym UE należy uwzględnić opinie przedsiębiorstw, związków zawodowych, konsumentów, podmiotów społeczeństwa obywatelskiego, środowisk akademickich i innych zainteresowanych stron, aby zapewnić, by polityka UE wspierała wzrost gospodarczy i wysokiej jakości miejsca pracy oraz tworzyła pozytywne otoczenia dla prywatnych inwestycji i innowacji, a także dla osiągnięcia celów polityki, takich jak zrównoważony rozwój, cyfryzacja i ochrona konsumentów, w drodze kompleksowych, </w:t>
      </w:r>
      <w:r w:rsidRPr="0018797E">
        <w:lastRenderedPageBreak/>
        <w:t>przejrzystych i pluralistycznych konsultacji publicznych, ze szczególnym uwzględnieniem szczególnych potrzeb i perspektyw MŚP i przedsiębiorstw typu start-</w:t>
      </w:r>
      <w:proofErr w:type="spellStart"/>
      <w:r w:rsidRPr="0018797E">
        <w:t>up</w:t>
      </w:r>
      <w:proofErr w:type="spellEnd"/>
      <w:r w:rsidRPr="0018797E">
        <w:t>, a także innych zainteresowanych stron o ograniczonych zdolnościach, przy zapewnieniu, aby wysiłki na rzecz uproszczenia nie szkodziły podmiotom wcześnie podejmującym działanie ani nie usuwały zachęt dla innowacyjnych przedsiębiorstw;</w:t>
      </w:r>
    </w:p>
    <w:p w14:paraId="5CF7F830" w14:textId="77777777" w:rsidR="000E2005" w:rsidRPr="0018797E" w:rsidRDefault="000E2005" w:rsidP="000E2005">
      <w:pPr>
        <w:pStyle w:val="NormalHanging12a"/>
      </w:pPr>
      <w:r w:rsidRPr="0018797E">
        <w:t>J.</w:t>
      </w:r>
      <w:r w:rsidRPr="0018797E">
        <w:tab/>
        <w:t>mając na uwadze, że nieuzasadnione krajowe bariery dla swobodnego przepływu towarów i usług podważają funkcjonowanie jednolitego rynku, należy je zatem usuwać i zapobiegać im; mając na uwadze, że Międzynarodowy Fundusz Walutowy oszacował, że bariery na rynku wewnętrznym w UE są równoważne 45 % stawce celnej w produkcji i 110 % w usługach; mając na uwadze, że taka fragmentacja osłabia konkurencję, hamuje produktywność i wzrost, a także nieproporcjonalnie wpływa na MŚP;</w:t>
      </w:r>
    </w:p>
    <w:p w14:paraId="2FF939FB" w14:textId="77777777" w:rsidR="000E2005" w:rsidRPr="0018797E" w:rsidRDefault="000E2005" w:rsidP="000E2005">
      <w:pPr>
        <w:pStyle w:val="NormalHanging12a"/>
      </w:pPr>
      <w:r w:rsidRPr="0018797E">
        <w:t>K.</w:t>
      </w:r>
      <w:r w:rsidRPr="0018797E">
        <w:tab/>
        <w:t>mając na uwadze, że wpływ terytorialnych ograniczeń dostaw na jednolity rynek, MŚP i siłę nabywczą konsumentów w UE jest znaczący, ponieważ według Komisji ograniczenia te kosztują konsumentów UE ponad 14 mld EUR rocznie;</w:t>
      </w:r>
    </w:p>
    <w:p w14:paraId="07322548" w14:textId="77777777" w:rsidR="000E2005" w:rsidRPr="0018797E" w:rsidRDefault="000E2005" w:rsidP="000E2005">
      <w:pPr>
        <w:pStyle w:val="Normal12a24b"/>
        <w:rPr>
          <w:rStyle w:val="BoldItalic"/>
        </w:rPr>
      </w:pPr>
      <w:r w:rsidRPr="0018797E">
        <w:rPr>
          <w:rStyle w:val="BoldItalic"/>
        </w:rPr>
        <w:t>Umocnienie jednolitego rynku w celu zwiększenia konkurencyjności i globalnego wpływu UE</w:t>
      </w:r>
    </w:p>
    <w:p w14:paraId="29CCFF7E" w14:textId="77777777" w:rsidR="000E2005" w:rsidRPr="0018797E" w:rsidRDefault="000E2005" w:rsidP="000E2005">
      <w:pPr>
        <w:pStyle w:val="Normal12a24b"/>
        <w:ind w:left="720" w:hanging="720"/>
      </w:pPr>
      <w:r w:rsidRPr="0018797E">
        <w:t>1.</w:t>
      </w:r>
      <w:r w:rsidRPr="0018797E">
        <w:tab/>
        <w:t>podkreśla, że zwłaszcza w niektórych sektorach UE pozostaje w tyle pod względem konkurencyjności na świecie; uznaje, że niedociągnięcia we wdrażaniu, fragmentacja regulacyjna i niepotrzebne obciążenia administracyjne należą do podstawowych czynników opóźniających UE pod względem inwestycji, innowacji, tworzenia miejsc pracy i możliwości biznesowych; podkreśla, że propagowanie, usprawnianie i upraszczanie przepisów i odpowiednie i terminowe wdrażanie, a także skuteczne egzekwowanie wspólnych zasad umacnia jednolity rynek, zwiększając tym samym konkurencyjność, dobrobyt gospodarczy, zatrudnienie, rozwój umiejętności, tworzenie jakościowych miejsc pracy, wysokie standardy środowiskowe i innowacje;</w:t>
      </w:r>
    </w:p>
    <w:p w14:paraId="3872516D" w14:textId="77777777" w:rsidR="000E2005" w:rsidRPr="0018797E" w:rsidRDefault="000E2005" w:rsidP="000E2005">
      <w:pPr>
        <w:pStyle w:val="Normal12a24b"/>
        <w:ind w:left="720" w:hanging="720"/>
        <w:rPr>
          <w:iCs/>
        </w:rPr>
      </w:pPr>
      <w:r w:rsidRPr="0018797E">
        <w:t>2.</w:t>
      </w:r>
      <w:r w:rsidRPr="0018797E">
        <w:tab/>
        <w:t>uznaje, że aby zapewnić dobrobyt w UE, należy zwiększyć spójność regulacyjną i zredukować niepotrzebne obciążenia administracyjne dla przedsiębiorstw, zwłaszcza dla mniejszych firm i start-</w:t>
      </w:r>
      <w:proofErr w:type="spellStart"/>
      <w:r w:rsidRPr="0018797E">
        <w:t>upów</w:t>
      </w:r>
      <w:proofErr w:type="spellEnd"/>
      <w:r w:rsidRPr="0018797E">
        <w:t>; nalega zatem, aby usunąć bariery obecnie utrudniające wzrost, tworzenie miejsc pracy i inwestycje, a zasoby skierować na zachęcanie do innowacji i wspieranie wzrostu, gwarantując jednocześnie równe warunki działania w oparciu o wysokie standardy społeczne i środowiskowe; podkreśla potrzebę mobilizacji inwestycji prywatnych i podkreśla, że szczególną uwagę należy zwrócić na zmniejszenie kosztów przestrzegania przepisów ponoszonych przez MŚP za pomocą narzędzi cyfrowych i ukierunkowanych odstępstw; podkreśla, że przepisy dostosowane do potrzeb MŚP muszą iść w parze z reformami rozwiązującymi problem utrzymujących się barier dla przedsiębiorstw zwiększających skalę działalności, umożliwiając jednocześnie większym przedsiębiorstwom prowadzenie działalności transgranicznej i międzynarodowej oraz bycie konkurencyjnymi;</w:t>
      </w:r>
    </w:p>
    <w:p w14:paraId="14AA9579" w14:textId="77777777" w:rsidR="000E2005" w:rsidRPr="0018797E" w:rsidRDefault="000E2005" w:rsidP="000E2005">
      <w:pPr>
        <w:pStyle w:val="Normal12a24b"/>
        <w:ind w:left="720" w:hanging="720"/>
      </w:pPr>
      <w:r w:rsidRPr="0018797E">
        <w:t>3.</w:t>
      </w:r>
      <w:r w:rsidRPr="0018797E">
        <w:tab/>
        <w:t xml:space="preserve">podkreśla, że większa harmonizacja, usprawnione procesy i prawidłowe wdrażanie, skuteczne stosowanie, zgodność, monitorowanie i egzekwowanie przepisów UE mają zasadnicze znaczenie dla prawidłowego funkcjonowania jednolitego rynku i </w:t>
      </w:r>
      <w:r w:rsidRPr="0018797E">
        <w:lastRenderedPageBreak/>
        <w:t xml:space="preserve">osiągnięcia kluczowych celów politycznych UE; z zadowoleniem przyjmuje cele Komisji dotyczące zwiększenia konkurencyjności, innowacji i produktywności poprzez uproszczenie, usprawnienie i lepsze wdrażanie i egzekwowanie przepisów UE; wzywa Komisję do podjęcia działań na podstawie zaleceń zawartych w sprawozdaniach </w:t>
      </w:r>
      <w:proofErr w:type="spellStart"/>
      <w:r w:rsidRPr="0018797E">
        <w:t>Draghiego</w:t>
      </w:r>
      <w:proofErr w:type="spellEnd"/>
      <w:r w:rsidRPr="0018797E">
        <w:t xml:space="preserve">, </w:t>
      </w:r>
      <w:proofErr w:type="spellStart"/>
      <w:r w:rsidRPr="0018797E">
        <w:t>Letty</w:t>
      </w:r>
      <w:proofErr w:type="spellEnd"/>
      <w:r w:rsidRPr="0018797E">
        <w:t xml:space="preserve"> i </w:t>
      </w:r>
      <w:proofErr w:type="spellStart"/>
      <w:r w:rsidRPr="0018797E">
        <w:t>Niinistö</w:t>
      </w:r>
      <w:proofErr w:type="spellEnd"/>
      <w:r w:rsidRPr="0018797E">
        <w:t xml:space="preserve"> – za pomocą konkretnych środków i zgodnie z jasnymi harmonogramami;</w:t>
      </w:r>
    </w:p>
    <w:p w14:paraId="6F34F262" w14:textId="77777777" w:rsidR="000E2005" w:rsidRPr="0018797E" w:rsidRDefault="000E2005" w:rsidP="000E2005">
      <w:pPr>
        <w:pStyle w:val="Normal12a24b"/>
        <w:rPr>
          <w:rStyle w:val="BoldItalic"/>
        </w:rPr>
      </w:pPr>
      <w:r w:rsidRPr="0018797E">
        <w:rPr>
          <w:rStyle w:val="BoldItalic"/>
        </w:rPr>
        <w:t>Usprawnione, lepiej wdrażane i solidnie egzekwowane przepisy sprzyjające przewidywalnemu i konkurencyjnemu otoczeniu biznesu</w:t>
      </w:r>
    </w:p>
    <w:p w14:paraId="5D4398FA" w14:textId="77777777" w:rsidR="000E2005" w:rsidRPr="0018797E" w:rsidRDefault="000E2005" w:rsidP="000E2005">
      <w:pPr>
        <w:pStyle w:val="Normal12a24b"/>
        <w:ind w:left="720" w:hanging="720"/>
        <w:rPr>
          <w:iCs/>
        </w:rPr>
      </w:pPr>
      <w:r w:rsidRPr="0018797E">
        <w:t>4.</w:t>
      </w:r>
      <w:r w:rsidRPr="0018797E">
        <w:tab/>
        <w:t>podkreśla, że usprawnienie i uproszczenie przepisów ma na celu ułatwienie procesów ich przestrzegania, przy jednoczesnym utrzymaniu głównych celów polityki UE, zapewnieniu, aby nie naruszono norm społecznych i środowiskowych, a także praw cyfrowych i ochrony konsumentów oraz zapewnieniu przedsiębiorstwom stabilnego i przewidywalnego otoczenia regulacyjnego gwarantującego jasność i pewność prawa dla wszystkich; podkreśla, że konkurencyjność i innowacyjność, zwłaszcza w kontekście obecnego kryzysu związanego z kosztami utrzymania, muszą przynosić rezultaty korzystne dla konsumentów; podkreśla, że uproszczenie powinno również wzmocnić długoterminowe cele UE, w tym cyfryzację gospodarki, transformację ekologiczną i ochronę konsumentów, przy jednoczesnym zapewnieniu neutralności technologicznej;</w:t>
      </w:r>
    </w:p>
    <w:p w14:paraId="0550A6EF" w14:textId="77777777" w:rsidR="000E2005" w:rsidRPr="0018797E" w:rsidRDefault="000E2005" w:rsidP="000E2005">
      <w:pPr>
        <w:pStyle w:val="Normal12a24b"/>
        <w:ind w:left="720" w:hanging="720"/>
        <w:rPr>
          <w:iCs/>
        </w:rPr>
      </w:pPr>
      <w:r w:rsidRPr="0018797E">
        <w:t>5.</w:t>
      </w:r>
      <w:r w:rsidRPr="0018797E">
        <w:tab/>
        <w:t>uważa, że dobrze funkcjonujący jednolity rynek, gdzie przepisy są wdrażane i egzekwowane prawidłowo, spójnie i skutecznie, jest wspólną odpowiedzialnością instytucji UE i państw członkowskich; podkreśla, że nadmiernie rygorystyczne wdrażanie dyrektyw UE i fragmentaryczne egzekwowanie przepisów UE nadal stanowią przeszkodę dla jednolitego rynku, ponieważ nieproporcjonalnie obciążają MŚP i przedsiębiorstwa typu start-</w:t>
      </w:r>
      <w:proofErr w:type="spellStart"/>
      <w:r w:rsidRPr="0018797E">
        <w:t>up</w:t>
      </w:r>
      <w:proofErr w:type="spellEnd"/>
      <w:r w:rsidRPr="0018797E">
        <w:t>; domaga się, aby Komisja zapewniła właściwe i zharmonizowane egzekwowanie przepisów UE we wszystkich państwach członkowskich, aby znosić przeszkody transgraniczne; w związku z tym wzywa państwa członkowskie, by zajęły się problemem nadmiernie rygorystycznego wdrażania przepisów oraz dopilnowały, by krajowe środki wykonawcze były publikowane w sposób przejrzysty i terminowy, by nie dopuściły do niespójnego wdrażania przepisów UE, a jednocześnie uznały prawo państw członkowskich do utrzymania lub wprowadzenia środków krajowych na warunkach przewidzianych w traktatach; wzywa do zacieśnienia współpracy między istniejącymi organami z różnych państw członkowskich oraz między krajowymi i unijnymi organami regulacyjnymi; zachęca Komisję, by wspierała państwa członkowskie w osiąganiu bardziej zharmonizowanego wdrażania prawa UE poprzez dalsze ułatwianie zorganizowanej wymiany i wzajemnego uczenia się, w tym organizację warsztatów dotyczących transpozycji oraz opracowywanie i wykorzystywanie narzędzi i praktyk porównawczych;</w:t>
      </w:r>
    </w:p>
    <w:p w14:paraId="0220D8D3" w14:textId="77777777" w:rsidR="000E2005" w:rsidRPr="0018797E" w:rsidRDefault="000E2005" w:rsidP="000E2005">
      <w:pPr>
        <w:pStyle w:val="Normal12a24b"/>
        <w:ind w:left="720" w:hanging="720"/>
        <w:rPr>
          <w:iCs/>
        </w:rPr>
      </w:pPr>
      <w:r w:rsidRPr="0018797E">
        <w:t>6.</w:t>
      </w:r>
      <w:r w:rsidRPr="0018797E">
        <w:tab/>
        <w:t xml:space="preserve">zwraca się do Komisji o zapewnienie, by obecne i przyszłe przepisy pozostały proporcjonalne i nie stanowiły niepotrzebnego obciążenia dla przedsiębiorstw, i dopilnowanie, by przynosiły one zamierzone skutki, a także o włączenie do odpowiednich inicjatyw ustawodawczych wczesnej klauzuli przeglądowej bez zwiększania przy tym obciążeń administracyjnych; uważa, że klauzule przeglądowe wykraczające poza ogólną skuteczność prawodawstwa powinny służyć konkretnie do </w:t>
      </w:r>
      <w:r w:rsidRPr="0018797E">
        <w:lastRenderedPageBreak/>
        <w:t xml:space="preserve">oceny wpływu prawodawstwa na konkurencyjność UE i powinny być wykorzystywane do oceny potrzeby przeglądu tych odpowiednich aktów ustawodawczych, które niepotrzebnie ograniczają konkurencyjność; zaleca, aby w takich przeglądach oceniano również cyfrową gotowość prawodawstwa i jego zdolność adaptacji do innowacji; wzywa Komisję do ustanowienia i stosowania jasnej metodyki i prostego poziomu odniesienia w celu zmniejszenia obciążeń oraz pomiaru i monitorowania postępów w realizacji ustalonych celów, tak by umożliwić skuteczne działania i rozliczalność; uznaje, że osiągnięcie znaczącego zmniejszenia obciążeń administracyjnych jest wspólnym obowiązkiem instytucji UE i państw członkowskich i należy do niego dążyć przy pełnym poszanowaniu podstawowych celów polityki UE; wzywa </w:t>
      </w:r>
      <w:proofErr w:type="spellStart"/>
      <w:r w:rsidRPr="0018797E">
        <w:t>współprawodawców</w:t>
      </w:r>
      <w:proofErr w:type="spellEnd"/>
      <w:r w:rsidRPr="0018797E">
        <w:t xml:space="preserve"> do zapewnienia, by prawodawstwo UE było ukierunkowane, proporcjonalne i adekwatne do celu oraz by na wszystkich etapach cyklu polityki stosowano zasady lepszego stanowienia prawa;</w:t>
      </w:r>
    </w:p>
    <w:p w14:paraId="412ABA65" w14:textId="77777777" w:rsidR="000E2005" w:rsidRPr="0018797E" w:rsidRDefault="000E2005" w:rsidP="000E2005">
      <w:pPr>
        <w:pStyle w:val="Normal12a24b"/>
        <w:ind w:left="720" w:hanging="720"/>
      </w:pPr>
      <w:r w:rsidRPr="0018797E">
        <w:t>7.</w:t>
      </w:r>
      <w:r w:rsidRPr="0018797E">
        <w:tab/>
        <w:t>wzywa Komisję do przygotowania wysokiej jakości ocen skutków wszystkich wniosków ustawodawczych – w tym aktów delegowanych i wykonawczych – które stanowią integralną część procesu stanowienia prawa UE i są ważne dla zapewnienia solidnych aktów prawnych; podkreśla, że oceny skutków powinny uwzględniać łączne skutki regulacji i zawierać ocenę interoperacyjności między nowymi i istniejącymi przepisami, w szczególności w odniesieniu do wymogów sprawozdawczych; nalega, aby wszystkie oceny skutków obejmowały sprawdzian konkurencyjności, w szczególności ocenę wpływu na MŚP, przedsiębiorstwa typu start-</w:t>
      </w:r>
      <w:proofErr w:type="spellStart"/>
      <w:r w:rsidRPr="0018797E">
        <w:t>up</w:t>
      </w:r>
      <w:proofErr w:type="spellEnd"/>
      <w:r w:rsidRPr="0018797E">
        <w:t xml:space="preserve"> i spółki o średniej kapitalizacji, a także na rozwijające się nowe technologie; podkreśla, że sprawdzian konkurencyjności powinien być systematycznie stosowany do wszystkich odpowiednich wniosków ustawodawczych, również z uwzględnieniem ich międzysektorowego wpływu i skutków krajowych efektów mnożnikowych, oraz że należy uwzględnić jego ustalenia, jak określono również w Kompasie konkurencyjności dla UE; uważa, że Rada ds. Kontroli Regulacyjnej odgrywa ważną rolę w zapewnianiu jakości ocen skutków Komisji, kontroli sprawności i głównych ocen, oraz podkreśla, że musi ona działać w sposób przejrzysty oraz mieć środki i niezależność, aby przeprowadzać bezstronną, rygorystyczną i wysokiej jakości kontrolę wszystkich ocen skutków Komisji i wniosków ustawodawczych, a także zgłaszać zastrzeżenia w przypadku braku ocen skutków; zaleca wzmocnienie mandatu Rady i zwiększenie jej zdolności dzięki odpowiednim zasobom, aby umożliwić jej pełne i skuteczne wykonywanie zadań;</w:t>
      </w:r>
    </w:p>
    <w:p w14:paraId="1F3D80D3" w14:textId="77777777" w:rsidR="000E2005" w:rsidRPr="0018797E" w:rsidRDefault="000E2005" w:rsidP="000E2005">
      <w:pPr>
        <w:pStyle w:val="Normal12a24b"/>
        <w:ind w:left="720" w:hanging="720"/>
        <w:rPr>
          <w:iCs/>
        </w:rPr>
      </w:pPr>
      <w:r w:rsidRPr="0018797E">
        <w:t>8.</w:t>
      </w:r>
      <w:r w:rsidRPr="0018797E">
        <w:tab/>
        <w:t xml:space="preserve">apeluje o przeprowadzanie ocen skutków w odniesieniu do istotnych poprawek do wniosków Komisji proponowanych przez Parlament i Radę, zgodnie z ustaleniami </w:t>
      </w:r>
      <w:proofErr w:type="spellStart"/>
      <w:r w:rsidRPr="0018797E">
        <w:t>współprawodawców</w:t>
      </w:r>
      <w:proofErr w:type="spellEnd"/>
      <w:r w:rsidRPr="0018797E">
        <w:t xml:space="preserve"> z 2016 r.</w:t>
      </w:r>
      <w:r w:rsidRPr="0018797E">
        <w:rPr>
          <w:vertAlign w:val="superscript"/>
        </w:rPr>
        <w:footnoteReference w:id="3"/>
      </w:r>
      <w:r w:rsidRPr="0018797E">
        <w:t xml:space="preserve">, kiedy jest to właściwe i konieczne dla przebiegu procesu legislacyjnego, biorąc również pod uwagę harmonogram procesu stanowienia prawa; wzywa do skutecznego wdrażania Porozumienia międzyinstytucjonalnego w sprawie lepszego stanowienia prawa i sugeruje dalsze rozwijanie i stosowanie metodyki oceny skutków i kontroli konkurencyjności dla Komisji, Parlamentu Europejskiego, Rady i państw członkowskich; podkreśla, że właściwa ocena skutków powinna obejmować potencjalne krótko- i długoterminowe koszty i korzyści, a przy </w:t>
      </w:r>
      <w:r w:rsidRPr="0018797E">
        <w:lastRenderedPageBreak/>
        <w:t>tym oceniać skutki gospodarcze, środowiskowe i społeczne w sposób zintegrowany i wyważony za pomocą analiz jakościowych i ilościowych;</w:t>
      </w:r>
    </w:p>
    <w:p w14:paraId="1583D7C0" w14:textId="77777777" w:rsidR="000E2005" w:rsidRPr="0018797E" w:rsidRDefault="000E2005" w:rsidP="000E2005">
      <w:pPr>
        <w:pStyle w:val="Normal12a24b"/>
        <w:ind w:left="720" w:hanging="720"/>
        <w:rPr>
          <w:iCs/>
        </w:rPr>
      </w:pPr>
      <w:r w:rsidRPr="0018797E">
        <w:t>9.</w:t>
      </w:r>
      <w:r w:rsidRPr="0018797E">
        <w:tab/>
        <w:t>uważa, że aby zwiększyć jasność i skuteczność prawa niezmiernie istotne jest unikanie pokrywania się regulacji i zlikwidowanie niejasnych definicji w różnych aktach prawnych i niespójności między nimi, zwłaszcza w odniesieniu do prawodawstwa dotyczącego jednolitego rynku towarów, usług i technologii cyfrowych, z uwzględnieniem ich specyfiki; wzywa Komisję do priorytetowego traktowania ocen w tym obszarze w celu zapewnienia przewidywalnych i spójnych ram prawnych, które umożliwią przedsiębiorstwom angażowanie się w długoterminowe planowanie i inwestycje; podkreśla, że pierwszeństwo przed wprowadzaniem nowych przepisów powinno mieć skuteczne wdrażanie, egzekwowanie i jednolite stosowanie obecnych ram prawnych;</w:t>
      </w:r>
    </w:p>
    <w:p w14:paraId="7DF8A3F5" w14:textId="77777777" w:rsidR="000E2005" w:rsidRPr="0018797E" w:rsidRDefault="000E2005" w:rsidP="000E2005">
      <w:pPr>
        <w:pStyle w:val="Normal12a24b"/>
        <w:ind w:left="720" w:hanging="720"/>
        <w:rPr>
          <w:iCs/>
        </w:rPr>
      </w:pPr>
      <w:r w:rsidRPr="0018797E">
        <w:t>10.</w:t>
      </w:r>
      <w:r w:rsidRPr="0018797E">
        <w:tab/>
        <w:t>wzywa Komisję do zapewnienia bardziej uporządkowanego, przejrzystego i włączającego procesu konsultacji z zainteresowanymi stronami, w tym przeglądu systemu grup ekspertów; apeluje o środki mające na celu wzmocnienie reprezentacji MŚP i przedsiębiorstw typu start-</w:t>
      </w:r>
      <w:proofErr w:type="spellStart"/>
      <w:r w:rsidRPr="0018797E">
        <w:t>up</w:t>
      </w:r>
      <w:proofErr w:type="spellEnd"/>
      <w:r w:rsidRPr="0018797E">
        <w:t xml:space="preserve"> oraz o dostosowanie konsultacji do potrzeb MŚP i innych zainteresowanych stron o ograniczonych zdolnościach poprzez zapewnienie wystarczającego czasu na odpowiedź i poprawę dostępności, aby doprowadzić do </w:t>
      </w:r>
      <w:proofErr w:type="spellStart"/>
      <w:r w:rsidRPr="0018797E">
        <w:t>inkluzywnych</w:t>
      </w:r>
      <w:proofErr w:type="spellEnd"/>
      <w:r w:rsidRPr="0018797E">
        <w:t xml:space="preserve"> i świadomych procesów decyzyjnych oraz poprawy jakości przepisów dotyczących jednolitego rynku; podkreśla, że zwiększenie zaangażowania zainteresowanych stron, w tym odpowiedniej reprezentacji geograficznej, ma zasadnicze znaczenie dla pogłębienia jednolitego rynku, zapewnienia jego skutecznego funkcjonowania i odzwierciedlenia jego różnorodności; podkreśla ponadto kluczową rolę społeczeństwa obywatelskiego w procesie decyzyjnym, zapewniającą pluralizm poglądów oraz sprawiedliwą i zrównoważoną reprezentację; popiera ustanowienie regularnych dialogów w sprawie wdrażania, w tym z partnerami społecznymi;</w:t>
      </w:r>
    </w:p>
    <w:p w14:paraId="46B6EB95" w14:textId="77777777" w:rsidR="000E2005" w:rsidRPr="0018797E" w:rsidRDefault="000E2005" w:rsidP="000E2005">
      <w:pPr>
        <w:pStyle w:val="Normal12a24b"/>
        <w:ind w:left="720" w:hanging="720"/>
        <w:rPr>
          <w:iCs/>
        </w:rPr>
      </w:pPr>
      <w:r w:rsidRPr="0018797E">
        <w:t>11.</w:t>
      </w:r>
      <w:r w:rsidRPr="0018797E">
        <w:tab/>
        <w:t xml:space="preserve">wzywa Komisję do opracowania mechanizmu ustalania jasnego terminu publikacji wytycznych i środków wykonawczych przed wejściem w życie rozporządzenia, aby uniknąć niepewności regulacyjnej i opóźnień we wdrażaniu; nalega, aby takie wytyczne były również przygotowane w </w:t>
      </w:r>
      <w:proofErr w:type="spellStart"/>
      <w:r w:rsidRPr="0018797E">
        <w:t>inkluzywny</w:t>
      </w:r>
      <w:proofErr w:type="spellEnd"/>
      <w:r w:rsidRPr="0018797E">
        <w:t xml:space="preserve"> i wyważony sposób oraz służyły jako narzędzie ułatwiające przestrzeganie przepisów, a nie stanowiły dodatkowe obciążenie; podkreśla ponadto, że powinny one być zwięzłe i jasne, w szczególności dla MŚP; domaga się, aby stosowanie przepisów poziomu 2, takich jak akty delegowane i wykonawcze, ograniczyć do kwestii technicznych, ustalić jasne ramy czasowe i wystarczające okresy wypowiedzenia dla podmiotów gospodarczych oraz zachować zgodność z mandatem określonym przez </w:t>
      </w:r>
      <w:proofErr w:type="spellStart"/>
      <w:r w:rsidRPr="0018797E">
        <w:t>współprawodawców</w:t>
      </w:r>
      <w:proofErr w:type="spellEnd"/>
      <w:r w:rsidRPr="0018797E">
        <w:t>;</w:t>
      </w:r>
    </w:p>
    <w:p w14:paraId="72789D73" w14:textId="77777777" w:rsidR="000E2005" w:rsidRPr="0018797E" w:rsidRDefault="000E2005" w:rsidP="000E2005">
      <w:pPr>
        <w:pStyle w:val="Normal12a24b"/>
        <w:ind w:left="720" w:hanging="720"/>
        <w:rPr>
          <w:iCs/>
        </w:rPr>
      </w:pPr>
      <w:r w:rsidRPr="0018797E">
        <w:t>12.</w:t>
      </w:r>
      <w:r w:rsidRPr="0018797E">
        <w:tab/>
        <w:t>podkreśla znaczenie przedsiębiorstw typu start-</w:t>
      </w:r>
      <w:proofErr w:type="spellStart"/>
      <w:r w:rsidRPr="0018797E">
        <w:t>up</w:t>
      </w:r>
      <w:proofErr w:type="spellEnd"/>
      <w:r w:rsidRPr="0018797E">
        <w:t xml:space="preserve"> i przedsiębiorstw </w:t>
      </w:r>
      <w:proofErr w:type="spellStart"/>
      <w:r w:rsidRPr="0018797E">
        <w:t>scale-up</w:t>
      </w:r>
      <w:proofErr w:type="spellEnd"/>
      <w:r w:rsidRPr="0018797E">
        <w:t xml:space="preserve"> w napędzaniu innowacji i zapewnieniu przyszłego przywództwa UE w kluczowych sektorach; wzywa Komisję i </w:t>
      </w:r>
      <w:proofErr w:type="spellStart"/>
      <w:r w:rsidRPr="0018797E">
        <w:t>współprawodawców</w:t>
      </w:r>
      <w:proofErr w:type="spellEnd"/>
      <w:r w:rsidRPr="0018797E">
        <w:t xml:space="preserve"> do zadbania o to, by przyszłe przepisy były opracowywane w taki sposób, aby wspierać innowacje i zawsze zachowywać wysokie standardy; sugeruje włączenie w stosownych przypadkach piaskownic regulacyjnych do wszystkich przyszłych regulacji mających wpływ na innowacyjne sektory, ze szczególnym naciskiem na korzyści dla MŚP i start-</w:t>
      </w:r>
      <w:proofErr w:type="spellStart"/>
      <w:r w:rsidRPr="0018797E">
        <w:t>upów</w:t>
      </w:r>
      <w:proofErr w:type="spellEnd"/>
      <w:r w:rsidRPr="0018797E">
        <w:t xml:space="preserve">; opowiada się za utworzeniem „europejskich centrów innowacji” we wszystkich </w:t>
      </w:r>
      <w:r w:rsidRPr="0018797E">
        <w:lastRenderedPageBreak/>
        <w:t>państwach członkowskich;</w:t>
      </w:r>
    </w:p>
    <w:p w14:paraId="183D3B51" w14:textId="77777777" w:rsidR="000E2005" w:rsidRPr="0018797E" w:rsidRDefault="000E2005" w:rsidP="000E2005">
      <w:pPr>
        <w:pStyle w:val="Normal12a24b"/>
        <w:ind w:left="720" w:hanging="720"/>
        <w:rPr>
          <w:iCs/>
        </w:rPr>
      </w:pPr>
      <w:r w:rsidRPr="0018797E">
        <w:t>13.</w:t>
      </w:r>
      <w:r w:rsidRPr="0018797E">
        <w:tab/>
        <w:t>z zadowoleniem przyjmuje powołanie komisarza do spraw wdrażania; wzywa komisarza do zapewnienia – we współpracy z kolegium komisarzy – odpowiednich zasobów i uprawnień, aby zagwarantować właściwe wdrażanie i stosowanie prawodawstwa UE i uproszczenia w poszczególnych sektorach; wzywa wszystkich komisarzy do systematycznej oceny potrzeb w zakresie usprawnień i wdrażania w ich odpowiednich obszarach polityki oraz do ścisłej współpracy i koordynacji w celu zapewnienia spójności i osiągnięcia wymiernych rezultatów w zakresie uproszczenia i usprawnienia; wzywa Komisję do dalszego przedstawiania wniosków mających na celu uproszczenie i usprawnienie prawodawstwa dotyczącego jednolitego rynku, jeżeli jest to konieczne i uzasadnione ocenami skutków; podkreśla, że nowe wnioski dotyczące uproszczenia powinny poprawić spójność regulacyjną, zachować przewidywalność prawa dla przedsiębiorstw i nie powinny podważać uzgodnionych celów polityki;</w:t>
      </w:r>
    </w:p>
    <w:p w14:paraId="001953B1" w14:textId="77777777" w:rsidR="000E2005" w:rsidRPr="0018797E" w:rsidRDefault="000E2005" w:rsidP="000E2005">
      <w:pPr>
        <w:pStyle w:val="Normal12a24b"/>
        <w:ind w:left="720" w:hanging="720"/>
      </w:pPr>
      <w:r w:rsidRPr="0018797E">
        <w:t>14.</w:t>
      </w:r>
      <w:r w:rsidRPr="0018797E">
        <w:tab/>
        <w:t>zauważa, że chociaż Komisja poprawiła wykrywanie i usuwanie naruszeń prawa UE, egzekwowanie przepisów UE i korygowanie naruszeń na jednolitym rynku nadal zajmuje zbyt dużo czasu; wzywa Komisję, by nadal pełniła rolę strażnika traktatów poprzez pełne wykorzystanie jej uprawnień do egzekwowania przepisów, w tym wszczynanie w razie potrzeby postępowań w sprawie uchybienia zobowiązaniom państwa członkowskiego, tak aby zapewnić terminowe, spójne i skuteczne egzekwowanie przepisów dotyczących jednolitego rynku oraz w drodze przeglądu trybów postępowania w sprawie uchybienia zobowiązaniom państwa członkowskiego w celu zapewnienia szybszych, bardziej automatycznych i przewidywalnych reakcji; zaleca rozszerzenie zakresu postępowań w sprawie uchybienia zobowiązaniom państwa członkowskiego w celu zajęcia się systemowymi naruszeniami przepisów dotyczących jednolitego rynku; podkreśla potrzebę rozwiązania problemu fragmentacji regulacyjnej, która podważa równe warunki działania i pewność prawa, przy jednoczesnym uznaniu przewidzianej w Traktatach swobody państw członkowskich w zakresie wdrażania dyrektyw;</w:t>
      </w:r>
    </w:p>
    <w:p w14:paraId="66AC68CB" w14:textId="77777777" w:rsidR="000E2005" w:rsidRPr="0018797E" w:rsidRDefault="000E2005" w:rsidP="000E2005">
      <w:pPr>
        <w:pStyle w:val="Normal12a24b"/>
        <w:rPr>
          <w:rStyle w:val="BoldItalic"/>
        </w:rPr>
      </w:pPr>
      <w:r w:rsidRPr="0018797E">
        <w:rPr>
          <w:rStyle w:val="BoldItalic"/>
        </w:rPr>
        <w:t>Uwolnienie pełnego potencjału jednolitego rynku</w:t>
      </w:r>
    </w:p>
    <w:p w14:paraId="7F3D1620" w14:textId="77777777" w:rsidR="000E2005" w:rsidRPr="0018797E" w:rsidRDefault="000E2005" w:rsidP="000E2005">
      <w:pPr>
        <w:pStyle w:val="Normal12a24b"/>
        <w:ind w:left="567" w:hanging="567"/>
        <w:rPr>
          <w:bCs/>
          <w:iCs/>
        </w:rPr>
      </w:pPr>
      <w:r w:rsidRPr="0018797E">
        <w:t>15.</w:t>
      </w:r>
      <w:r w:rsidRPr="0018797E">
        <w:tab/>
        <w:t xml:space="preserve">zachęca Komisję i państwa członkowskie do skuteczniejszego wykorzystania obecnego zestawu narzędzi służących przestrzeganiu i koordynacji przepisów w sposób skuteczniejszy i spójniejszy; wzywa w związku z tym Komisję do ulepszenia obecnych instrumentów egzekwowania prawa i współpracy, takich jak SOLVIT, punkty kontaktowe ds. produktów i Grupa Zadaniowa ds. Egzekwowania Przepisów dotyczących Jednolitego Rynku, by rozwiązać problemy związane z funkcjonowaniem jednolitego rynku; zachęca ponadto Komisję do sporządzenia wykazu narzędzi, mechanizmów i procesów wykorzystywanych do opracowywania inicjatyw ustawodawczych i </w:t>
      </w:r>
      <w:proofErr w:type="spellStart"/>
      <w:r w:rsidRPr="0018797E">
        <w:t>nieustawodawczych</w:t>
      </w:r>
      <w:proofErr w:type="spellEnd"/>
      <w:r w:rsidRPr="0018797E">
        <w:t xml:space="preserve"> oraz monitorowania i egzekwowania zgodności z prawodawstwem UE w celu poprawy ich spójności, wyeliminowania powielania działań oraz ich konsolidacji i usprawnienia, a także do rozważenia, w oparciu o ten wykaz, rozszerzenia obecnych sieci i narzędzi; wzywa organy egzekwowania prawa i właściwe organy w państwach członkowskich do zacieśnienia współpracy i wzajemnego wsparcia w celu rozwiązania problemu nieuzasadnionej fragmentacji regulacyjnej i zapewnienia sprawniejszego, dostosowanego do potrzeb i </w:t>
      </w:r>
      <w:r w:rsidRPr="0018797E">
        <w:lastRenderedPageBreak/>
        <w:t>zharmonizowanego wdrażania przepisów dotyczących jednolitego rynku oraz wyraża poparcie dla utworzenia platform koordynacji na szczeblu krajowym, aby ułatwić skuteczne i spójne wdrażanie i transpozycję przepisów UE;</w:t>
      </w:r>
    </w:p>
    <w:p w14:paraId="6586C40E" w14:textId="77777777" w:rsidR="000E2005" w:rsidRPr="0018797E" w:rsidRDefault="000E2005" w:rsidP="000E2005">
      <w:pPr>
        <w:pStyle w:val="Normal12a24b"/>
        <w:ind w:left="567" w:hanging="567"/>
        <w:rPr>
          <w:iCs/>
        </w:rPr>
      </w:pPr>
      <w:r w:rsidRPr="0018797E">
        <w:t>16.</w:t>
      </w:r>
      <w:r w:rsidRPr="0018797E">
        <w:tab/>
        <w:t>podkreśla nadrzędną rolę swobodnego przepływu usług w uwalnianiu potencjału gospodarczego, zauważając, że integracja w tym sektorze pozostaje słabsza niż w sektorze dóbr ze względu na niewystarczający transgranicznym wymiar usług na jednolitym rynku; podkreśla zatem konieczność spójnego stosowania dyrektywy usługowej</w:t>
      </w:r>
      <w:r w:rsidRPr="0018797E">
        <w:rPr>
          <w:iCs/>
          <w:vertAlign w:val="superscript"/>
        </w:rPr>
        <w:footnoteReference w:id="4"/>
      </w:r>
      <w:r w:rsidRPr="0018797E">
        <w:t>, której wdrożenie tylko częściowo przyczyniło się do osiągnięcia zamierzonego celu ze względu na utrzymujące się nieuzasadnione bariery szczególnie uciążliwe dla MŚP, przybierające równe formy i ograniczające zdolność tych przedsiębiorstw do świadczenia usług transgranicznych; zwraca uwagę na ważną rolę sektorów usług w niedawno opublikowanej strategii jednolitego rynku; apeluje o nowe inicjatywy oraz ukierunkowane i skuteczne środki w sektorach kluczowych dla jednolitego rynku, które eliminują utrzymujące się nieuzasadnione bariery i zwiększają integrację rynku bez uszczerbku dla norm społecznych, przy jednoczesnym utrzymaniu spójności regulacyjnej i zapobieganiu fragmentacji przepisów dotyczących jednolitego rynku;</w:t>
      </w:r>
    </w:p>
    <w:p w14:paraId="7E1C45CB" w14:textId="77777777" w:rsidR="000E2005" w:rsidRPr="0018797E" w:rsidRDefault="000E2005" w:rsidP="000E2005">
      <w:pPr>
        <w:pStyle w:val="NormalHanging12a"/>
        <w:rPr>
          <w:bCs/>
          <w:iCs/>
          <w:shd w:val="clear" w:color="auto" w:fill="FFFFFF" w:themeFill="background1"/>
        </w:rPr>
      </w:pPr>
      <w:r w:rsidRPr="0018797E">
        <w:rPr>
          <w:shd w:val="clear" w:color="auto" w:fill="FFFFFF" w:themeFill="background1"/>
        </w:rPr>
        <w:t>17.</w:t>
      </w:r>
      <w:r w:rsidRPr="0018797E">
        <w:rPr>
          <w:shd w:val="clear" w:color="auto" w:fill="FFFFFF" w:themeFill="background1"/>
        </w:rPr>
        <w:tab/>
        <w:t>ubolewa nad niewystarczającym wykorzystaniem procedury notyfikacji w ramach dyrektywy usługowej; wzywa państwa członkowskie do zapewnienia systematycznego, terminowego i przejrzystego stosowania procedur powiadamiania na mocy dyrektywy usługowej i dyrektywy w sprawie przejrzystości na jednolitym rynku</w:t>
      </w:r>
      <w:r w:rsidRPr="0018797E">
        <w:rPr>
          <w:rStyle w:val="FootnoteReference"/>
          <w:bCs/>
          <w:iCs/>
          <w:shd w:val="clear" w:color="auto" w:fill="FFFFFF" w:themeFill="background1"/>
        </w:rPr>
        <w:footnoteReference w:id="5"/>
      </w:r>
      <w:r w:rsidRPr="0018797E">
        <w:rPr>
          <w:shd w:val="clear" w:color="auto" w:fill="FFFFFF" w:themeFill="background1"/>
        </w:rPr>
        <w:t>;</w:t>
      </w:r>
    </w:p>
    <w:p w14:paraId="1DAE6E7D" w14:textId="77777777" w:rsidR="000E2005" w:rsidRPr="0018797E" w:rsidRDefault="000E2005" w:rsidP="000E2005">
      <w:pPr>
        <w:pStyle w:val="NormalHanging12a"/>
        <w:rPr>
          <w:bCs/>
          <w:iCs/>
        </w:rPr>
      </w:pPr>
      <w:r w:rsidRPr="0018797E">
        <w:t>18.</w:t>
      </w:r>
      <w:r w:rsidRPr="0018797E">
        <w:tab/>
      </w:r>
      <w:r w:rsidRPr="0018797E">
        <w:rPr>
          <w:shd w:val="clear" w:color="auto" w:fill="FFFFFF" w:themeFill="background1"/>
        </w:rPr>
        <w:t xml:space="preserve">wzywa Komisję do zaproponowania skutecznych instrumentów ustawodawczych i </w:t>
      </w:r>
      <w:proofErr w:type="spellStart"/>
      <w:r w:rsidRPr="0018797E">
        <w:rPr>
          <w:shd w:val="clear" w:color="auto" w:fill="FFFFFF" w:themeFill="background1"/>
        </w:rPr>
        <w:t>nieustawodawczych</w:t>
      </w:r>
      <w:proofErr w:type="spellEnd"/>
      <w:r w:rsidRPr="0018797E">
        <w:rPr>
          <w:shd w:val="clear" w:color="auto" w:fill="FFFFFF" w:themeFill="background1"/>
        </w:rPr>
        <w:t xml:space="preserve"> w celu zapobiegania nowym barierom na jednolitym rynku, gdy jest to konieczne i uzasadnione;</w:t>
      </w:r>
    </w:p>
    <w:p w14:paraId="47D1810F" w14:textId="77777777" w:rsidR="000E2005" w:rsidRPr="0018797E" w:rsidRDefault="000E2005" w:rsidP="000E2005">
      <w:pPr>
        <w:pStyle w:val="NormalHanging12a"/>
        <w:rPr>
          <w:bCs/>
          <w:iCs/>
          <w:shd w:val="clear" w:color="auto" w:fill="FFFFFF" w:themeFill="background1"/>
        </w:rPr>
      </w:pPr>
      <w:r w:rsidRPr="0018797E">
        <w:t>19.</w:t>
      </w:r>
      <w:r w:rsidRPr="0018797E">
        <w:tab/>
        <w:t>wzywa Komisję do zbadania różnych metod radzenia sobie z terytorialnymi ograniczeniami dostaw, w tym ograniczeniami niewymaganymi prawem, takimi jak nieproporcjonalne wymogi językowe dotyczące etykietowania produktów, ponieważ są to utrzymujące bariery, które zmniejszają konkurencję i wpływają na koszty utrzymania;</w:t>
      </w:r>
    </w:p>
    <w:p w14:paraId="4B50F983" w14:textId="77777777" w:rsidR="000E2005" w:rsidRPr="0018797E" w:rsidRDefault="000E2005" w:rsidP="000E2005">
      <w:pPr>
        <w:pStyle w:val="NormalHanging12a"/>
      </w:pPr>
      <w:r w:rsidRPr="0018797E">
        <w:rPr>
          <w:shd w:val="clear" w:color="auto" w:fill="FFFFFF" w:themeFill="background1"/>
        </w:rPr>
        <w:t>20</w:t>
      </w:r>
      <w:r w:rsidRPr="0018797E">
        <w:t>.</w:t>
      </w:r>
      <w:r w:rsidRPr="0018797E">
        <w:tab/>
      </w:r>
      <w:r w:rsidRPr="0018797E">
        <w:rPr>
          <w:shd w:val="clear" w:color="auto" w:fill="FFFFFF" w:themeFill="background1"/>
        </w:rPr>
        <w:t xml:space="preserve">zauważa, że uproszczenie procedur administracyjnych, takich jak procesy licencjonowania i certyfikacji oraz procesy usprawniania zgodności z przepisami, mają zasadnicze znaczenie dla zmniejszenia kosztów i niepewności prawa, szczególnie dla MŚP; </w:t>
      </w:r>
      <w:r w:rsidRPr="0018797E">
        <w:t>podkreśla, że usprawnione procesy umożliwiłyby MŚP skuteczniejsze działanie na jednolitym rynku;</w:t>
      </w:r>
    </w:p>
    <w:p w14:paraId="7C80E0FE" w14:textId="4253E312" w:rsidR="000E2005" w:rsidRPr="0018797E" w:rsidRDefault="000E2005" w:rsidP="000E2005">
      <w:pPr>
        <w:pStyle w:val="NormalHanging12a"/>
        <w:rPr>
          <w:bCs/>
          <w:iCs/>
        </w:rPr>
      </w:pPr>
      <w:r w:rsidRPr="0018797E">
        <w:t>21.</w:t>
      </w:r>
      <w:r w:rsidRPr="0018797E">
        <w:tab/>
        <w:t xml:space="preserve">zauważa, że niespójność we wdrażaniu, stosowaniu i koordynacji unijnych przepisów utrudnia skuteczne funkcjonowanie jednolitego rynku i mogłoby mieć negatywny wpływ na swobodny przepływ pracowników i specjalistów; podkreśla, że przeszkody </w:t>
      </w:r>
      <w:r w:rsidRPr="0018797E">
        <w:lastRenderedPageBreak/>
        <w:t>administracyjne i niespójne uznawanie kwalifikacji mogą zwiększyć niedobory siły roboczej i kwalifikacji oraz osłabić konkurencyjność UE; wzywa Komisję, aby kontynuowała ocenę stosowania dyrektywy w sprawie uznawania kwalifikacji zawodowych</w:t>
      </w:r>
      <w:r w:rsidRPr="0018797E">
        <w:rPr>
          <w:rStyle w:val="FootnoteReference"/>
          <w:iCs/>
        </w:rPr>
        <w:footnoteReference w:id="6"/>
      </w:r>
      <w:r w:rsidRPr="0018797E">
        <w:t xml:space="preserve"> w państwach członkowskich i określiła środki mające na celu wyeliminowanie niespójności w procesach uznawania kwalifikacji; podkreśla potrzebę usprawnionych, automatycznych procedur i przyspieszonych mechanizmów ułatwiających uznawanie kwalifikacji zawodowych, szczególnie w sektorach, w których występuje niedobór siły roboczej; wzywa Komisję do dopilnowania, aby przepisy jednolitego rynku dotyczące swobodnego przepływu pracowników były zgodne z obowiązującymi normami socjalnymi w państwach członkowskich, podkreślając jednocześnie, jak ważne jest usuwanie nieuzasadnionych barier; zdecydowanie popiera cyfryzację formularza A1, wymaganą na mocy rozporządzenia </w:t>
      </w:r>
      <w:r w:rsidR="009312B3">
        <w:t>(WE) nr</w:t>
      </w:r>
      <w:r w:rsidR="006202B7">
        <w:t xml:space="preserve"> </w:t>
      </w:r>
      <w:r w:rsidRPr="0018797E">
        <w:t>883/20</w:t>
      </w:r>
      <w:r w:rsidR="009312B3">
        <w:t>0</w:t>
      </w:r>
      <w:r w:rsidRPr="0018797E">
        <w:t>4</w:t>
      </w:r>
      <w:r w:rsidRPr="0018797E">
        <w:rPr>
          <w:rStyle w:val="FootnoteReference"/>
          <w:bCs/>
          <w:iCs/>
        </w:rPr>
        <w:footnoteReference w:id="7"/>
      </w:r>
      <w:r w:rsidRPr="0018797E">
        <w:t>, we wszystkich państwach członkowskich w celu usprawnienia procedur świadczenia usług transgranicznych;</w:t>
      </w:r>
    </w:p>
    <w:p w14:paraId="77445845" w14:textId="77777777" w:rsidR="000E2005" w:rsidRPr="0018797E" w:rsidRDefault="000E2005" w:rsidP="000E2005">
      <w:pPr>
        <w:pStyle w:val="NormalHanging12a"/>
        <w:rPr>
          <w:bCs/>
          <w:iCs/>
        </w:rPr>
      </w:pPr>
      <w:r w:rsidRPr="0018797E">
        <w:t>22.</w:t>
      </w:r>
      <w:r w:rsidRPr="0018797E">
        <w:tab/>
        <w:t>uważa, że jednolity rynek ma zasadnicze znaczenie w czasach kryzysu, jeżeli państwa członkowskie potrafią koordynować swoje działania; uważa w związku z tym, że niedawno przyjęty akt o sytuacji nadzwyczajnej na rynku wewnętrznym i odporności rynku wewnętrznego (IMERA)</w:t>
      </w:r>
      <w:r w:rsidRPr="0018797E">
        <w:rPr>
          <w:rStyle w:val="FootnoteReference"/>
          <w:bCs/>
          <w:iCs/>
        </w:rPr>
        <w:footnoteReference w:id="8"/>
      </w:r>
      <w:r w:rsidRPr="0018797E">
        <w:t xml:space="preserve"> będzie miał istotne znaczenie dla zapewnienia takiej koordynacji, aby zapobiec niedoborom i zapewnić sprawne funkcjonowanie jednolitego rynku, w tym swobodny przepływ podstawowych towarów i usług w całej UE;</w:t>
      </w:r>
    </w:p>
    <w:p w14:paraId="13FB53C4" w14:textId="77777777" w:rsidR="000E2005" w:rsidRPr="0018797E" w:rsidRDefault="000E2005" w:rsidP="000E2005">
      <w:pPr>
        <w:pStyle w:val="NormalHanging12a"/>
        <w:rPr>
          <w:iCs/>
        </w:rPr>
      </w:pPr>
      <w:r w:rsidRPr="0018797E">
        <w:t>23.</w:t>
      </w:r>
      <w:r w:rsidRPr="0018797E">
        <w:tab/>
        <w:t>przypomina o znaczeniu wspólnych standardów dla funkcjonowania jednolitego rynku; akcentuje znaczenie ochrony unijnego systemu normalizacji, przy jednoczesnym ulepszaniu go w obszarach, w których zidentyfikowano problemy, i utrzymania jego integralności operacyjnej;</w:t>
      </w:r>
    </w:p>
    <w:p w14:paraId="2BC9540E" w14:textId="77777777" w:rsidR="000E2005" w:rsidRPr="0018797E" w:rsidRDefault="000E2005" w:rsidP="000E2005">
      <w:pPr>
        <w:pStyle w:val="NormalHanging12a"/>
        <w:rPr>
          <w:bCs/>
          <w:iCs/>
        </w:rPr>
      </w:pPr>
      <w:r w:rsidRPr="0018797E">
        <w:t>24.</w:t>
      </w:r>
      <w:r w:rsidRPr="0018797E">
        <w:tab/>
        <w:t>wzywa Komisję do zidentyfikowania i zmniejszenia niepotrzebnych obciążeń sprawozdawczych poprzez wdrożenie ukierunkowanych środków, takich jak wydłużenie okresów sprawozdawczych, wyeliminowanie zbędnych obowiązków i zapewnienie proporcjonalności wymogów sektorowych, bez uszczerbku dla celów politycznych, które mają być osiągnięte dzięki tym wymogom; ponownie podkreśla potrzebę zapewnienia spójności obowiązków sprawozdawczych wynikających z różnych aktów prawnych UE; podkreśla znaczenie zasady „najpierw myśl na małą skalę”, podejścia dostosowanego do potrzeb MŚP i start-</w:t>
      </w:r>
      <w:proofErr w:type="spellStart"/>
      <w:r w:rsidRPr="0018797E">
        <w:t>upów</w:t>
      </w:r>
      <w:proofErr w:type="spellEnd"/>
      <w:r w:rsidRPr="0018797E">
        <w:t xml:space="preserve"> oraz wspierania cyfrowego otoczenia biznesu opartego na zaufanych tożsamościach cyfrowych, bezpiecznej wymianie danych i prawnie uznanych powiadomieniach cyfrowych; podkreśla znaczenie przestrzegania zasady jednorazowości w celu usprawnienia </w:t>
      </w:r>
      <w:r w:rsidRPr="0018797E">
        <w:lastRenderedPageBreak/>
        <w:t xml:space="preserve">procedur zgodności i ponownie podkreśla znaczenie harmonizacji formatów sprawozdawczych i interfejsów cyfrowych we wszystkich państwach członkowskich tam, gdzie jest to wykonalne; podkreśla, że uzasadnione i proporcjonalne wymogi sprawozdawcze są niezbędne do zapewnienia właściwego monitorowania i przestrzegania przyjętych przepisów, a tym samym do zapewnienia skutecznego egzekwowania przepisów i poprawy gromadzenia danych, które będą stanowić podstawę przyszłych inicjatyw politycznych; </w:t>
      </w:r>
    </w:p>
    <w:p w14:paraId="65AA6C5C" w14:textId="77777777" w:rsidR="000E2005" w:rsidRPr="0018797E" w:rsidRDefault="000E2005" w:rsidP="000E2005">
      <w:pPr>
        <w:pStyle w:val="NormalHanging12a"/>
      </w:pPr>
      <w:r w:rsidRPr="0018797E">
        <w:t>25.</w:t>
      </w:r>
      <w:r w:rsidRPr="0018797E">
        <w:tab/>
        <w:t>podkreśla, że nowe ramy prawne mają na celu poprawę wewnętrznego rynku towarów i wzmocnienie warunków wprowadzania szerokiej gamy produktów na rynek UE; wzywa Komisję do dokonania ich rewizji, aby nie ulegały dezaktualizacji i mogły dostosowywać się do zmieniających się wyzwań geopolitycznych oraz wymogów transformacji cyfrowej i ekologicznej, co tym samym zwiększy ogólną konkurencyjność unijnego jednolitego rynku;</w:t>
      </w:r>
    </w:p>
    <w:p w14:paraId="560BE601" w14:textId="77777777" w:rsidR="000E2005" w:rsidRPr="0018797E" w:rsidRDefault="000E2005" w:rsidP="000E2005">
      <w:pPr>
        <w:pStyle w:val="NormalHanging12a"/>
      </w:pPr>
      <w:r w:rsidRPr="0018797E">
        <w:t>26.</w:t>
      </w:r>
      <w:r w:rsidRPr="0018797E">
        <w:tab/>
        <w:t xml:space="preserve">przyjmuje do wiadomości zamiar Komisji, aby zaproponować </w:t>
      </w:r>
      <w:proofErr w:type="spellStart"/>
      <w:r w:rsidRPr="0018797E">
        <w:t>ogólnounijny</w:t>
      </w:r>
      <w:proofErr w:type="spellEnd"/>
      <w:r w:rsidRPr="0018797E">
        <w:t xml:space="preserve"> system prawny, „28. system prawny”, którego celem jest stworzenie otoczenia biznesowego wspierającego wzrost i rozwój MŚP, w tym mniejszych i innowacyjnych przedsiębiorstw, co zwiększy konkurencyjność UE na świecie; zauważa, że nowy system mógłby ułatwić opracowanie i wdrożenie przyszłego europejskiego portfela biznesowego;</w:t>
      </w:r>
    </w:p>
    <w:p w14:paraId="21839360" w14:textId="77777777" w:rsidR="000E2005" w:rsidRPr="0018797E" w:rsidRDefault="000E2005" w:rsidP="000E2005">
      <w:pPr>
        <w:pStyle w:val="Normal12a24b"/>
        <w:rPr>
          <w:rStyle w:val="BoldItalic"/>
        </w:rPr>
      </w:pPr>
      <w:r w:rsidRPr="0018797E">
        <w:rPr>
          <w:rStyle w:val="BoldItalic"/>
        </w:rPr>
        <w:t>Cyfryzacja i sztuczna inteligencja w służbie wzrostu i zarządzania</w:t>
      </w:r>
    </w:p>
    <w:p w14:paraId="4FB989A3" w14:textId="77777777" w:rsidR="000E2005" w:rsidRPr="0018797E" w:rsidRDefault="000E2005" w:rsidP="000E2005">
      <w:pPr>
        <w:pStyle w:val="Normal12a24b"/>
        <w:ind w:left="567" w:hanging="567"/>
      </w:pPr>
      <w:r w:rsidRPr="0018797E">
        <w:t>27.</w:t>
      </w:r>
      <w:r w:rsidRPr="0018797E">
        <w:tab/>
        <w:t>z zadowoleniem przyjmuje planowaną przez Komisję ocenę adekwatności dorobku prawnego w dziedzinie polityki cyfrowej; domaga się, aby Komisja oceniła i wyjaśniła ramy prawne i wzajemne zależności między obecnymi aktami prawnymi UE, takimi jak akt o usługach cyfrowych</w:t>
      </w:r>
      <w:r w:rsidRPr="0018797E">
        <w:rPr>
          <w:bCs/>
          <w:iCs/>
          <w:vertAlign w:val="superscript"/>
        </w:rPr>
        <w:footnoteReference w:id="9"/>
      </w:r>
      <w:r w:rsidRPr="0018797E">
        <w:t>, ogólne rozporządzenie o ochronie danych</w:t>
      </w:r>
      <w:r w:rsidRPr="0018797E">
        <w:rPr>
          <w:bCs/>
          <w:iCs/>
          <w:vertAlign w:val="superscript"/>
        </w:rPr>
        <w:footnoteReference w:id="10"/>
      </w:r>
      <w:r w:rsidRPr="0018797E">
        <w:t>, akt w sprawie sztucznej inteligencji</w:t>
      </w:r>
      <w:r w:rsidRPr="0018797E">
        <w:rPr>
          <w:rStyle w:val="FootnoteReference"/>
          <w:bCs/>
          <w:iCs/>
        </w:rPr>
        <w:footnoteReference w:id="11"/>
      </w:r>
      <w:r w:rsidRPr="0018797E">
        <w:t xml:space="preserve">, rozporządzenie w sprawie przejrzystości i </w:t>
      </w:r>
      <w:proofErr w:type="spellStart"/>
      <w:r w:rsidRPr="0018797E">
        <w:t>targetowania</w:t>
      </w:r>
      <w:proofErr w:type="spellEnd"/>
      <w:r w:rsidRPr="0018797E">
        <w:t xml:space="preserve"> reklamy </w:t>
      </w:r>
      <w:r w:rsidRPr="0018797E">
        <w:lastRenderedPageBreak/>
        <w:t>politycznej</w:t>
      </w:r>
      <w:r w:rsidRPr="0018797E">
        <w:rPr>
          <w:rStyle w:val="FootnoteReference"/>
        </w:rPr>
        <w:footnoteReference w:id="12"/>
      </w:r>
      <w:r w:rsidRPr="0018797E">
        <w:t>, dyrektywa w sprawie odpowiedzialności za produkty</w:t>
      </w:r>
      <w:r w:rsidRPr="0018797E">
        <w:rPr>
          <w:bCs/>
          <w:iCs/>
          <w:vertAlign w:val="superscript"/>
        </w:rPr>
        <w:footnoteReference w:id="13"/>
      </w:r>
      <w:r w:rsidRPr="0018797E">
        <w:t xml:space="preserve">, przepisy dotyczące handlu elektronicznego i </w:t>
      </w:r>
      <w:proofErr w:type="spellStart"/>
      <w:r w:rsidRPr="0018797E">
        <w:t>cyberbezpieczeństwa</w:t>
      </w:r>
      <w:proofErr w:type="spellEnd"/>
      <w:r w:rsidRPr="0018797E">
        <w:t>, a także między tymi aktami a przyszłymi inicjatywami ustawodawczymi przed ich przyjęciem przez Komisję; nalega, aby organy regulacyjne, sieci organów krajowych i zainteresowane strony były zaangażowane w ten proces, oraz podkreśla, że wyniki tego przeglądu powinny służyć do zidentyfikowania potencjalnie pokrywających się lub sprzecznych przepisów i potencjalnych konfliktów w zakresie egzekwowania przepisów oraz do wyeliminowania tych niedociągnięć; ponadto przegląd powinien służyć poprawie koordynacji między organami egzekwowania prawa w państwach członkowskich a służbami wewnętrznymi Komisji oraz poprawie zdolności przedsiębiorstw do inwestowania i wprowadzania innowacji w UE; nalega, aby Komisja dopilnowała, by wszystkie przepisy przyjęte i wdrożone w jej kadencji 2019–2024 były prawidłowo i spójnie wdrażane i stosowane we wszystkich państwach członkowskich;</w:t>
      </w:r>
      <w:r w:rsidRPr="0018797E">
        <w:rPr>
          <w:shd w:val="clear" w:color="auto" w:fill="FFFFFF" w:themeFill="background1"/>
        </w:rPr>
        <w:t xml:space="preserve"> </w:t>
      </w:r>
      <w:r w:rsidRPr="0018797E">
        <w:t xml:space="preserve">wzywa Komisję do uwzględnienia w planowanym pakiecie cyfrowym, jeżeli jest to konieczne i uzasadnione ocenami skutków, wniosków dotyczących uproszczenia mających na celu zwiększenie spójności, jasności prawa i przewidywalności dla wszystkich zainteresowanych stron, bez podważania uzgodnionych celów politycznych; </w:t>
      </w:r>
    </w:p>
    <w:p w14:paraId="1BE22229" w14:textId="77777777" w:rsidR="000E2005" w:rsidRPr="0018797E" w:rsidRDefault="000E2005" w:rsidP="000E2005">
      <w:pPr>
        <w:pStyle w:val="NormalHanging12a"/>
      </w:pPr>
      <w:r w:rsidRPr="0018797E">
        <w:t>28.</w:t>
      </w:r>
      <w:r w:rsidRPr="0018797E">
        <w:tab/>
        <w:t>odnotowuje przyszłe sprawozdanie Komisji na temat wzajemnych powiązań między aktem o usługach cyfrowych a innymi aktami prawnymi i zachęca Komisję do wyjaśnienia w tym sprawozdaniu sposobu, w jaki akt ten wchodzi w interakcje z innymi aktami prawnymi, w tym, jak rozwiązać ewentualny problem nakładania się przepisów, aby wesprzeć skuteczne wdrażanie i egzekwowanie unijnego zbioru prawa cyfrowego oraz zagwarantować pewność prawa dostawcom usług, użytkownikom, konsumentom i organom regulacyjnym;</w:t>
      </w:r>
    </w:p>
    <w:p w14:paraId="4D45409B" w14:textId="77777777" w:rsidR="000E2005" w:rsidRPr="0018797E" w:rsidRDefault="000E2005" w:rsidP="000E2005">
      <w:pPr>
        <w:pStyle w:val="NormalHanging12a"/>
        <w:rPr>
          <w:bCs/>
          <w:iCs/>
        </w:rPr>
      </w:pPr>
      <w:r w:rsidRPr="0018797E">
        <w:t>29.</w:t>
      </w:r>
      <w:r w:rsidRPr="0018797E">
        <w:tab/>
        <w:t xml:space="preserve">podkreśla, że polityka cyfrowa, zwłaszcza w przypadku nowych technologii lub w odniesieniu do wysoce złożonych technologii, powinna opierać się na iteracyjnym podejściu, uwzględniając również narzędzia takie jak zorganizowany dialog z przedsiębiorstwami i innymi zainteresowanymi stronami, </w:t>
      </w:r>
      <w:proofErr w:type="spellStart"/>
      <w:r w:rsidRPr="0018797E">
        <w:t>współregulację</w:t>
      </w:r>
      <w:proofErr w:type="spellEnd"/>
      <w:r w:rsidRPr="0018797E">
        <w:t xml:space="preserve"> i piaskownice regulacyjne, aby zapewnić praktyczne, proporcjonalne i nieulegające dezaktualizacji przepisy uwzględniające innowacje, przy jednoczesnym unikaniu niezamierzonych konsekwencji i ocenie wpływu niedawno przyjętych aktów prawnych przed nałożeniem nowych obowiązków; przypomina o znaczeniu wspólnych standardów dla funkcjonowania jednolitego rynku cyfrowego; podkreśla znaczenie wiodącej roli UE w normalizacji technologii cyfrowych, a także kluczowe znaczenie współpracy transatlantyckiej i międzynarodowej w tej dziedzinie dla zapewnienia suwerenności technologicznej i globalnej konkurencyjności, w szczególności w nowych obszarach, takich jak sztuczna inteligencja i usługi w chmurze;</w:t>
      </w:r>
    </w:p>
    <w:p w14:paraId="74CC5F9C" w14:textId="77777777" w:rsidR="000E2005" w:rsidRPr="0018797E" w:rsidRDefault="000E2005" w:rsidP="000E2005">
      <w:pPr>
        <w:pStyle w:val="NormalHanging12a"/>
      </w:pPr>
      <w:r w:rsidRPr="0018797E">
        <w:t>30.</w:t>
      </w:r>
      <w:r w:rsidRPr="0018797E">
        <w:tab/>
        <w:t xml:space="preserve">uznaje potencjał cyfryzacji i sztucznej inteligencji jako głównych narzędzi zwiększania konkurencyjności UE, zmniejszania obciążeń administracyjnych i usprawniania oraz automatyzacji procedur administracyjnych, w tym wymogów dotyczących </w:t>
      </w:r>
      <w:r w:rsidRPr="0018797E">
        <w:lastRenderedPageBreak/>
        <w:t>sprawozdawczości, zezwoleń, pozwoleń i zgodności, także ułatwiania wejścia na rynek i oceny mającego zastosowanie prawodawstwa; podkreśla, że konieczne jest wspieranie wykorzystania tych kluczowych narzędzi, aby zwiększyć wydajność regulacyjną, wspierać lepsze wdrażanie i monitorowanie przepisów dotyczących jednolitego rynku; zauważa, że zróżnicowany poziom cyfryzacji administracji w państwach członkowskich stanowi barierę transgraniczną;</w:t>
      </w:r>
    </w:p>
    <w:p w14:paraId="5F7CD3B0" w14:textId="77777777" w:rsidR="000E2005" w:rsidRPr="0018797E" w:rsidRDefault="000E2005" w:rsidP="000E2005">
      <w:pPr>
        <w:pStyle w:val="NormalHanging12a"/>
      </w:pPr>
      <w:r w:rsidRPr="0018797E">
        <w:t>31.</w:t>
      </w:r>
      <w:r w:rsidRPr="0018797E">
        <w:tab/>
        <w:t>uważa, że narzędzia i portale elektroniczne powinny być standardem dla wszystkich wymogów sprawozdawczych i administracyjnych oraz przewiduje ich integrację z cyfrowym punktem kompleksowej obsługi; wzywa Komisję do zbadania wykonalności takiego cyfrowego „punktu kompleksowej obsługi” poprzez rozszerzenie jednolitego portalu cyfrowego, aby ułatwić uproszczone podejście do dostępu do informacji, procedur administracyjnych i usług wsparcia dla przedsiębiorstw oraz udostępnić większą liczbę usług online zarówno obywatelom, jak i przedsiębiorstwom, w szczególności MŚP, z wykorzystaniem cyfrowej infrastruktury publicznej, takiej jak unijne portfele tożsamości cyfrowej i planowany europejski portfel biznesowy, oraz zapewnić spójność poprzez ujednolicenie takich narzędzi we wszystkich odpowiednich wnioskach ustawodawczych;</w:t>
      </w:r>
    </w:p>
    <w:p w14:paraId="52D1F60E" w14:textId="77777777" w:rsidR="000E2005" w:rsidRPr="0018797E" w:rsidRDefault="000E2005" w:rsidP="000E2005">
      <w:pPr>
        <w:pStyle w:val="NormalHanging12a"/>
      </w:pPr>
      <w:r w:rsidRPr="0018797E">
        <w:t>32.</w:t>
      </w:r>
      <w:r w:rsidRPr="0018797E">
        <w:tab/>
        <w:t>podkreśla, jak ważna jest interoperacyjność w zmniejszeniu obciążeń administracyjnych, w szczególności uczynienie obowiązków sprawozdawczych spójnymi i łatwymi do wypełnienia, oraz wzywa Komisję do dalszego badania sposobów poprawy i cyfryzacji procedur sprawozdawczych, aby poprawić wymianę informacji i przestrzeganie przepisów bez nadmiernego obciążania przedsiębiorstw, łącznie ze zautomatyzowaną sprawozdawczością między przedsiębiorstwami a administracją publiczną; z zadowoleniem przyjmuje system techniczny oparty na zasadzie jednorazowości jako kluczowe narzędzie umożliwiające zautomatyzowaną transgraniczną wymianę danych i zmniejszające powielające się obciążenia sprawozdawcze dla przedsiębiorstw; podkreśla, że wszelkie wymogi dotyczące udostępniania danych i sprawozdawczości powinny być zaprojektowane z myślą o cyfryzacji, tak aby mogły być oparte na danych i zautomatyzowane;</w:t>
      </w:r>
    </w:p>
    <w:p w14:paraId="5BD95F3C" w14:textId="77777777" w:rsidR="000E2005" w:rsidRPr="0018797E" w:rsidRDefault="000E2005" w:rsidP="000E2005">
      <w:pPr>
        <w:pStyle w:val="NormalHanging12a"/>
      </w:pPr>
      <w:r w:rsidRPr="0018797E">
        <w:t>33.</w:t>
      </w:r>
      <w:r w:rsidRPr="0018797E">
        <w:tab/>
        <w:t>wzywa Komisję do usprawnienia obecnych narzędzi informatycznych dostępnych dla podmiotów gospodarczych i odpowiednich organów krajowych w celu zgłaszania i przekazywania istotnych informacji, takich jak informacje o wypadkach, środkach naprawczych i inne dane dotyczące bezpieczeństwa produktów na jednolitym rynku; podkreśla, że należy opracować jedno narzędzie informatyczne w celu ograniczenia czasu i kosztów oraz poprawy zgodności i egzekwowania przepisów;</w:t>
      </w:r>
    </w:p>
    <w:p w14:paraId="3D276D12" w14:textId="77777777" w:rsidR="000E2005" w:rsidRPr="0018797E" w:rsidRDefault="000E2005" w:rsidP="000E2005">
      <w:pPr>
        <w:pStyle w:val="NormalHanging12a"/>
      </w:pPr>
      <w:r w:rsidRPr="0018797E">
        <w:t>34.</w:t>
      </w:r>
      <w:r w:rsidRPr="0018797E">
        <w:tab/>
        <w:t>wzywa Komisję do usprawnienia opracowywania narzędzi na rzecz zgodności, takich jak kodeksy praktyk, poprzez zagwarantowanie, że pozostają one w granicach podstawowych zobowiązań prawnych, są możliwe do wdrożenia w praktyce przez przedsiębiorstwa każdej wielkości i są opracowywane w drodze znaczących i terminowych konsultacji z zainteresowanymi stronami;</w:t>
      </w:r>
    </w:p>
    <w:p w14:paraId="2C901113" w14:textId="77777777" w:rsidR="000E2005" w:rsidRPr="0018797E" w:rsidRDefault="000E2005" w:rsidP="000E2005">
      <w:pPr>
        <w:pStyle w:val="NormalHanging12a"/>
      </w:pPr>
      <w:r w:rsidRPr="0018797E">
        <w:t>35.</w:t>
      </w:r>
      <w:r w:rsidRPr="0018797E">
        <w:tab/>
        <w:t xml:space="preserve">podkreśla potrzebę nowoczesnej i solidnej infrastruktury cyfrowej, aby ułatwić realizację unijnych ambicji w zakresie cyfryzacji i pionierskich technologii; wzywa do dalszych inwestycji w rozwój „autostrad cyfrowych”, które obejmują transgraniczne sieci szerokopasmowe o dużej przepustowości, korytarze 5G, bezpieczną infrastrukturę chmurową i brzegową oraz </w:t>
      </w:r>
      <w:proofErr w:type="spellStart"/>
      <w:r w:rsidRPr="0018797E">
        <w:t>interoperacyjne</w:t>
      </w:r>
      <w:proofErr w:type="spellEnd"/>
      <w:r w:rsidRPr="0018797E">
        <w:t xml:space="preserve"> cyfrowe usługi publiczne;</w:t>
      </w:r>
    </w:p>
    <w:p w14:paraId="2DEBCEF5" w14:textId="77777777" w:rsidR="000E2005" w:rsidRPr="0018797E" w:rsidRDefault="000E2005" w:rsidP="000E2005">
      <w:pPr>
        <w:pStyle w:val="NormalHanging12a"/>
      </w:pPr>
      <w:r w:rsidRPr="0018797E">
        <w:lastRenderedPageBreak/>
        <w:t>36.</w:t>
      </w:r>
      <w:r w:rsidRPr="0018797E">
        <w:tab/>
        <w:t>apeluje o zharmonizowane wprowadzenie do prawodawstwa UE dotyczącego produktów etykiet cyfrowych i cyfrowego paszportu produktu; podkreśla ich potencjał zmniejszenia obciążeń związanych z przestrzeganiem przepisów, zwiększenia dostępu konsumentów do dokładnych informacji oraz wspierania wielojęzycznej interoperacyjności, przy jednoczesnym zachowaniu możliwości dołączania do produktów konsumenckich istotnych informacji związanych z bezpieczeństwem w formie papierowej; wzywa Komisję do ułatwienia opracowywania zharmonizowanych norm i szczegółowych wytycznych, aby uniknąć rozdrobnienia i ułatwić MŚP udział w handlu transgranicznym;</w:t>
      </w:r>
    </w:p>
    <w:p w14:paraId="4A6F6AAA" w14:textId="77777777" w:rsidR="000E2005" w:rsidRPr="0018797E" w:rsidRDefault="000E2005" w:rsidP="000E2005">
      <w:pPr>
        <w:pStyle w:val="Normal12a24b"/>
        <w:rPr>
          <w:rStyle w:val="BoldItalic"/>
        </w:rPr>
      </w:pPr>
      <w:r w:rsidRPr="0018797E">
        <w:rPr>
          <w:rStyle w:val="BoldItalic"/>
        </w:rPr>
        <w:t>Poprawa ochrony konsumentów w erze cyfrowej</w:t>
      </w:r>
    </w:p>
    <w:p w14:paraId="2F5BD78C" w14:textId="77777777" w:rsidR="000E2005" w:rsidRPr="0018797E" w:rsidRDefault="000E2005" w:rsidP="000E2005">
      <w:pPr>
        <w:pStyle w:val="Normal12a24b"/>
        <w:ind w:left="567" w:hanging="567"/>
      </w:pPr>
      <w:r w:rsidRPr="0018797E">
        <w:t>37.</w:t>
      </w:r>
      <w:r w:rsidRPr="0018797E">
        <w:tab/>
        <w:t>podkreśla, że usprawnienie przepisów dotyczących ochrony konsumentów nie powinno obniżać obecnego wysokiego standardu ochrony konsumentów w UE; dostrzega znaczne postępy poczynione w ulepszaniu przepisów dotyczących ochrony konsumentów i dostosowywaniu ich do nowych realiów technologicznych i do zrównoważonego rozwoju; podkreśla, że konieczne jest dalsze wzmacnianie ochrony konsumentów, na przykład w obszarze handlu elektronicznego, w odniesieniu do fałszywych lub wprowadzających w błąd informacji o produktach; podkreśla, że ważne jest skuteczne egzekwowanie i dokładna analiza przepisów dotyczących ochrony konsumentów i ich wpływu; nalega, aby nowe inicjatywy ustawodawcze koncentrowały się na zlikwidowaniu luk w obowiązujących przepisach lub na rozwiązaniu nowych uzasadnionych wyzwań, które nie zostały rozwiązane w obecnych ramach prawnych;</w:t>
      </w:r>
    </w:p>
    <w:p w14:paraId="7168DCE4" w14:textId="77777777" w:rsidR="000E2005" w:rsidRPr="0018797E" w:rsidRDefault="000E2005" w:rsidP="000E2005">
      <w:pPr>
        <w:pStyle w:val="NormalHanging12a"/>
      </w:pPr>
      <w:r w:rsidRPr="0018797E">
        <w:t>38.</w:t>
      </w:r>
      <w:r w:rsidRPr="0018797E">
        <w:tab/>
        <w:t>podkreśla, że szybki rozwój platform cyfrowych i handlu elektronicznego wprowadził nową dynamikę rynku i stworzył zaawansowane możliwości oraz wyzwania i zagrożenia dla użytkowników; uznaje, że akt o rynkach cyfrowych</w:t>
      </w:r>
      <w:r w:rsidRPr="0018797E">
        <w:rPr>
          <w:rStyle w:val="FootnoteReference"/>
        </w:rPr>
        <w:footnoteReference w:id="14"/>
      </w:r>
      <w:r w:rsidRPr="0018797E">
        <w:t xml:space="preserve"> i akt o usługach cyfrowych stanowią ważne instrumenty legislacyjne zapewniające uczciwą konkurencję, </w:t>
      </w:r>
      <w:proofErr w:type="spellStart"/>
      <w:r w:rsidRPr="0018797E">
        <w:t>kontestowalność</w:t>
      </w:r>
      <w:proofErr w:type="spellEnd"/>
      <w:r w:rsidRPr="0018797E">
        <w:t xml:space="preserve"> i uczciwość na platformach cyfrowych, a jednocześnie wspierają bezpieczniejsze, oparte na zaufaniu i bardziej przejrzyste środowisko cyfrowe oraz ochronę konsumentów w gospodarce cyfrowej; apeluje o właściwe egzekwowanie tych przepisów technologicznych, aby zapewnić prawdziwy, autonomiczny i świadomy wybór i ochronę konsumentów oraz uczciwą konkurencję;</w:t>
      </w:r>
    </w:p>
    <w:p w14:paraId="5EEEF829" w14:textId="77777777" w:rsidR="000E2005" w:rsidRPr="0018797E" w:rsidRDefault="000E2005" w:rsidP="000E2005">
      <w:pPr>
        <w:pStyle w:val="NormalHanging12a"/>
        <w:rPr>
          <w:bCs/>
          <w:iCs/>
        </w:rPr>
      </w:pPr>
      <w:r w:rsidRPr="0018797E">
        <w:t>39.</w:t>
      </w:r>
      <w:r w:rsidRPr="0018797E">
        <w:tab/>
        <w:t xml:space="preserve">potwierdza, że przepisy dotyczące ochrony konsumentów powinny pozostać głównie oparte na zasadach i spójne w różnych instrumentach prawnych, ale powinny również umożliwiać przepisy szczegółowe, jeśli jest to konieczne z przyczyn pewności prawa, zarówno dla przedsiębiorstw, jak i konsumentów; podkreśla znaczenie unikania nadmiernych lub zbędnych obowiązków informacyjnych, które mogą nakładać niepotrzebne obciążenia na przedsiębiorstwa bez poprawy zrozumienia przez konsumentów; apeluje o wprowadzenie proporcjonalnych i ukierunkowanych na cel obowiązków informowania konsumentów; zauważa, że zgodnie z tablicą wyników sytuacji konsumentów z 2025 r. większość konsumentów nie jest świadoma swoich </w:t>
      </w:r>
      <w:r w:rsidRPr="0018797E">
        <w:lastRenderedPageBreak/>
        <w:t>praw; wzywa Komisję i państwa członkowskie do opracowania kampanii zwiększających świadomość konsumentów;</w:t>
      </w:r>
    </w:p>
    <w:p w14:paraId="10B314F0" w14:textId="77777777" w:rsidR="000E2005" w:rsidRPr="0018797E" w:rsidRDefault="000E2005" w:rsidP="000E2005">
      <w:pPr>
        <w:pStyle w:val="NormalHanging12a"/>
        <w:rPr>
          <w:bCs/>
          <w:iCs/>
        </w:rPr>
      </w:pPr>
      <w:r w:rsidRPr="0018797E">
        <w:t>40.</w:t>
      </w:r>
      <w:r w:rsidRPr="0018797E">
        <w:tab/>
        <w:t>wzywa Komisję do wykorzystania narzędzi cyfrowych w celu zwiększenia przejrzystości i zaufania konsumentów do transakcji transgranicznych; apeluje o skuteczne wdrożenie mechanizmów dochodzenia roszczeń przez konsumentów, w tym tych dotyczących zbiorowego dochodzenia roszczeń, i o pełne egzekwowanie praw konsumentów w UE, w tym poprzez przegląd rozporządzenia w sprawie współpracy w dziedzinie ochrony konsumentów</w:t>
      </w:r>
      <w:r w:rsidRPr="0018797E">
        <w:rPr>
          <w:rStyle w:val="FootnoteReference"/>
        </w:rPr>
        <w:footnoteReference w:id="15"/>
      </w:r>
      <w:r w:rsidRPr="0018797E">
        <w:t xml:space="preserve">, ze szczególnym naciskiem na poprawę egzekwowania transgranicznego; podkreśla ponadto znaczenie przeglądu rozporządzenia w sprawie współpracy w dziedzinie ochrony konsumentów dla poprawy transgranicznego egzekwowania przepisów i przeciwdziałania nieuczciwym </w:t>
      </w:r>
      <w:proofErr w:type="spellStart"/>
      <w:r w:rsidRPr="0018797E">
        <w:t>zachowaniom</w:t>
      </w:r>
      <w:proofErr w:type="spellEnd"/>
      <w:r w:rsidRPr="0018797E">
        <w:t>, w szczególności ze strony przedsiębiorców spoza UE; zwraca uwagę na znaczenie wzmocnienia współpracy między różnymi właściwymi organami państw członkowskich, w tym poprzez skoordynowane projekty w zakresie wspólnego egzekwowania prawa i usprawnienie wymiany informacji;</w:t>
      </w:r>
    </w:p>
    <w:p w14:paraId="4136FF13" w14:textId="77777777" w:rsidR="000E2005" w:rsidRPr="0018797E" w:rsidRDefault="000E2005" w:rsidP="000E2005">
      <w:pPr>
        <w:pStyle w:val="NormalCenter12a"/>
      </w:pPr>
      <w:r w:rsidRPr="0018797E">
        <w:t>°</w:t>
      </w:r>
    </w:p>
    <w:p w14:paraId="75E4451B" w14:textId="77777777" w:rsidR="000E2005" w:rsidRPr="0018797E" w:rsidRDefault="000E2005" w:rsidP="000E2005">
      <w:pPr>
        <w:pStyle w:val="NormalCenter12a"/>
      </w:pPr>
      <w:r w:rsidRPr="0018797E">
        <w:t>°</w:t>
      </w:r>
      <w:r w:rsidRPr="0018797E">
        <w:tab/>
        <w:t>°</w:t>
      </w:r>
    </w:p>
    <w:p w14:paraId="513C0868" w14:textId="3B3611D2" w:rsidR="0018797E" w:rsidRPr="0018797E" w:rsidRDefault="000E2005" w:rsidP="0018797E">
      <w:pPr>
        <w:pStyle w:val="NormalHanging12a"/>
      </w:pPr>
      <w:r w:rsidRPr="0018797E">
        <w:t>41.</w:t>
      </w:r>
      <w:r w:rsidRPr="0018797E">
        <w:tab/>
        <w:t>zobowiązuje swoją przewodniczącą do przekazania niniejszej rezolucji Radzie i Komisji.</w:t>
      </w:r>
    </w:p>
    <w:p w14:paraId="7DF8D592" w14:textId="036544A7" w:rsidR="00E365E1" w:rsidRPr="0018797E" w:rsidRDefault="00E365E1" w:rsidP="00AE2834"/>
    <w:sectPr w:rsidR="00E365E1" w:rsidRPr="0018797E" w:rsidSect="001879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C2C79" w14:textId="77777777" w:rsidR="00AE2834" w:rsidRPr="0018797E" w:rsidRDefault="00AE2834">
      <w:r w:rsidRPr="0018797E">
        <w:separator/>
      </w:r>
    </w:p>
  </w:endnote>
  <w:endnote w:type="continuationSeparator" w:id="0">
    <w:p w14:paraId="248487B6" w14:textId="77777777" w:rsidR="00AE2834" w:rsidRPr="0018797E" w:rsidRDefault="00AE2834">
      <w:r w:rsidRPr="0018797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5639D" w14:textId="77777777" w:rsidR="00064002" w:rsidRPr="0018797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E4DE2" w14:textId="77777777" w:rsidR="00064002" w:rsidRPr="0018797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65AA2" w14:textId="77777777" w:rsidR="00064002" w:rsidRPr="0018797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B1F03" w14:textId="77777777" w:rsidR="00AE2834" w:rsidRPr="0018797E" w:rsidRDefault="00AE2834">
      <w:r w:rsidRPr="0018797E">
        <w:separator/>
      </w:r>
    </w:p>
  </w:footnote>
  <w:footnote w:type="continuationSeparator" w:id="0">
    <w:p w14:paraId="5949161E" w14:textId="77777777" w:rsidR="00AE2834" w:rsidRPr="0018797E" w:rsidRDefault="00AE2834">
      <w:r w:rsidRPr="0018797E">
        <w:continuationSeparator/>
      </w:r>
    </w:p>
  </w:footnote>
  <w:footnote w:id="1">
    <w:p w14:paraId="3E0BCB4C" w14:textId="692E308D" w:rsidR="000E2005" w:rsidRPr="0018797E" w:rsidRDefault="000E2005" w:rsidP="0018797E">
      <w:pPr>
        <w:pStyle w:val="FootnoteText"/>
        <w:ind w:left="567" w:hanging="567"/>
        <w:rPr>
          <w:sz w:val="24"/>
          <w:lang w:val="pl-PL"/>
        </w:rPr>
      </w:pPr>
      <w:r w:rsidRPr="0018797E">
        <w:rPr>
          <w:rStyle w:val="FootnoteReference"/>
          <w:sz w:val="24"/>
          <w:lang w:val="pl-PL"/>
        </w:rPr>
        <w:footnoteRef/>
      </w:r>
      <w:r w:rsidR="0018797E" w:rsidRPr="0018797E">
        <w:rPr>
          <w:sz w:val="24"/>
          <w:lang w:val="pl-PL"/>
        </w:rPr>
        <w:t xml:space="preserve"> </w:t>
      </w:r>
      <w:r w:rsidR="0018797E" w:rsidRPr="0018797E">
        <w:rPr>
          <w:sz w:val="24"/>
          <w:lang w:val="pl-PL"/>
        </w:rPr>
        <w:tab/>
      </w:r>
      <w:r w:rsidRPr="0018797E">
        <w:rPr>
          <w:sz w:val="24"/>
          <w:lang w:val="pl-PL"/>
        </w:rPr>
        <w:t xml:space="preserve">Dz.U. C 214 z </w:t>
      </w:r>
      <w:proofErr w:type="gramStart"/>
      <w:r w:rsidRPr="0018797E">
        <w:rPr>
          <w:sz w:val="24"/>
          <w:lang w:val="pl-PL"/>
        </w:rPr>
        <w:t>16.6.2023</w:t>
      </w:r>
      <w:proofErr w:type="gramEnd"/>
      <w:r w:rsidRPr="0018797E">
        <w:rPr>
          <w:sz w:val="24"/>
          <w:lang w:val="pl-PL"/>
        </w:rPr>
        <w:t>, s. 8.</w:t>
      </w:r>
    </w:p>
  </w:footnote>
  <w:footnote w:id="2">
    <w:p w14:paraId="6582FCE5" w14:textId="00D8B0ED" w:rsidR="000E2005" w:rsidRPr="0018797E" w:rsidRDefault="000E2005" w:rsidP="0018797E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18797E">
        <w:rPr>
          <w:rStyle w:val="FootnoteReference"/>
          <w:sz w:val="24"/>
          <w:lang w:val="pl-PL"/>
        </w:rPr>
        <w:footnoteRef/>
      </w:r>
      <w:r w:rsidR="0018797E" w:rsidRPr="0018797E">
        <w:rPr>
          <w:sz w:val="24"/>
          <w:lang w:val="pl-PL"/>
        </w:rPr>
        <w:t xml:space="preserve"> </w:t>
      </w:r>
      <w:r w:rsidR="0018797E" w:rsidRPr="0018797E">
        <w:rPr>
          <w:sz w:val="24"/>
          <w:lang w:val="pl-PL"/>
        </w:rPr>
        <w:tab/>
      </w:r>
      <w:hyperlink r:id="rId1" w:history="1">
        <w:r w:rsidRPr="0018797E">
          <w:rPr>
            <w:rStyle w:val="Hyperlink"/>
            <w:sz w:val="24"/>
            <w:lang w:val="pl-PL"/>
          </w:rPr>
          <w:t>https://single-market-economy.ec.europa.eu/publications/2025-annual-single-market-and-competitiveness-report_en</w:t>
        </w:r>
      </w:hyperlink>
      <w:r w:rsidRPr="0018797E">
        <w:rPr>
          <w:sz w:val="24"/>
          <w:lang w:val="pl-PL"/>
        </w:rPr>
        <w:t>;</w:t>
      </w:r>
    </w:p>
    <w:p w14:paraId="6D2CD8AC" w14:textId="140835BD" w:rsidR="000E2005" w:rsidRPr="0018797E" w:rsidRDefault="0018797E" w:rsidP="0018797E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18797E">
        <w:rPr>
          <w:sz w:val="24"/>
          <w:lang w:val="pl-PL"/>
        </w:rPr>
        <w:t xml:space="preserve"> </w:t>
      </w:r>
      <w:r w:rsidRPr="0018797E">
        <w:rPr>
          <w:sz w:val="24"/>
          <w:lang w:val="pl-PL"/>
        </w:rPr>
        <w:tab/>
      </w:r>
      <w:hyperlink r:id="rId2" w:history="1">
        <w:r w:rsidR="000E2005" w:rsidRPr="0018797E">
          <w:rPr>
            <w:rStyle w:val="Hyperlink"/>
            <w:sz w:val="24"/>
            <w:lang w:val="pl-PL"/>
          </w:rPr>
          <w:t>https://documents1.worldbank.org/curated/en/600621587713071010/pdf/Doing-Business-in-the-European-Union-2020-Greece-Ireland-and-Italy.pdf</w:t>
        </w:r>
      </w:hyperlink>
      <w:r w:rsidR="000E2005" w:rsidRPr="0018797E">
        <w:rPr>
          <w:sz w:val="24"/>
          <w:lang w:val="pl-PL"/>
        </w:rPr>
        <w:t xml:space="preserve">; </w:t>
      </w:r>
    </w:p>
    <w:p w14:paraId="6C812582" w14:textId="1A024BA3" w:rsidR="000E2005" w:rsidRPr="0018797E" w:rsidRDefault="0018797E" w:rsidP="0018797E">
      <w:pPr>
        <w:pStyle w:val="FootnoteText"/>
        <w:ind w:left="567" w:hanging="567"/>
        <w:rPr>
          <w:sz w:val="24"/>
          <w:lang w:val="pl-PL"/>
        </w:rPr>
      </w:pPr>
      <w:r w:rsidRPr="0018797E">
        <w:rPr>
          <w:sz w:val="24"/>
          <w:lang w:val="pl-PL"/>
        </w:rPr>
        <w:t xml:space="preserve"> </w:t>
      </w:r>
      <w:r w:rsidRPr="0018797E">
        <w:rPr>
          <w:sz w:val="24"/>
          <w:lang w:val="pl-PL"/>
        </w:rPr>
        <w:tab/>
      </w:r>
      <w:hyperlink r:id="rId3" w:history="1">
        <w:r w:rsidR="000E2005" w:rsidRPr="0018797E">
          <w:rPr>
            <w:rStyle w:val="Hyperlink"/>
            <w:sz w:val="24"/>
            <w:lang w:val="pl-PL"/>
          </w:rPr>
          <w:t>https://www.weforum.org/stories/2024/09/wind-energy-permitting-processes-europe/</w:t>
        </w:r>
      </w:hyperlink>
      <w:r w:rsidR="000E2005" w:rsidRPr="0018797E">
        <w:rPr>
          <w:sz w:val="24"/>
          <w:lang w:val="pl-PL"/>
        </w:rPr>
        <w:t xml:space="preserve">. </w:t>
      </w:r>
    </w:p>
  </w:footnote>
  <w:footnote w:id="3">
    <w:p w14:paraId="3188E324" w14:textId="0C7A4BF2" w:rsidR="000E2005" w:rsidRPr="0018797E" w:rsidRDefault="000E2005" w:rsidP="0018797E">
      <w:pPr>
        <w:pStyle w:val="FootnoteText"/>
        <w:ind w:left="567" w:hanging="567"/>
        <w:rPr>
          <w:sz w:val="24"/>
          <w:lang w:val="pl-PL"/>
        </w:rPr>
      </w:pPr>
      <w:r w:rsidRPr="0018797E">
        <w:rPr>
          <w:rStyle w:val="FootnoteReference"/>
          <w:sz w:val="24"/>
          <w:lang w:val="pl-PL"/>
        </w:rPr>
        <w:footnoteRef/>
      </w:r>
      <w:r w:rsidR="0018797E" w:rsidRPr="0018797E">
        <w:rPr>
          <w:sz w:val="24"/>
          <w:lang w:val="pl-PL"/>
        </w:rPr>
        <w:t xml:space="preserve"> </w:t>
      </w:r>
      <w:r w:rsidR="0018797E" w:rsidRPr="0018797E">
        <w:rPr>
          <w:sz w:val="24"/>
          <w:lang w:val="pl-PL"/>
        </w:rPr>
        <w:tab/>
      </w:r>
      <w:r w:rsidRPr="0018797E">
        <w:rPr>
          <w:sz w:val="24"/>
          <w:lang w:val="pl-PL"/>
        </w:rPr>
        <w:t xml:space="preserve">Porozumienie międzyinstytucjonalne z dnia 13 kwietnia 2016 r. pomiędzy Parlamentem Europejskim, Radą Unii Europejskiej i Komisją Europejską w sprawie lepszego stanowienia prawa (Dz.U. L 123 z </w:t>
      </w:r>
      <w:proofErr w:type="gramStart"/>
      <w:r w:rsidRPr="0018797E">
        <w:rPr>
          <w:sz w:val="24"/>
          <w:lang w:val="pl-PL"/>
        </w:rPr>
        <w:t>12.5.2016</w:t>
      </w:r>
      <w:proofErr w:type="gramEnd"/>
      <w:r w:rsidRPr="0018797E">
        <w:rPr>
          <w:sz w:val="24"/>
          <w:lang w:val="pl-PL"/>
        </w:rPr>
        <w:t xml:space="preserve">, s. 1, ELI: </w:t>
      </w:r>
      <w:hyperlink r:id="rId4" w:history="1">
        <w:r w:rsidRPr="0018797E">
          <w:rPr>
            <w:rStyle w:val="Hyperlink"/>
            <w:sz w:val="24"/>
            <w:lang w:val="pl-PL"/>
          </w:rPr>
          <w:t>http://data.europa.eu/eli/agree_interinstit/2016/512/oj</w:t>
        </w:r>
      </w:hyperlink>
      <w:r w:rsidRPr="0018797E">
        <w:rPr>
          <w:sz w:val="24"/>
          <w:lang w:val="pl-PL"/>
        </w:rPr>
        <w:t>).</w:t>
      </w:r>
    </w:p>
  </w:footnote>
  <w:footnote w:id="4">
    <w:p w14:paraId="6B7E99BE" w14:textId="4CA57879" w:rsidR="000E2005" w:rsidRPr="0018797E" w:rsidRDefault="000E2005" w:rsidP="0018797E">
      <w:pPr>
        <w:pStyle w:val="FootnoteText"/>
        <w:ind w:left="567" w:hanging="567"/>
        <w:rPr>
          <w:sz w:val="24"/>
          <w:lang w:val="pl-PL"/>
        </w:rPr>
      </w:pPr>
      <w:r w:rsidRPr="0018797E">
        <w:rPr>
          <w:rStyle w:val="FootnoteReference"/>
          <w:sz w:val="24"/>
          <w:lang w:val="pl-PL"/>
        </w:rPr>
        <w:footnoteRef/>
      </w:r>
      <w:r w:rsidR="0018797E" w:rsidRPr="0018797E">
        <w:rPr>
          <w:sz w:val="24"/>
          <w:lang w:val="pl-PL"/>
        </w:rPr>
        <w:t xml:space="preserve"> </w:t>
      </w:r>
      <w:r w:rsidR="0018797E" w:rsidRPr="0018797E">
        <w:rPr>
          <w:sz w:val="24"/>
          <w:lang w:val="pl-PL"/>
        </w:rPr>
        <w:tab/>
      </w:r>
      <w:r w:rsidRPr="0018797E">
        <w:rPr>
          <w:sz w:val="24"/>
          <w:lang w:val="pl-PL"/>
        </w:rPr>
        <w:t xml:space="preserve">Dyrektywa 2006/123/WE Parlamentu Europejskiego i Rady z dnia 12 grudnia 2006 r. dotycząca usług na rynku wewnętrznym (Dz.U. L 376 z 27.12.2006, s. 36, ELI: </w:t>
      </w:r>
      <w:hyperlink r:id="rId5" w:history="1">
        <w:r w:rsidRPr="0018797E">
          <w:rPr>
            <w:rStyle w:val="Hyperlink"/>
            <w:sz w:val="24"/>
            <w:lang w:val="pl-PL"/>
          </w:rPr>
          <w:t>http://data.europa.eu/eli/dir/2006/123/oj</w:t>
        </w:r>
      </w:hyperlink>
      <w:r w:rsidRPr="0018797E">
        <w:rPr>
          <w:sz w:val="24"/>
          <w:lang w:val="pl-PL"/>
        </w:rPr>
        <w:t>).</w:t>
      </w:r>
    </w:p>
  </w:footnote>
  <w:footnote w:id="5">
    <w:p w14:paraId="72DCFAAB" w14:textId="6CDBBA2B" w:rsidR="000E2005" w:rsidRPr="0018797E" w:rsidRDefault="000E2005" w:rsidP="0018797E">
      <w:pPr>
        <w:pStyle w:val="FootnoteText"/>
        <w:ind w:left="567" w:hanging="567"/>
        <w:rPr>
          <w:sz w:val="24"/>
          <w:lang w:val="pl-PL"/>
        </w:rPr>
      </w:pPr>
      <w:r w:rsidRPr="0018797E">
        <w:rPr>
          <w:rStyle w:val="FootnoteReference"/>
          <w:sz w:val="24"/>
          <w:lang w:val="pl-PL"/>
        </w:rPr>
        <w:footnoteRef/>
      </w:r>
      <w:r w:rsidR="0018797E" w:rsidRPr="0018797E">
        <w:rPr>
          <w:sz w:val="24"/>
          <w:shd w:val="clear" w:color="auto" w:fill="FFFFFF"/>
          <w:lang w:val="pl-PL"/>
        </w:rPr>
        <w:t xml:space="preserve"> </w:t>
      </w:r>
      <w:r w:rsidR="0018797E" w:rsidRPr="0018797E">
        <w:rPr>
          <w:sz w:val="24"/>
          <w:shd w:val="clear" w:color="auto" w:fill="FFFFFF"/>
          <w:lang w:val="pl-PL"/>
        </w:rPr>
        <w:tab/>
      </w:r>
      <w:r w:rsidRPr="0018797E">
        <w:rPr>
          <w:sz w:val="24"/>
          <w:shd w:val="clear" w:color="auto" w:fill="FFFFFF"/>
          <w:lang w:val="pl-PL"/>
        </w:rPr>
        <w:t>Dyrektywa (UE) 2015/1535 Parlamentu Europejskiego i Rady z dnia 9 września 2015 r. ustanawiająca procedurę udzielania informacji w dziedzinie przepisów technicznych oraz zasad dotyczących usług społeczeństwa informacyjnego (</w:t>
      </w:r>
      <w:r w:rsidRPr="00430113">
        <w:rPr>
          <w:rStyle w:val="Emphasis"/>
          <w:i w:val="0"/>
          <w:iCs w:val="0"/>
          <w:sz w:val="24"/>
          <w:shd w:val="clear" w:color="auto" w:fill="FFFFFF"/>
          <w:lang w:val="pl-PL"/>
        </w:rPr>
        <w:t xml:space="preserve">Dz.U. L 241 z </w:t>
      </w:r>
      <w:proofErr w:type="gramStart"/>
      <w:r w:rsidRPr="00430113">
        <w:rPr>
          <w:rStyle w:val="Emphasis"/>
          <w:i w:val="0"/>
          <w:iCs w:val="0"/>
          <w:sz w:val="24"/>
          <w:shd w:val="clear" w:color="auto" w:fill="FFFFFF"/>
          <w:lang w:val="pl-PL"/>
        </w:rPr>
        <w:t>17.9.2015</w:t>
      </w:r>
      <w:proofErr w:type="gramEnd"/>
      <w:r w:rsidRPr="00430113">
        <w:rPr>
          <w:rStyle w:val="Emphasis"/>
          <w:i w:val="0"/>
          <w:iCs w:val="0"/>
          <w:sz w:val="24"/>
          <w:shd w:val="clear" w:color="auto" w:fill="FFFFFF"/>
          <w:lang w:val="pl-PL"/>
        </w:rPr>
        <w:t>, s. 1</w:t>
      </w:r>
      <w:r w:rsidRPr="0018797E">
        <w:rPr>
          <w:rStyle w:val="Emphasis"/>
          <w:sz w:val="24"/>
          <w:shd w:val="clear" w:color="auto" w:fill="FFFFFF"/>
          <w:lang w:val="pl-PL"/>
        </w:rPr>
        <w:t xml:space="preserve">, </w:t>
      </w:r>
      <w:r w:rsidRPr="0018797E">
        <w:rPr>
          <w:sz w:val="24"/>
          <w:shd w:val="clear" w:color="auto" w:fill="FFFFFF"/>
          <w:lang w:val="pl-PL"/>
        </w:rPr>
        <w:t>ELI: </w:t>
      </w:r>
      <w:hyperlink r:id="rId6" w:tooltip="Dostęp do dokumentu przez ELI URI." w:history="1">
        <w:r w:rsidRPr="0018797E">
          <w:rPr>
            <w:color w:val="0000FF"/>
            <w:sz w:val="24"/>
            <w:u w:val="single"/>
            <w:shd w:val="clear" w:color="auto" w:fill="FFFFFF"/>
            <w:lang w:val="pl-PL"/>
          </w:rPr>
          <w:t>http://data.europa.eu/eli/dir/2015/1535/oj</w:t>
        </w:r>
      </w:hyperlink>
      <w:r w:rsidRPr="0018797E">
        <w:rPr>
          <w:sz w:val="24"/>
          <w:lang w:val="pl-PL"/>
        </w:rPr>
        <w:t>).</w:t>
      </w:r>
    </w:p>
  </w:footnote>
  <w:footnote w:id="6">
    <w:p w14:paraId="22895AA6" w14:textId="49894D88" w:rsidR="000E2005" w:rsidRPr="0018797E" w:rsidRDefault="000E2005" w:rsidP="0018797E">
      <w:pPr>
        <w:pStyle w:val="FootnoteText"/>
        <w:ind w:left="567" w:hanging="567"/>
        <w:rPr>
          <w:sz w:val="24"/>
          <w:lang w:val="pl-PL"/>
        </w:rPr>
      </w:pPr>
      <w:r w:rsidRPr="0018797E">
        <w:rPr>
          <w:rStyle w:val="FootnoteReference"/>
          <w:sz w:val="24"/>
          <w:lang w:val="pl-PL"/>
        </w:rPr>
        <w:footnoteRef/>
      </w:r>
      <w:r w:rsidR="0018797E" w:rsidRPr="0018797E">
        <w:rPr>
          <w:sz w:val="24"/>
          <w:shd w:val="clear" w:color="auto" w:fill="FFFFFF"/>
          <w:lang w:val="pl-PL"/>
        </w:rPr>
        <w:t xml:space="preserve"> </w:t>
      </w:r>
      <w:r w:rsidR="0018797E" w:rsidRPr="0018797E">
        <w:rPr>
          <w:sz w:val="24"/>
          <w:shd w:val="clear" w:color="auto" w:fill="FFFFFF"/>
          <w:lang w:val="pl-PL"/>
        </w:rPr>
        <w:tab/>
      </w:r>
      <w:r w:rsidRPr="0018797E">
        <w:rPr>
          <w:sz w:val="24"/>
          <w:shd w:val="clear" w:color="auto" w:fill="FFFFFF"/>
          <w:lang w:val="pl-PL"/>
        </w:rPr>
        <w:t>Dyrektywa 2005/36/WE Parlamentu Europejskiego i Rady z dnia 7 września 2005 r. w sprawie uznawania kwalifikacji zawodowych (</w:t>
      </w:r>
      <w:r w:rsidRPr="00430113">
        <w:rPr>
          <w:rStyle w:val="Emphasis"/>
          <w:i w:val="0"/>
          <w:iCs w:val="0"/>
          <w:sz w:val="24"/>
          <w:shd w:val="clear" w:color="auto" w:fill="FFFFFF"/>
          <w:lang w:val="pl-PL"/>
        </w:rPr>
        <w:t>Dz.U. L 255 z </w:t>
      </w:r>
      <w:proofErr w:type="gramStart"/>
      <w:r w:rsidRPr="00430113">
        <w:rPr>
          <w:rStyle w:val="Emphasis"/>
          <w:i w:val="0"/>
          <w:iCs w:val="0"/>
          <w:sz w:val="24"/>
          <w:shd w:val="clear" w:color="auto" w:fill="FFFFFF"/>
          <w:lang w:val="pl-PL"/>
        </w:rPr>
        <w:t>30.9.2005</w:t>
      </w:r>
      <w:proofErr w:type="gramEnd"/>
      <w:r w:rsidRPr="00430113">
        <w:rPr>
          <w:rStyle w:val="Emphasis"/>
          <w:i w:val="0"/>
          <w:iCs w:val="0"/>
          <w:sz w:val="24"/>
          <w:shd w:val="clear" w:color="auto" w:fill="FFFFFF"/>
          <w:lang w:val="pl-PL"/>
        </w:rPr>
        <w:t>, s. 22,</w:t>
      </w:r>
      <w:r w:rsidRPr="0018797E">
        <w:rPr>
          <w:rStyle w:val="Emphasis"/>
          <w:sz w:val="24"/>
          <w:shd w:val="clear" w:color="auto" w:fill="FFFFFF"/>
          <w:lang w:val="pl-PL"/>
        </w:rPr>
        <w:t xml:space="preserve"> </w:t>
      </w:r>
      <w:r w:rsidRPr="0018797E">
        <w:rPr>
          <w:sz w:val="24"/>
          <w:shd w:val="clear" w:color="auto" w:fill="FFFFFF"/>
          <w:lang w:val="pl-PL"/>
        </w:rPr>
        <w:t>ELI: </w:t>
      </w:r>
      <w:hyperlink r:id="rId7" w:tooltip="Dostęp do dokumentu przez ELI URI." w:history="1">
        <w:r w:rsidRPr="0018797E">
          <w:rPr>
            <w:color w:val="0000FF"/>
            <w:sz w:val="24"/>
            <w:u w:val="single"/>
            <w:shd w:val="clear" w:color="auto" w:fill="FFFFFF"/>
            <w:lang w:val="pl-PL"/>
          </w:rPr>
          <w:t>http://data.europa.eu/eli/dir/2005/36/oj</w:t>
        </w:r>
      </w:hyperlink>
      <w:r w:rsidRPr="0018797E">
        <w:rPr>
          <w:sz w:val="24"/>
          <w:lang w:val="pl-PL"/>
        </w:rPr>
        <w:t>).</w:t>
      </w:r>
    </w:p>
  </w:footnote>
  <w:footnote w:id="7">
    <w:p w14:paraId="0A6754C5" w14:textId="7D9419EA" w:rsidR="000E2005" w:rsidRPr="0018797E" w:rsidRDefault="000E2005" w:rsidP="0018797E">
      <w:pPr>
        <w:pStyle w:val="FootnoteText"/>
        <w:ind w:left="567" w:hanging="567"/>
        <w:rPr>
          <w:sz w:val="24"/>
          <w:lang w:val="pl-PL"/>
        </w:rPr>
      </w:pPr>
      <w:r w:rsidRPr="0018797E">
        <w:rPr>
          <w:rStyle w:val="FootnoteReference"/>
          <w:sz w:val="24"/>
          <w:lang w:val="pl-PL"/>
        </w:rPr>
        <w:footnoteRef/>
      </w:r>
      <w:r w:rsidR="0018797E" w:rsidRPr="0018797E">
        <w:rPr>
          <w:sz w:val="24"/>
          <w:shd w:val="clear" w:color="auto" w:fill="FFFFFF"/>
          <w:lang w:val="pl-PL"/>
        </w:rPr>
        <w:t xml:space="preserve"> </w:t>
      </w:r>
      <w:r w:rsidR="0018797E" w:rsidRPr="0018797E">
        <w:rPr>
          <w:sz w:val="24"/>
          <w:shd w:val="clear" w:color="auto" w:fill="FFFFFF"/>
          <w:lang w:val="pl-PL"/>
        </w:rPr>
        <w:tab/>
      </w:r>
      <w:r w:rsidRPr="0018797E">
        <w:rPr>
          <w:sz w:val="24"/>
          <w:shd w:val="clear" w:color="auto" w:fill="FFFFFF"/>
          <w:lang w:val="pl-PL"/>
        </w:rPr>
        <w:t>Rozporządzenie Parlamentu Europejskiego i Rady (WE) nr 883/2004 z dnia 29 kwietnia 2004 r. w sprawie koordynacji systemów zabezpieczenia społecznego (</w:t>
      </w:r>
      <w:r w:rsidRPr="00430113">
        <w:rPr>
          <w:rStyle w:val="Emphasis"/>
          <w:i w:val="0"/>
          <w:iCs w:val="0"/>
          <w:sz w:val="24"/>
          <w:shd w:val="clear" w:color="auto" w:fill="FFFFFF"/>
          <w:lang w:val="pl-PL"/>
        </w:rPr>
        <w:t xml:space="preserve">Dz.U. L 166 z </w:t>
      </w:r>
      <w:proofErr w:type="gramStart"/>
      <w:r w:rsidRPr="00430113">
        <w:rPr>
          <w:rStyle w:val="Emphasis"/>
          <w:i w:val="0"/>
          <w:iCs w:val="0"/>
          <w:sz w:val="24"/>
          <w:shd w:val="clear" w:color="auto" w:fill="FFFFFF"/>
          <w:lang w:val="pl-PL"/>
        </w:rPr>
        <w:t>30.4.2004</w:t>
      </w:r>
      <w:proofErr w:type="gramEnd"/>
      <w:r w:rsidRPr="00430113">
        <w:rPr>
          <w:rStyle w:val="Emphasis"/>
          <w:i w:val="0"/>
          <w:iCs w:val="0"/>
          <w:sz w:val="24"/>
          <w:shd w:val="clear" w:color="auto" w:fill="FFFFFF"/>
          <w:lang w:val="pl-PL"/>
        </w:rPr>
        <w:t>, s. 1,</w:t>
      </w:r>
      <w:r w:rsidR="00430113">
        <w:rPr>
          <w:sz w:val="24"/>
          <w:shd w:val="clear" w:color="auto" w:fill="FFFFFF"/>
          <w:lang w:val="pl-PL"/>
        </w:rPr>
        <w:t xml:space="preserve"> </w:t>
      </w:r>
      <w:r w:rsidRPr="0018797E">
        <w:rPr>
          <w:sz w:val="24"/>
          <w:shd w:val="clear" w:color="auto" w:fill="FFFFFF"/>
          <w:lang w:val="pl-PL"/>
        </w:rPr>
        <w:t xml:space="preserve">ELI: </w:t>
      </w:r>
      <w:hyperlink r:id="rId8" w:tooltip="Dostęp do dokumentu przez ELI URI." w:history="1">
        <w:r w:rsidRPr="0018797E">
          <w:rPr>
            <w:color w:val="0000FF"/>
            <w:sz w:val="24"/>
            <w:u w:val="single"/>
            <w:shd w:val="clear" w:color="auto" w:fill="FFFFFF"/>
            <w:lang w:val="pl-PL"/>
          </w:rPr>
          <w:t>http://data.europa.eu/eli/reg/2004/883/oj</w:t>
        </w:r>
      </w:hyperlink>
      <w:r w:rsidRPr="0018797E">
        <w:rPr>
          <w:sz w:val="24"/>
          <w:lang w:val="pl-PL"/>
        </w:rPr>
        <w:t>).</w:t>
      </w:r>
    </w:p>
  </w:footnote>
  <w:footnote w:id="8">
    <w:p w14:paraId="392BC177" w14:textId="53B8FD17" w:rsidR="000E2005" w:rsidRPr="0018797E" w:rsidRDefault="000E2005" w:rsidP="0018797E">
      <w:pPr>
        <w:pStyle w:val="FootnoteText"/>
        <w:ind w:left="567" w:hanging="567"/>
        <w:rPr>
          <w:sz w:val="24"/>
          <w:lang w:val="pl-PL"/>
        </w:rPr>
      </w:pPr>
      <w:r w:rsidRPr="0018797E">
        <w:rPr>
          <w:rStyle w:val="FootnoteReference"/>
          <w:sz w:val="24"/>
          <w:lang w:val="pl-PL"/>
        </w:rPr>
        <w:footnoteRef/>
      </w:r>
      <w:r w:rsidR="0018797E" w:rsidRPr="0018797E">
        <w:rPr>
          <w:sz w:val="24"/>
          <w:shd w:val="clear" w:color="auto" w:fill="FFFFFF"/>
          <w:lang w:val="pl-PL"/>
        </w:rPr>
        <w:t xml:space="preserve"> </w:t>
      </w:r>
      <w:r w:rsidR="0018797E" w:rsidRPr="0018797E">
        <w:rPr>
          <w:sz w:val="24"/>
          <w:shd w:val="clear" w:color="auto" w:fill="FFFFFF"/>
          <w:lang w:val="pl-PL"/>
        </w:rPr>
        <w:tab/>
      </w:r>
      <w:r w:rsidRPr="0018797E">
        <w:rPr>
          <w:sz w:val="24"/>
          <w:shd w:val="clear" w:color="auto" w:fill="FFFFFF"/>
          <w:lang w:val="pl-PL"/>
        </w:rPr>
        <w:t>Rozporządzenie Parlamentu Europejskiego i Rady (UE) 2024/2747 z dnia 9 października 2024 r. w sprawie ustanowienia ram środków dotyczących sytuacji nadzwyczajnej na rynku wewnętrznym i odporności rynku wewnętrznego oraz w sprawie zmiany rozporządzenia Rady (WE) nr 2679/98 (akt o sytuacji nadzwyczajnej na rynku wewnętrznym i odporności rynku wewnętrznego) (Dz.U. L, 2024/2747, 8.11.2024, ELI:  </w:t>
      </w:r>
      <w:hyperlink r:id="rId9" w:tgtFrame="_blank" w:tooltip="Dostęp do dokumentu przez ELI URI." w:history="1">
        <w:r w:rsidRPr="0018797E">
          <w:rPr>
            <w:color w:val="0000FF"/>
            <w:sz w:val="24"/>
            <w:u w:val="single"/>
            <w:lang w:val="pl-PL"/>
          </w:rPr>
          <w:t>http://data.europa.eu/eli/reg/2024/2747/oj</w:t>
        </w:r>
      </w:hyperlink>
      <w:r w:rsidRPr="0018797E">
        <w:rPr>
          <w:sz w:val="24"/>
          <w:shd w:val="clear" w:color="auto" w:fill="FFFFFF"/>
          <w:lang w:val="pl-PL"/>
        </w:rPr>
        <w:t>).</w:t>
      </w:r>
    </w:p>
  </w:footnote>
  <w:footnote w:id="9">
    <w:p w14:paraId="5EA9B909" w14:textId="6FA575EF" w:rsidR="000E2005" w:rsidRPr="0018797E" w:rsidRDefault="000E2005" w:rsidP="0018797E">
      <w:pPr>
        <w:pStyle w:val="FootnoteText"/>
        <w:ind w:left="567" w:hanging="567"/>
        <w:rPr>
          <w:sz w:val="24"/>
          <w:lang w:val="pl-PL"/>
        </w:rPr>
      </w:pPr>
      <w:r w:rsidRPr="0018797E">
        <w:rPr>
          <w:rStyle w:val="FootnoteReference"/>
          <w:sz w:val="24"/>
          <w:lang w:val="pl-PL"/>
        </w:rPr>
        <w:footnoteRef/>
      </w:r>
      <w:r w:rsidR="0018797E" w:rsidRPr="0018797E">
        <w:rPr>
          <w:sz w:val="24"/>
          <w:lang w:val="pl-PL"/>
        </w:rPr>
        <w:t xml:space="preserve"> </w:t>
      </w:r>
      <w:r w:rsidR="0018797E" w:rsidRPr="0018797E">
        <w:rPr>
          <w:sz w:val="24"/>
          <w:lang w:val="pl-PL"/>
        </w:rPr>
        <w:tab/>
      </w:r>
      <w:r w:rsidRPr="0018797E">
        <w:rPr>
          <w:sz w:val="24"/>
          <w:lang w:val="pl-PL"/>
        </w:rPr>
        <w:t xml:space="preserve">Rozporządzenie Parlamentu Europejskiego i Rady (UE) 2022/2065 z dnia 19 października 2022 r. w sprawie jednolitego rynku usług cyfrowych oraz zmiany dyrektywy 2000/31/WE (akt o usługach cyfrowych) (Dz.U. L 277 z 27.10.2022, s. 1, ELI: </w:t>
      </w:r>
      <w:hyperlink r:id="rId10" w:history="1">
        <w:r w:rsidRPr="0018797E">
          <w:rPr>
            <w:rStyle w:val="Hyperlink"/>
            <w:sz w:val="24"/>
            <w:lang w:val="pl-PL"/>
          </w:rPr>
          <w:t>http://data.europa.eu/eli/reg/2022/2065/oj</w:t>
        </w:r>
      </w:hyperlink>
      <w:r w:rsidRPr="0018797E">
        <w:rPr>
          <w:sz w:val="24"/>
          <w:lang w:val="pl-PL"/>
        </w:rPr>
        <w:t>).</w:t>
      </w:r>
    </w:p>
  </w:footnote>
  <w:footnote w:id="10">
    <w:p w14:paraId="302C8110" w14:textId="54143F91" w:rsidR="000E2005" w:rsidRPr="0018797E" w:rsidRDefault="000E2005" w:rsidP="0018797E">
      <w:pPr>
        <w:pStyle w:val="FootnoteText"/>
        <w:ind w:left="567" w:hanging="567"/>
        <w:rPr>
          <w:sz w:val="24"/>
          <w:lang w:val="pl-PL"/>
        </w:rPr>
      </w:pPr>
      <w:r w:rsidRPr="0018797E">
        <w:rPr>
          <w:rStyle w:val="FootnoteReference"/>
          <w:sz w:val="24"/>
          <w:lang w:val="pl-PL"/>
        </w:rPr>
        <w:footnoteRef/>
      </w:r>
      <w:r w:rsidR="0018797E" w:rsidRPr="0018797E">
        <w:rPr>
          <w:sz w:val="24"/>
          <w:lang w:val="pl-PL"/>
        </w:rPr>
        <w:t xml:space="preserve"> </w:t>
      </w:r>
      <w:r w:rsidR="0018797E" w:rsidRPr="0018797E">
        <w:rPr>
          <w:sz w:val="24"/>
          <w:lang w:val="pl-PL"/>
        </w:rPr>
        <w:tab/>
      </w:r>
      <w:r w:rsidRPr="0018797E">
        <w:rPr>
          <w:sz w:val="24"/>
          <w:lang w:val="pl-PL"/>
        </w:rPr>
        <w:t>Rozporządzenie Parlamentu Europejskiego i Rady (UE) 2016/679 z dnia 27 kwietnia 2016 r. w sprawie ochrony osób fizycznych w związku z przetwarzaniem danych osobowych i w sprawie swobodnego przepływu takich danych oraz uchylenia dyrektywy 95/46/WE (ogólne rozporządzenie o ochronie danych) (Dz.U. L 119 z </w:t>
      </w:r>
      <w:proofErr w:type="gramStart"/>
      <w:r w:rsidRPr="0018797E">
        <w:rPr>
          <w:sz w:val="24"/>
          <w:lang w:val="pl-PL"/>
        </w:rPr>
        <w:t>4.5.2016</w:t>
      </w:r>
      <w:proofErr w:type="gramEnd"/>
      <w:r w:rsidRPr="0018797E">
        <w:rPr>
          <w:sz w:val="24"/>
          <w:lang w:val="pl-PL"/>
        </w:rPr>
        <w:t xml:space="preserve">, s. 1, ELI: </w:t>
      </w:r>
      <w:hyperlink r:id="rId11" w:history="1">
        <w:r w:rsidRPr="0018797E">
          <w:rPr>
            <w:rStyle w:val="Hyperlink"/>
            <w:sz w:val="24"/>
            <w:lang w:val="pl-PL"/>
          </w:rPr>
          <w:t>http://data.europa.eu/eli/reg/2016/679/oj</w:t>
        </w:r>
      </w:hyperlink>
      <w:r w:rsidRPr="0018797E">
        <w:rPr>
          <w:sz w:val="24"/>
          <w:lang w:val="pl-PL"/>
        </w:rPr>
        <w:t>).</w:t>
      </w:r>
    </w:p>
  </w:footnote>
  <w:footnote w:id="11">
    <w:p w14:paraId="366000C7" w14:textId="12F95322" w:rsidR="000E2005" w:rsidRPr="0018797E" w:rsidRDefault="000E2005" w:rsidP="0018797E">
      <w:pPr>
        <w:pStyle w:val="FootnoteText"/>
        <w:ind w:left="567" w:hanging="567"/>
        <w:rPr>
          <w:sz w:val="24"/>
          <w:lang w:val="pl-PL"/>
        </w:rPr>
      </w:pPr>
      <w:r w:rsidRPr="0018797E">
        <w:rPr>
          <w:rStyle w:val="FootnoteReference"/>
          <w:sz w:val="24"/>
          <w:lang w:val="pl-PL"/>
        </w:rPr>
        <w:footnoteRef/>
      </w:r>
      <w:r w:rsidR="0018797E" w:rsidRPr="0018797E">
        <w:rPr>
          <w:sz w:val="24"/>
          <w:shd w:val="clear" w:color="auto" w:fill="FFFFFF"/>
          <w:lang w:val="pl-PL"/>
        </w:rPr>
        <w:t xml:space="preserve"> </w:t>
      </w:r>
      <w:r w:rsidR="0018797E" w:rsidRPr="0018797E">
        <w:rPr>
          <w:sz w:val="24"/>
          <w:shd w:val="clear" w:color="auto" w:fill="FFFFFF"/>
          <w:lang w:val="pl-PL"/>
        </w:rPr>
        <w:tab/>
      </w:r>
      <w:r w:rsidRPr="0018797E">
        <w:rPr>
          <w:sz w:val="24"/>
          <w:shd w:val="clear" w:color="auto" w:fill="FFFFFF"/>
          <w:lang w:val="pl-PL"/>
        </w:rPr>
        <w:t>Rozporządzenie Parlamentu Europejskiego i Rady (UE) 2024/1689 z dnia 13 czerwca 2024 r. w sprawie ustanowienia zharmonizowanych przepisów dotyczących sztucznej inteligencji oraz zmiany rozporządzeń (WE) nr 300/2008, (UE) nr 167/2013, (UE) nr 168/2013, (UE) 2018/858, (UE) 2018/1139 i (UE) 2019/2144 oraz dyrektyw 2014/90/UE, (UE) 2016/797 i (UE) 2020/1828 (akt w sprawie sztucznej inteligencji) (Dz.U. L, 2024/1689, 12.7.2024, ELI: </w:t>
      </w:r>
      <w:hyperlink r:id="rId12" w:tgtFrame="_blank" w:tooltip="Dostęp do dokumentu przez ELI URI." w:history="1">
        <w:r w:rsidRPr="0018797E">
          <w:rPr>
            <w:color w:val="0000FF"/>
            <w:sz w:val="24"/>
            <w:u w:val="single"/>
            <w:lang w:val="pl-PL"/>
          </w:rPr>
          <w:t>http://data.europa.eu/eli/reg/2024/1689/oj</w:t>
        </w:r>
      </w:hyperlink>
      <w:r w:rsidRPr="0018797E">
        <w:rPr>
          <w:sz w:val="24"/>
          <w:shd w:val="clear" w:color="auto" w:fill="FFFFFF"/>
          <w:lang w:val="pl-PL"/>
        </w:rPr>
        <w:t>).</w:t>
      </w:r>
    </w:p>
  </w:footnote>
  <w:footnote w:id="12">
    <w:p w14:paraId="1C0AB474" w14:textId="7AC2D5B1" w:rsidR="000E2005" w:rsidRPr="0018797E" w:rsidRDefault="000E2005" w:rsidP="0018797E">
      <w:pPr>
        <w:pStyle w:val="FootnoteText"/>
        <w:ind w:left="567" w:hanging="567"/>
        <w:rPr>
          <w:sz w:val="24"/>
          <w:lang w:val="pl-PL"/>
        </w:rPr>
      </w:pPr>
      <w:r w:rsidRPr="0018797E">
        <w:rPr>
          <w:rStyle w:val="FootnoteReference"/>
          <w:sz w:val="24"/>
          <w:lang w:val="pl-PL"/>
        </w:rPr>
        <w:footnoteRef/>
      </w:r>
      <w:r w:rsidR="0018797E" w:rsidRPr="0018797E">
        <w:rPr>
          <w:sz w:val="24"/>
          <w:lang w:val="pl-PL"/>
        </w:rPr>
        <w:t xml:space="preserve"> </w:t>
      </w:r>
      <w:r w:rsidR="0018797E" w:rsidRPr="0018797E">
        <w:rPr>
          <w:sz w:val="24"/>
          <w:lang w:val="pl-PL"/>
        </w:rPr>
        <w:tab/>
      </w:r>
      <w:r w:rsidRPr="0018797E">
        <w:rPr>
          <w:sz w:val="24"/>
          <w:lang w:val="pl-PL"/>
        </w:rPr>
        <w:t xml:space="preserve">Rozporządzenie Parlamentu Europejskiego i Rady (UE) 2024/900 z dnia 13 marca 2024 r. w sprawie przejrzystości i targetowania reklamy politycznej (Dz.U. L, 2024/900, </w:t>
      </w:r>
      <w:proofErr w:type="gramStart"/>
      <w:r w:rsidRPr="0018797E">
        <w:rPr>
          <w:sz w:val="24"/>
          <w:lang w:val="pl-PL"/>
        </w:rPr>
        <w:t>20.3.2024</w:t>
      </w:r>
      <w:proofErr w:type="gramEnd"/>
      <w:r w:rsidRPr="0018797E">
        <w:rPr>
          <w:sz w:val="24"/>
          <w:lang w:val="pl-PL"/>
        </w:rPr>
        <w:t xml:space="preserve">, ELI: </w:t>
      </w:r>
      <w:hyperlink r:id="rId13" w:history="1">
        <w:r w:rsidRPr="0018797E">
          <w:rPr>
            <w:rStyle w:val="Hyperlink"/>
            <w:sz w:val="24"/>
            <w:lang w:val="pl-PL"/>
          </w:rPr>
          <w:t>http://data.europa.eu/eli/reg/2024/900/oj</w:t>
        </w:r>
      </w:hyperlink>
      <w:r w:rsidRPr="0018797E">
        <w:rPr>
          <w:sz w:val="24"/>
          <w:lang w:val="pl-PL"/>
        </w:rPr>
        <w:t>).</w:t>
      </w:r>
    </w:p>
  </w:footnote>
  <w:footnote w:id="13">
    <w:p w14:paraId="61B977AB" w14:textId="62F30AA7" w:rsidR="000E2005" w:rsidRPr="0018797E" w:rsidRDefault="000E2005" w:rsidP="0018797E">
      <w:pPr>
        <w:pStyle w:val="FootnoteText"/>
        <w:ind w:left="567" w:hanging="567"/>
        <w:rPr>
          <w:sz w:val="24"/>
          <w:lang w:val="pl-PL"/>
        </w:rPr>
      </w:pPr>
      <w:r w:rsidRPr="0018797E">
        <w:rPr>
          <w:rStyle w:val="FootnoteReference"/>
          <w:sz w:val="24"/>
          <w:lang w:val="pl-PL"/>
        </w:rPr>
        <w:footnoteRef/>
      </w:r>
      <w:r w:rsidR="0018797E" w:rsidRPr="0018797E">
        <w:rPr>
          <w:sz w:val="24"/>
          <w:lang w:val="pl-PL"/>
        </w:rPr>
        <w:t xml:space="preserve"> </w:t>
      </w:r>
      <w:r w:rsidR="0018797E" w:rsidRPr="0018797E">
        <w:rPr>
          <w:sz w:val="24"/>
          <w:lang w:val="pl-PL"/>
        </w:rPr>
        <w:tab/>
      </w:r>
      <w:r w:rsidRPr="0018797E">
        <w:rPr>
          <w:sz w:val="24"/>
          <w:lang w:val="pl-PL"/>
        </w:rPr>
        <w:t>Dyrektywa Parlamentu Europejskiego i Rady (UE) 2024/</w:t>
      </w:r>
      <w:r w:rsidR="00965E8B">
        <w:rPr>
          <w:sz w:val="24"/>
          <w:lang w:val="pl-PL"/>
        </w:rPr>
        <w:t>2853</w:t>
      </w:r>
      <w:r w:rsidRPr="0018797E">
        <w:rPr>
          <w:sz w:val="24"/>
          <w:lang w:val="pl-PL"/>
        </w:rPr>
        <w:t xml:space="preserve"> z dnia 23 października 2024 r. w sprawie odpowiedzialności za produkty wadliwe i uchylenia dyrektywy Rady 85/374/EWG (Dz.U. L, 2024/2853, 18.11.2024, ELI: </w:t>
      </w:r>
      <w:hyperlink r:id="rId14" w:history="1">
        <w:r w:rsidRPr="0018797E">
          <w:rPr>
            <w:rStyle w:val="Hyperlink"/>
            <w:sz w:val="24"/>
            <w:lang w:val="pl-PL"/>
          </w:rPr>
          <w:t>http://data.europa.</w:t>
        </w:r>
        <w:r w:rsidRPr="0018797E">
          <w:rPr>
            <w:rStyle w:val="Hyperlink"/>
            <w:sz w:val="24"/>
            <w:lang w:val="pl-PL"/>
          </w:rPr>
          <w:t>eu/eli/dir/2024/2853/oj</w:t>
        </w:r>
      </w:hyperlink>
      <w:r w:rsidRPr="0018797E">
        <w:rPr>
          <w:sz w:val="24"/>
          <w:lang w:val="pl-PL"/>
        </w:rPr>
        <w:t>).</w:t>
      </w:r>
    </w:p>
  </w:footnote>
  <w:footnote w:id="14">
    <w:p w14:paraId="2330B76F" w14:textId="201210A5" w:rsidR="000E2005" w:rsidRPr="0018797E" w:rsidRDefault="000E2005" w:rsidP="0018797E">
      <w:pPr>
        <w:pStyle w:val="FootnoteText"/>
        <w:ind w:left="567" w:hanging="567"/>
        <w:rPr>
          <w:sz w:val="24"/>
          <w:lang w:val="pl-PL"/>
        </w:rPr>
      </w:pPr>
      <w:r w:rsidRPr="0018797E">
        <w:rPr>
          <w:rStyle w:val="FootnoteReference"/>
          <w:sz w:val="24"/>
          <w:lang w:val="pl-PL"/>
        </w:rPr>
        <w:footnoteRef/>
      </w:r>
      <w:r w:rsidR="0018797E" w:rsidRPr="0018797E">
        <w:rPr>
          <w:sz w:val="24"/>
          <w:shd w:val="clear" w:color="auto" w:fill="FFFFFF"/>
          <w:lang w:val="pl-PL"/>
        </w:rPr>
        <w:t xml:space="preserve"> </w:t>
      </w:r>
      <w:r w:rsidR="0018797E" w:rsidRPr="0018797E">
        <w:rPr>
          <w:sz w:val="24"/>
          <w:shd w:val="clear" w:color="auto" w:fill="FFFFFF"/>
          <w:lang w:val="pl-PL"/>
        </w:rPr>
        <w:tab/>
      </w:r>
      <w:r w:rsidRPr="0018797E">
        <w:rPr>
          <w:sz w:val="24"/>
          <w:shd w:val="clear" w:color="auto" w:fill="FFFFFF"/>
          <w:lang w:val="pl-PL"/>
        </w:rPr>
        <w:t>Rozporządzenie Parlamentu Europejskiego i Rady (UE) 2022/1925 z 14 września 2022 r. w sprawie kontestowalnych i uczciwych rynków w sektorze cyfrowym oraz zmiany dyrektyw (UE) 2019/1937 i (UE) 2020/1828 (akt o usługach cyfrowych) (</w:t>
      </w:r>
      <w:r w:rsidRPr="00430113">
        <w:rPr>
          <w:rStyle w:val="Emphasis"/>
          <w:i w:val="0"/>
          <w:iCs w:val="0"/>
          <w:sz w:val="24"/>
          <w:shd w:val="clear" w:color="auto" w:fill="FFFFFF"/>
          <w:lang w:val="pl-PL"/>
        </w:rPr>
        <w:t>Dz.U. L 265 z 12.10.2022, s. 1,</w:t>
      </w:r>
      <w:r w:rsidRPr="0018797E">
        <w:rPr>
          <w:rStyle w:val="Emphasis"/>
          <w:sz w:val="24"/>
          <w:shd w:val="clear" w:color="auto" w:fill="FFFFFF"/>
          <w:lang w:val="pl-PL"/>
        </w:rPr>
        <w:t xml:space="preserve"> </w:t>
      </w:r>
      <w:r w:rsidRPr="0018797E">
        <w:rPr>
          <w:sz w:val="24"/>
          <w:shd w:val="clear" w:color="auto" w:fill="FFFFFF"/>
          <w:lang w:val="pl-PL"/>
        </w:rPr>
        <w:t>ELI: </w:t>
      </w:r>
      <w:hyperlink r:id="rId15" w:tooltip="Dostęp do dokumentu przez ELI URI." w:history="1">
        <w:r w:rsidRPr="0018797E">
          <w:rPr>
            <w:color w:val="0000FF"/>
            <w:sz w:val="24"/>
            <w:u w:val="single"/>
            <w:shd w:val="clear" w:color="auto" w:fill="FFFFFF"/>
            <w:lang w:val="pl-PL"/>
          </w:rPr>
          <w:t>http://data.europa.eu/eli/reg/2022/1925/oj</w:t>
        </w:r>
      </w:hyperlink>
      <w:r w:rsidRPr="0018797E">
        <w:rPr>
          <w:sz w:val="24"/>
          <w:lang w:val="pl-PL"/>
        </w:rPr>
        <w:t>).</w:t>
      </w:r>
    </w:p>
  </w:footnote>
  <w:footnote w:id="15">
    <w:p w14:paraId="1EF9EEC6" w14:textId="7BDBECC7" w:rsidR="000E2005" w:rsidRPr="0018797E" w:rsidRDefault="000E2005" w:rsidP="0018797E">
      <w:pPr>
        <w:pStyle w:val="FootnoteText"/>
        <w:ind w:left="567" w:hanging="567"/>
        <w:rPr>
          <w:sz w:val="24"/>
          <w:lang w:val="pl-PL"/>
        </w:rPr>
      </w:pPr>
      <w:r w:rsidRPr="0018797E">
        <w:rPr>
          <w:rStyle w:val="FootnoteReference"/>
          <w:sz w:val="24"/>
          <w:lang w:val="pl-PL"/>
        </w:rPr>
        <w:footnoteRef/>
      </w:r>
      <w:r w:rsidR="0018797E" w:rsidRPr="0018797E">
        <w:rPr>
          <w:sz w:val="24"/>
          <w:lang w:val="pl-PL"/>
        </w:rPr>
        <w:t xml:space="preserve"> </w:t>
      </w:r>
      <w:r w:rsidR="0018797E" w:rsidRPr="0018797E">
        <w:rPr>
          <w:sz w:val="24"/>
          <w:lang w:val="pl-PL"/>
        </w:rPr>
        <w:tab/>
      </w:r>
      <w:r w:rsidRPr="0018797E">
        <w:rPr>
          <w:sz w:val="24"/>
          <w:lang w:val="pl-PL"/>
        </w:rPr>
        <w:t xml:space="preserve">Rozporządzenie Parlamentu Europejskiego i Rady (UE) 2017/2394 z dnia 12 grudnia 2017 r. w sprawie współpracy między organami krajowymi odpowiedzialnymi za egzekwowanie przepisów prawa w zakresie ochrony konsumentów i uchylające rozporządzenie (WE) nr 2006/2004 (Dz.U. L 345 z 27.12.2017, s. 1, ELI: </w:t>
      </w:r>
      <w:hyperlink r:id="rId16" w:history="1">
        <w:r w:rsidRPr="0018797E">
          <w:rPr>
            <w:rStyle w:val="Hyperlink"/>
            <w:sz w:val="24"/>
            <w:lang w:val="pl-PL"/>
          </w:rPr>
          <w:t>http://data.europa.eu/eli/reg/2017/2394/oj</w:t>
        </w:r>
      </w:hyperlink>
      <w:r w:rsidRPr="0018797E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E0CF3" w14:textId="77777777" w:rsidR="00064002" w:rsidRPr="0018797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074A8" w14:textId="77777777" w:rsidR="00064002" w:rsidRPr="0018797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01C51" w14:textId="77777777" w:rsidR="00064002" w:rsidRPr="0018797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2039755">
    <w:abstractNumId w:val="9"/>
  </w:num>
  <w:num w:numId="2" w16cid:durableId="414398209">
    <w:abstractNumId w:val="9"/>
  </w:num>
  <w:num w:numId="3" w16cid:durableId="890504445">
    <w:abstractNumId w:val="7"/>
  </w:num>
  <w:num w:numId="4" w16cid:durableId="862481453">
    <w:abstractNumId w:val="7"/>
  </w:num>
  <w:num w:numId="5" w16cid:durableId="1768381406">
    <w:abstractNumId w:val="6"/>
  </w:num>
  <w:num w:numId="6" w16cid:durableId="342900534">
    <w:abstractNumId w:val="6"/>
  </w:num>
  <w:num w:numId="7" w16cid:durableId="214463921">
    <w:abstractNumId w:val="5"/>
  </w:num>
  <w:num w:numId="8" w16cid:durableId="957227020">
    <w:abstractNumId w:val="5"/>
  </w:num>
  <w:num w:numId="9" w16cid:durableId="1573003388">
    <w:abstractNumId w:val="4"/>
  </w:num>
  <w:num w:numId="10" w16cid:durableId="695428944">
    <w:abstractNumId w:val="4"/>
  </w:num>
  <w:num w:numId="11" w16cid:durableId="509682603">
    <w:abstractNumId w:val="8"/>
  </w:num>
  <w:num w:numId="12" w16cid:durableId="1078750113">
    <w:abstractNumId w:val="8"/>
  </w:num>
  <w:num w:numId="13" w16cid:durableId="1774474326">
    <w:abstractNumId w:val="3"/>
  </w:num>
  <w:num w:numId="14" w16cid:durableId="1970355998">
    <w:abstractNumId w:val="3"/>
  </w:num>
  <w:num w:numId="15" w16cid:durableId="1925529365">
    <w:abstractNumId w:val="2"/>
  </w:num>
  <w:num w:numId="16" w16cid:durableId="43407824">
    <w:abstractNumId w:val="2"/>
  </w:num>
  <w:num w:numId="17" w16cid:durableId="676614808">
    <w:abstractNumId w:val="1"/>
  </w:num>
  <w:num w:numId="18" w16cid:durableId="1412585692">
    <w:abstractNumId w:val="1"/>
  </w:num>
  <w:num w:numId="19" w16cid:durableId="788744689">
    <w:abstractNumId w:val="0"/>
  </w:num>
  <w:num w:numId="20" w16cid:durableId="339090681">
    <w:abstractNumId w:val="0"/>
  </w:num>
  <w:num w:numId="21" w16cid:durableId="990132969">
    <w:abstractNumId w:val="9"/>
  </w:num>
  <w:num w:numId="22" w16cid:durableId="436869128">
    <w:abstractNumId w:val="7"/>
  </w:num>
  <w:num w:numId="23" w16cid:durableId="558175610">
    <w:abstractNumId w:val="6"/>
  </w:num>
  <w:num w:numId="24" w16cid:durableId="60300065">
    <w:abstractNumId w:val="5"/>
  </w:num>
  <w:num w:numId="25" w16cid:durableId="1855025524">
    <w:abstractNumId w:val="4"/>
  </w:num>
  <w:num w:numId="26" w16cid:durableId="1632319293">
    <w:abstractNumId w:val="8"/>
  </w:num>
  <w:num w:numId="27" w16cid:durableId="615061043">
    <w:abstractNumId w:val="3"/>
  </w:num>
  <w:num w:numId="28" w16cid:durableId="2035765321">
    <w:abstractNumId w:val="2"/>
  </w:num>
  <w:num w:numId="29" w16cid:durableId="1158153078">
    <w:abstractNumId w:val="1"/>
  </w:num>
  <w:num w:numId="30" w16cid:durableId="621961565">
    <w:abstractNumId w:val="0"/>
  </w:num>
  <w:num w:numId="31" w16cid:durableId="931595676">
    <w:abstractNumId w:val="9"/>
  </w:num>
  <w:num w:numId="32" w16cid:durableId="1618633982">
    <w:abstractNumId w:val="7"/>
  </w:num>
  <w:num w:numId="33" w16cid:durableId="1524514919">
    <w:abstractNumId w:val="6"/>
  </w:num>
  <w:num w:numId="34" w16cid:durableId="1409114610">
    <w:abstractNumId w:val="5"/>
  </w:num>
  <w:num w:numId="35" w16cid:durableId="2076924676">
    <w:abstractNumId w:val="4"/>
  </w:num>
  <w:num w:numId="36" w16cid:durableId="905528948">
    <w:abstractNumId w:val="8"/>
  </w:num>
  <w:num w:numId="37" w16cid:durableId="163790694">
    <w:abstractNumId w:val="3"/>
  </w:num>
  <w:num w:numId="38" w16cid:durableId="1839810737">
    <w:abstractNumId w:val="2"/>
  </w:num>
  <w:num w:numId="39" w16cid:durableId="1457288364">
    <w:abstractNumId w:val="1"/>
  </w:num>
  <w:num w:numId="40" w16cid:durableId="430858830">
    <w:abstractNumId w:val="0"/>
  </w:num>
  <w:num w:numId="41" w16cid:durableId="2121752663">
    <w:abstractNumId w:val="10"/>
  </w:num>
  <w:num w:numId="42" w16cid:durableId="445349214">
    <w:abstractNumId w:val="10"/>
  </w:num>
  <w:num w:numId="43" w16cid:durableId="4522153">
    <w:abstractNumId w:val="10"/>
  </w:num>
  <w:num w:numId="44" w16cid:durableId="20913449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1/2025"/>
    <w:docVar w:name="dvlangue" w:val="PL"/>
    <w:docVar w:name="dvnumam" w:val="0"/>
    <w:docVar w:name="dvpe" w:val="769.908"/>
    <w:docVar w:name="dvrapporteur" w:val="Sprawozdawca: "/>
    <w:docVar w:name="dvstar" w:val="??"/>
    <w:docVar w:name="dvtitre" w:val="Rezolucja Parlamentu Europejskiego z dnia  2025 r. w sprawie wdrożenia i usprawnienia zasad rynku wewnętrznego UE w celu umocnienia jednolitego rynku(2025/2009(INI))"/>
  </w:docVars>
  <w:rsids>
    <w:rsidRoot w:val="00AE2834"/>
    <w:rsid w:val="00002272"/>
    <w:rsid w:val="00064002"/>
    <w:rsid w:val="000677B9"/>
    <w:rsid w:val="000831BA"/>
    <w:rsid w:val="000A42CC"/>
    <w:rsid w:val="000E2005"/>
    <w:rsid w:val="000E7DD9"/>
    <w:rsid w:val="0010095E"/>
    <w:rsid w:val="00125B37"/>
    <w:rsid w:val="00187494"/>
    <w:rsid w:val="0018797E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011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02B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2B3"/>
    <w:rsid w:val="0093193B"/>
    <w:rsid w:val="009509D8"/>
    <w:rsid w:val="00950B64"/>
    <w:rsid w:val="00965E8B"/>
    <w:rsid w:val="00981893"/>
    <w:rsid w:val="00A1687D"/>
    <w:rsid w:val="00A43E52"/>
    <w:rsid w:val="00A4678D"/>
    <w:rsid w:val="00A778C7"/>
    <w:rsid w:val="00AB441E"/>
    <w:rsid w:val="00AB6293"/>
    <w:rsid w:val="00AE0928"/>
    <w:rsid w:val="00AE2834"/>
    <w:rsid w:val="00AF3B82"/>
    <w:rsid w:val="00B12E95"/>
    <w:rsid w:val="00B22876"/>
    <w:rsid w:val="00B558F0"/>
    <w:rsid w:val="00BD48FE"/>
    <w:rsid w:val="00BD7BD8"/>
    <w:rsid w:val="00BE6ADC"/>
    <w:rsid w:val="00C05BFE"/>
    <w:rsid w:val="00C10690"/>
    <w:rsid w:val="00C23CD4"/>
    <w:rsid w:val="00C61C0C"/>
    <w:rsid w:val="00C92F28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31B2"/>
    <w:rsid w:val="00E820A4"/>
    <w:rsid w:val="00EB006A"/>
    <w:rsid w:val="00EB4772"/>
    <w:rsid w:val="00EC248D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472E48"/>
  <w15:chartTrackingRefBased/>
  <w15:docId w15:val="{FCB2E7F6-1CF9-4186-88FC-9A2CACA9B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E2005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0E2005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0E2005"/>
    <w:pPr>
      <w:spacing w:after="240"/>
      <w:jc w:val="center"/>
    </w:pPr>
  </w:style>
  <w:style w:type="character" w:customStyle="1" w:styleId="Bold">
    <w:name w:val="Bold"/>
    <w:uiPriority w:val="1"/>
    <w:rsid w:val="000E2005"/>
    <w:rPr>
      <w:b/>
    </w:rPr>
  </w:style>
  <w:style w:type="character" w:customStyle="1" w:styleId="BoldItalic">
    <w:name w:val="BoldItalic"/>
    <w:uiPriority w:val="1"/>
    <w:rsid w:val="000E2005"/>
    <w:rPr>
      <w:b/>
      <w:i/>
      <w:u w:val="none"/>
    </w:rPr>
  </w:style>
  <w:style w:type="character" w:customStyle="1" w:styleId="Italic">
    <w:name w:val="Italic"/>
    <w:uiPriority w:val="1"/>
    <w:rsid w:val="000E2005"/>
    <w:rPr>
      <w:i/>
    </w:rPr>
  </w:style>
  <w:style w:type="paragraph" w:customStyle="1" w:styleId="Normal12a24b">
    <w:name w:val="Normal12a24b"/>
    <w:basedOn w:val="Normal"/>
    <w:rsid w:val="000E2005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iPriority w:val="99"/>
    <w:rsid w:val="000E200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0E2005"/>
    <w:rPr>
      <w:i/>
      <w:iCs/>
    </w:rPr>
  </w:style>
  <w:style w:type="character" w:styleId="FollowedHyperlink">
    <w:name w:val="FollowedHyperlink"/>
    <w:basedOn w:val="DefaultParagraphFont"/>
    <w:rsid w:val="00965E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04/883/oj" TargetMode="External"/><Relationship Id="rId13" Type="http://schemas.openxmlformats.org/officeDocument/2006/relationships/hyperlink" Target="http://data.europa.eu/eli/reg/2024/900/oj" TargetMode="External"/><Relationship Id="rId3" Type="http://schemas.openxmlformats.org/officeDocument/2006/relationships/hyperlink" Target="https://www.weforum.org/stories/2024/09/wind-energy-permitting-processes-europe/" TargetMode="External"/><Relationship Id="rId7" Type="http://schemas.openxmlformats.org/officeDocument/2006/relationships/hyperlink" Target="http://data.europa.eu/eli/dir/2005/36/oj" TargetMode="External"/><Relationship Id="rId12" Type="http://schemas.openxmlformats.org/officeDocument/2006/relationships/hyperlink" Target="http://data.europa.eu/eli/reg/2024/1689/oj" TargetMode="External"/><Relationship Id="rId2" Type="http://schemas.openxmlformats.org/officeDocument/2006/relationships/hyperlink" Target="https://documents1.worldbank.org/curated/en/600621587713071010/pdf/Doing-Business-in-the-European-Union-2020-Greece-Ireland-and-Italy.pdf" TargetMode="External"/><Relationship Id="rId16" Type="http://schemas.openxmlformats.org/officeDocument/2006/relationships/hyperlink" Target="http://data.europa.eu/eli/reg/2017/2394/oj" TargetMode="External"/><Relationship Id="rId1" Type="http://schemas.openxmlformats.org/officeDocument/2006/relationships/hyperlink" Target="https://single-market-economy.ec.europa.eu/publications/2025-annual-single-market-and-competitiveness-report_en" TargetMode="External"/><Relationship Id="rId6" Type="http://schemas.openxmlformats.org/officeDocument/2006/relationships/hyperlink" Target="http://data.europa.eu/eli/dir/2015/1535/oj" TargetMode="External"/><Relationship Id="rId11" Type="http://schemas.openxmlformats.org/officeDocument/2006/relationships/hyperlink" Target="http://data.europa.eu/eli/reg/2016/679/oj" TargetMode="External"/><Relationship Id="rId5" Type="http://schemas.openxmlformats.org/officeDocument/2006/relationships/hyperlink" Target="http://data.europa.eu/eli/dir/2006/123/oj" TargetMode="External"/><Relationship Id="rId15" Type="http://schemas.openxmlformats.org/officeDocument/2006/relationships/hyperlink" Target="http://data.europa.eu/eli/reg/2022/1925/oj" TargetMode="External"/><Relationship Id="rId10" Type="http://schemas.openxmlformats.org/officeDocument/2006/relationships/hyperlink" Target="http://data.europa.eu/eli/reg/2022/2065/oj" TargetMode="External"/><Relationship Id="rId4" Type="http://schemas.openxmlformats.org/officeDocument/2006/relationships/hyperlink" Target="http://data.europa.eu/eli/agree_interinstit/2016/512/oj" TargetMode="External"/><Relationship Id="rId9" Type="http://schemas.openxmlformats.org/officeDocument/2006/relationships/hyperlink" Target="http://data.europa.eu/eli/reg/2024/2747/oj" TargetMode="External"/><Relationship Id="rId14" Type="http://schemas.openxmlformats.org/officeDocument/2006/relationships/hyperlink" Target="http://data.europa.eu/eli/dir/2024/285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5135</Words>
  <Characters>36712</Characters>
  <Application>Microsoft Office Word</Application>
  <DocSecurity>0</DocSecurity>
  <Lines>1468</Lines>
  <Paragraphs>804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WOJCIECHOWSKA Joanna</cp:lastModifiedBy>
  <cp:revision>2</cp:revision>
  <cp:lastPrinted>2004-11-19T15:42:00Z</cp:lastPrinted>
  <dcterms:created xsi:type="dcterms:W3CDTF">2025-09-25T09:39:00Z</dcterms:created>
  <dcterms:modified xsi:type="dcterms:W3CDTF">2025-09-25T09:39:00Z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A10-0151/2025</vt:lpwstr>
  </property>
  <property fmtid="{D5CDD505-2E9C-101B-9397-08002B2CF9AE}" pid="4" name="&lt;Type&gt;">
    <vt:lpwstr>RR</vt:lpwstr>
  </property>
</Properties>
</file>