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1E03" w14:paraId="77063A2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06B20A" w14:textId="77777777" w:rsidR="00751A4A" w:rsidRPr="00AD1E03" w:rsidRDefault="00F910D6" w:rsidP="0010095E">
            <w:pPr>
              <w:pStyle w:val="EPName"/>
            </w:pPr>
            <w:r w:rsidRPr="00AD1E03">
              <w:t>Európsky parlament</w:t>
            </w:r>
          </w:p>
          <w:p w14:paraId="3AE904AC" w14:textId="77777777" w:rsidR="00751A4A" w:rsidRPr="00AD1E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1E03">
              <w:t>2024</w:t>
            </w:r>
            <w:r w:rsidR="00817416" w:rsidRPr="00AD1E03">
              <w:t>-202</w:t>
            </w:r>
            <w:r w:rsidRPr="00AD1E03">
              <w:t>9</w:t>
            </w:r>
          </w:p>
        </w:tc>
        <w:tc>
          <w:tcPr>
            <w:tcW w:w="2268" w:type="dxa"/>
            <w:shd w:val="clear" w:color="auto" w:fill="auto"/>
          </w:tcPr>
          <w:p w14:paraId="18650890" w14:textId="77777777" w:rsidR="00751A4A" w:rsidRPr="00AD1E03" w:rsidRDefault="00187494" w:rsidP="0010095E">
            <w:pPr>
              <w:pStyle w:val="EPLogo"/>
            </w:pPr>
            <w:r w:rsidRPr="00AD1E03">
              <w:rPr>
                <w:noProof/>
                <w:lang w:val="en-GB"/>
              </w:rPr>
              <w:drawing>
                <wp:inline distT="0" distB="0" distL="0" distR="0" wp14:anchorId="6ED515A2" wp14:editId="7FABCD4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F0D835" w14:textId="77777777" w:rsidR="00D058B8" w:rsidRPr="00AD1E03" w:rsidRDefault="00D058B8" w:rsidP="004C5D52">
      <w:pPr>
        <w:pStyle w:val="LineTop"/>
      </w:pPr>
    </w:p>
    <w:p w14:paraId="66A34963" w14:textId="77777777" w:rsidR="00680577" w:rsidRPr="00AD1E03" w:rsidRDefault="00F910D6" w:rsidP="00680577">
      <w:pPr>
        <w:pStyle w:val="EPBodyTA1"/>
      </w:pPr>
      <w:r w:rsidRPr="00AD1E03">
        <w:t>PRIJATÉ TEXTY</w:t>
      </w:r>
    </w:p>
    <w:p w14:paraId="21433688" w14:textId="77777777" w:rsidR="00D058B8" w:rsidRPr="00AD1E03" w:rsidRDefault="00D058B8" w:rsidP="00D058B8">
      <w:pPr>
        <w:pStyle w:val="LineBottom"/>
      </w:pPr>
    </w:p>
    <w:p w14:paraId="2A8FB189" w14:textId="43CC65AB" w:rsidR="00F910D6" w:rsidRPr="00AD1E03" w:rsidRDefault="00F910D6" w:rsidP="00F910D6">
      <w:pPr>
        <w:pStyle w:val="ATHeading1"/>
      </w:pPr>
      <w:bookmarkStart w:id="0" w:name="TANumber"/>
      <w:r w:rsidRPr="00AD1E03">
        <w:t>P10_TA(2025)0</w:t>
      </w:r>
      <w:r w:rsidR="00AD1E03" w:rsidRPr="00AD1E03">
        <w:t>197</w:t>
      </w:r>
      <w:bookmarkEnd w:id="0"/>
    </w:p>
    <w:p w14:paraId="659A9C19" w14:textId="77777777" w:rsidR="00F910D6" w:rsidRPr="00AD1E03" w:rsidRDefault="00F910D6" w:rsidP="00F910D6">
      <w:pPr>
        <w:pStyle w:val="ATHeading2"/>
      </w:pPr>
      <w:bookmarkStart w:id="1" w:name="title"/>
      <w:r w:rsidRPr="00AD1E03">
        <w:t>Vykonávanie a zefektívnenie pravidiel vnútorného trhu EÚ s cieľom posilniť jednotný trh</w:t>
      </w:r>
      <w:bookmarkEnd w:id="1"/>
    </w:p>
    <w:p w14:paraId="77636849" w14:textId="77777777" w:rsidR="00F910D6" w:rsidRPr="00AD1E03" w:rsidRDefault="00F910D6" w:rsidP="00F910D6">
      <w:pPr>
        <w:rPr>
          <w:i/>
          <w:vanish/>
        </w:rPr>
      </w:pPr>
      <w:r w:rsidRPr="00AD1E03">
        <w:rPr>
          <w:i/>
        </w:rPr>
        <w:fldChar w:fldCharType="begin"/>
      </w:r>
      <w:r w:rsidRPr="00AD1E03">
        <w:rPr>
          <w:i/>
        </w:rPr>
        <w:instrText xml:space="preserve"> TC"(</w:instrText>
      </w:r>
      <w:bookmarkStart w:id="2" w:name="DocNumber"/>
      <w:r w:rsidRPr="00AD1E03">
        <w:rPr>
          <w:i/>
        </w:rPr>
        <w:instrText>A10-0151/2025</w:instrText>
      </w:r>
      <w:bookmarkEnd w:id="2"/>
      <w:r w:rsidRPr="00AD1E03">
        <w:rPr>
          <w:i/>
        </w:rPr>
        <w:instrText xml:space="preserve"> - Spravodajkyňa: Anna-Maja Henriksson)"\l3 \n&gt; \* MERGEFORMAT </w:instrText>
      </w:r>
      <w:r w:rsidRPr="00AD1E03">
        <w:rPr>
          <w:i/>
        </w:rPr>
        <w:fldChar w:fldCharType="end"/>
      </w:r>
    </w:p>
    <w:p w14:paraId="3BA4A65D" w14:textId="77777777" w:rsidR="00F910D6" w:rsidRPr="00AD1E03" w:rsidRDefault="00F910D6" w:rsidP="00F910D6">
      <w:pPr>
        <w:rPr>
          <w:vanish/>
        </w:rPr>
      </w:pPr>
      <w:bookmarkStart w:id="3" w:name="Commission"/>
      <w:r w:rsidRPr="00AD1E03">
        <w:rPr>
          <w:vanish/>
        </w:rPr>
        <w:t>Výbor pre vnútorný trh a ochranu spotrebiteľa</w:t>
      </w:r>
      <w:bookmarkEnd w:id="3"/>
    </w:p>
    <w:p w14:paraId="368F22B7" w14:textId="77777777" w:rsidR="00F910D6" w:rsidRPr="00AD1E03" w:rsidRDefault="00F910D6" w:rsidP="00F910D6">
      <w:pPr>
        <w:rPr>
          <w:vanish/>
        </w:rPr>
      </w:pPr>
      <w:bookmarkStart w:id="4" w:name="PE"/>
      <w:r w:rsidRPr="00AD1E03">
        <w:rPr>
          <w:vanish/>
        </w:rPr>
        <w:t>PE769.908</w:t>
      </w:r>
      <w:bookmarkEnd w:id="4"/>
    </w:p>
    <w:p w14:paraId="2C3393A8" w14:textId="6ADDED1D" w:rsidR="00F910D6" w:rsidRPr="00AD1E03" w:rsidRDefault="00F910D6" w:rsidP="00F910D6">
      <w:pPr>
        <w:pStyle w:val="ATHeading3"/>
      </w:pPr>
      <w:bookmarkStart w:id="5" w:name="Sujet"/>
      <w:r w:rsidRPr="00AD1E03">
        <w:t>Uznesenie Európskeho parlamentu z</w:t>
      </w:r>
      <w:r w:rsidR="00935FC9" w:rsidRPr="00AD1E03">
        <w:t> 11</w:t>
      </w:r>
      <w:r w:rsidRPr="00AD1E03">
        <w:t>. septembra 2025 o vykonávaní a zefektívnení pravidiel vnútorného trhu EÚ s cieľom posilniť jednotný trh</w:t>
      </w:r>
      <w:bookmarkEnd w:id="5"/>
      <w:r w:rsidRPr="00AD1E03">
        <w:t xml:space="preserve"> </w:t>
      </w:r>
      <w:bookmarkStart w:id="6" w:name="References"/>
      <w:r w:rsidRPr="00AD1E03">
        <w:t>(2025/2009(INI))</w:t>
      </w:r>
      <w:bookmarkEnd w:id="6"/>
    </w:p>
    <w:p w14:paraId="2C02A3B6" w14:textId="77777777" w:rsidR="00AF0259" w:rsidRPr="00AD1E03" w:rsidRDefault="00AF0259" w:rsidP="00AF0259">
      <w:pPr>
        <w:pStyle w:val="EPComma"/>
      </w:pPr>
      <w:r w:rsidRPr="00AD1E03">
        <w:rPr>
          <w:rStyle w:val="Italic"/>
        </w:rPr>
        <w:t>Európsky parlament</w:t>
      </w:r>
      <w:r w:rsidRPr="00AD1E03">
        <w:t>,</w:t>
      </w:r>
    </w:p>
    <w:p w14:paraId="7C4F4E30" w14:textId="78C048DD" w:rsidR="00AF0259" w:rsidRPr="00AD1E03" w:rsidRDefault="00AF0259" w:rsidP="00AF0259">
      <w:pPr>
        <w:pStyle w:val="NormalHanging12a"/>
      </w:pPr>
      <w:r w:rsidRPr="00AD1E03">
        <w:t>–</w:t>
      </w:r>
      <w:r w:rsidRPr="00AD1E03">
        <w:tab/>
        <w:t>so zreteľom na oznámenie Komisie z 11. februára 2025 s názvom Pracovný program Komisie na rok 2025 – Spoločne za odvážnejšiu, jednoduchšiu a rýchlejšiu Európu (COM(2025)0045),</w:t>
      </w:r>
    </w:p>
    <w:p w14:paraId="097775CF" w14:textId="42BFE617" w:rsidR="00AF0259" w:rsidRPr="00AD1E03" w:rsidRDefault="00AF0259" w:rsidP="00AF0259">
      <w:pPr>
        <w:pStyle w:val="NormalHanging12a"/>
      </w:pPr>
      <w:r w:rsidRPr="00AD1E03">
        <w:t>–</w:t>
      </w:r>
      <w:r w:rsidRPr="00AD1E03">
        <w:tab/>
        <w:t>so zreteľom na Politické usmernenia pre budúcu Komisiu</w:t>
      </w:r>
      <w:r w:rsidR="00A62BCE">
        <w:t xml:space="preserve"> 2024-2029</w:t>
      </w:r>
      <w:r w:rsidRPr="00AD1E03">
        <w:t>, ktoré zvolená predsedníčka Komisie predstavila 18. júla 2024,</w:t>
      </w:r>
    </w:p>
    <w:p w14:paraId="46EF4F1B" w14:textId="4EB463BF" w:rsidR="00AF0259" w:rsidRPr="00AD1E03" w:rsidRDefault="00AF0259" w:rsidP="00AF0259">
      <w:pPr>
        <w:pStyle w:val="NormalHanging12a"/>
      </w:pPr>
      <w:r w:rsidRPr="00AD1E03">
        <w:t>–</w:t>
      </w:r>
      <w:r w:rsidRPr="00AD1E03">
        <w:tab/>
        <w:t>so zreteľom na oznámenie Komisie z 11. februára 2025 s názvom Jednoduchšia a rýchlejšia Európa: oznámenie o vykonávaní a zjednodušení (COM(2025)0047),</w:t>
      </w:r>
    </w:p>
    <w:p w14:paraId="65BA8E88" w14:textId="77E64674" w:rsidR="00AF0259" w:rsidRPr="00AD1E03" w:rsidRDefault="00AF0259" w:rsidP="00AF0259">
      <w:pPr>
        <w:pStyle w:val="NormalHanging12a"/>
      </w:pPr>
      <w:r w:rsidRPr="00AD1E03">
        <w:t>–</w:t>
      </w:r>
      <w:r w:rsidRPr="00AD1E03">
        <w:tab/>
        <w:t>so zreteľom na oznámenie Komisie z 29. januára 2025 s názvom Kompas konkurencieschopnosti pre EÚ (COM(2025)0030),</w:t>
      </w:r>
    </w:p>
    <w:p w14:paraId="40FADB70" w14:textId="55EE5FF1" w:rsidR="00AF0259" w:rsidRPr="00AD1E03" w:rsidRDefault="00AF0259" w:rsidP="00AF0259">
      <w:pPr>
        <w:pStyle w:val="NormalHanging12a"/>
      </w:pPr>
      <w:r w:rsidRPr="00AD1E03">
        <w:t>–</w:t>
      </w:r>
      <w:r w:rsidRPr="00AD1E03">
        <w:tab/>
        <w:t>so zreteľom na oznámenie Komisie z 29. januára 2025 s názvom Výročná správa 2025 o jednotnom trhu a konkurencieschopnosti (COM(2025)0026),</w:t>
      </w:r>
    </w:p>
    <w:p w14:paraId="72C11DF8" w14:textId="77777777" w:rsidR="00AF0259" w:rsidRPr="00AD1E03" w:rsidRDefault="00AF0259" w:rsidP="00AF0259">
      <w:pPr>
        <w:pStyle w:val="NormalHanging12a"/>
      </w:pPr>
      <w:r w:rsidRPr="00AD1E03">
        <w:t>–</w:t>
      </w:r>
      <w:r w:rsidRPr="00AD1E03">
        <w:tab/>
        <w:t xml:space="preserve">so zreteľom na správu Maria </w:t>
      </w:r>
      <w:proofErr w:type="spellStart"/>
      <w:r w:rsidRPr="00AD1E03">
        <w:t>Draghiho</w:t>
      </w:r>
      <w:proofErr w:type="spellEnd"/>
      <w:r w:rsidRPr="00AD1E03">
        <w:t xml:space="preserve"> z 9. septembra 2024 s názvom Budúcnosť európskej konkurencieschopnosti,</w:t>
      </w:r>
    </w:p>
    <w:p w14:paraId="75A79B77" w14:textId="77777777" w:rsidR="00AF0259" w:rsidRPr="00AD1E03" w:rsidRDefault="00AF0259" w:rsidP="00AF0259">
      <w:pPr>
        <w:pStyle w:val="NormalHanging12a"/>
      </w:pPr>
      <w:r w:rsidRPr="00AD1E03">
        <w:t>–</w:t>
      </w:r>
      <w:r w:rsidRPr="00AD1E03">
        <w:tab/>
        <w:t xml:space="preserve">so zreteľom na správu </w:t>
      </w:r>
      <w:proofErr w:type="spellStart"/>
      <w:r w:rsidRPr="00AD1E03">
        <w:t>Enrica</w:t>
      </w:r>
      <w:proofErr w:type="spellEnd"/>
      <w:r w:rsidRPr="00AD1E03">
        <w:t xml:space="preserve"> </w:t>
      </w:r>
      <w:proofErr w:type="spellStart"/>
      <w:r w:rsidRPr="00AD1E03">
        <w:t>Lettu</w:t>
      </w:r>
      <w:proofErr w:type="spellEnd"/>
      <w:r w:rsidRPr="00AD1E03">
        <w:t xml:space="preserve"> z 10. apríla 2024 s názvom Oveľa viac než len trh,</w:t>
      </w:r>
    </w:p>
    <w:p w14:paraId="3A04257C" w14:textId="77777777" w:rsidR="00AF0259" w:rsidRPr="00AD1E03" w:rsidRDefault="00AF0259" w:rsidP="00AF0259">
      <w:pPr>
        <w:pStyle w:val="NormalHanging12a"/>
      </w:pPr>
      <w:r w:rsidRPr="00AD1E03">
        <w:t>–</w:t>
      </w:r>
      <w:r w:rsidRPr="00AD1E03">
        <w:tab/>
        <w:t xml:space="preserve">so zreteľom na správu </w:t>
      </w:r>
      <w:proofErr w:type="spellStart"/>
      <w:r w:rsidRPr="00AD1E03">
        <w:t>Sauliho</w:t>
      </w:r>
      <w:proofErr w:type="spellEnd"/>
      <w:r w:rsidRPr="00AD1E03">
        <w:rPr>
          <w:rStyle w:val="Bold"/>
        </w:rPr>
        <w:t xml:space="preserve"> </w:t>
      </w:r>
      <w:proofErr w:type="spellStart"/>
      <w:r w:rsidRPr="00AD1E03">
        <w:t>Niinistöa</w:t>
      </w:r>
      <w:proofErr w:type="spellEnd"/>
      <w:r w:rsidRPr="00AD1E03">
        <w:t xml:space="preserve"> z 30. októbra 2024 s názvom Spoločne vo väčšom bezpečí: posilnenie civilnej a vojenskej pripravenosti a pohotovosti Európy,</w:t>
      </w:r>
    </w:p>
    <w:p w14:paraId="4C1EC643" w14:textId="77777777" w:rsidR="00AF0259" w:rsidRPr="00AD1E03" w:rsidRDefault="00AF0259" w:rsidP="00AF0259">
      <w:pPr>
        <w:pStyle w:val="NormalHanging12a"/>
      </w:pPr>
      <w:r w:rsidRPr="00AD1E03">
        <w:lastRenderedPageBreak/>
        <w:t>–</w:t>
      </w:r>
      <w:r w:rsidRPr="00AD1E03">
        <w:tab/>
        <w:t>so zreteľom na svoje uznesenie z 18. januára 2023 k 30. výročiu jednotného trhu: oslava úspechov a pohľad na budúci vývoj</w:t>
      </w:r>
      <w:r w:rsidRPr="00AD1E03">
        <w:rPr>
          <w:rStyle w:val="FootnoteReference"/>
        </w:rPr>
        <w:footnoteReference w:id="1"/>
      </w:r>
      <w:r w:rsidRPr="00AD1E03">
        <w:t>,</w:t>
      </w:r>
    </w:p>
    <w:p w14:paraId="53A8C55E" w14:textId="77777777" w:rsidR="00AF0259" w:rsidRPr="00AD1E03" w:rsidRDefault="00AF0259" w:rsidP="00AF0259">
      <w:pPr>
        <w:pStyle w:val="NormalHanging12a"/>
      </w:pPr>
      <w:r w:rsidRPr="00AD1E03">
        <w:t>–</w:t>
      </w:r>
      <w:r w:rsidRPr="00AD1E03">
        <w:tab/>
        <w:t>so zreteľom na článok 55 rokovacieho poriadku,</w:t>
      </w:r>
    </w:p>
    <w:p w14:paraId="0CA87680" w14:textId="77777777" w:rsidR="00AF0259" w:rsidRPr="00AD1E03" w:rsidRDefault="00AF0259" w:rsidP="00AF0259">
      <w:pPr>
        <w:pStyle w:val="NormalHanging12a"/>
      </w:pPr>
      <w:r w:rsidRPr="00AD1E03">
        <w:t>–</w:t>
      </w:r>
      <w:r w:rsidRPr="00AD1E03">
        <w:tab/>
        <w:t>so zreteľom na správu Výboru pre vnútorný trh a ochranu spotrebiteľa (A10-0151/2025),</w:t>
      </w:r>
    </w:p>
    <w:p w14:paraId="35D6CDB0" w14:textId="77777777" w:rsidR="00AF0259" w:rsidRPr="00AD1E03" w:rsidRDefault="00AF0259" w:rsidP="00AF0259">
      <w:pPr>
        <w:pStyle w:val="NormalHanging12a"/>
      </w:pPr>
      <w:r w:rsidRPr="00AD1E03">
        <w:t>A.</w:t>
      </w:r>
      <w:r w:rsidRPr="00AD1E03">
        <w:tab/>
        <w:t xml:space="preserve">keďže EÚ je jedným z najväčších hospodárskych blokov na svete s približne 450 miliónmi obyvateľov; keďže zabezpečenie konkurencieschopného, účelného a zjednodušeného regulačného prostredia má zásadný význam pre posilnenie globálnej pozície EÚ, podporu dlhodobého rastu, dôvery a ochrany spotrebiteľov, inovácií a dokončenie dvojakej transformácie </w:t>
      </w:r>
      <w:proofErr w:type="spellStart"/>
      <w:r w:rsidRPr="00AD1E03">
        <w:t>transformácie</w:t>
      </w:r>
      <w:proofErr w:type="spellEnd"/>
      <w:r w:rsidRPr="00AD1E03">
        <w:t>;</w:t>
      </w:r>
    </w:p>
    <w:p w14:paraId="0C9DB3D4" w14:textId="77777777" w:rsidR="00AF0259" w:rsidRPr="00AD1E03" w:rsidRDefault="00AF0259" w:rsidP="00AF0259">
      <w:pPr>
        <w:pStyle w:val="NormalHanging12a"/>
      </w:pPr>
      <w:r w:rsidRPr="00AD1E03">
        <w:t>B.</w:t>
      </w:r>
      <w:r w:rsidRPr="00AD1E03">
        <w:tab/>
        <w:t>keďže Komisia stanovila ciele na zníženie administratívnych nákladov o 25 % pre všetky spoločnosti a o 35 % pre malé a stredné podniky (MSP) do roku 2029; keďže v oznámení Komisie s názvom Jednoduchšia a rýchlejšia Európa sa zdôrazňuje potreba dosiahnuť rýchle a viditeľné zlepšenia prostredníctvom inteligentnejšej regulácie, účinnejšieho vykonávania a lepšieho zapojenia zainteresovaných strán; keďže takéto úsilie by sa malo koncipovať tak, aby z neho mali prospech podniky, spotrebitelia a spoločnosť ako celok, a to zlepšením prístupu na trh, znížením zbytočného zaťaženia a zabezpečením rovnakých podmienok a zároveň dodržiavaním hlavných politických cieľov EÚ a prísnych sociálnych a environmentálnych noriem;</w:t>
      </w:r>
    </w:p>
    <w:p w14:paraId="19088C28" w14:textId="77777777" w:rsidR="00AF0259" w:rsidRPr="00AD1E03" w:rsidRDefault="00AF0259" w:rsidP="00AF0259">
      <w:pPr>
        <w:pStyle w:val="NormalHanging12a"/>
        <w:rPr>
          <w:bCs/>
          <w:iCs/>
        </w:rPr>
      </w:pPr>
      <w:r w:rsidRPr="00AD1E03">
        <w:t>C.</w:t>
      </w:r>
      <w:r w:rsidRPr="00AD1E03">
        <w:tab/>
        <w:t xml:space="preserve">keďže v správach M. </w:t>
      </w:r>
      <w:proofErr w:type="spellStart"/>
      <w:r w:rsidRPr="00AD1E03">
        <w:t>Draghiho</w:t>
      </w:r>
      <w:proofErr w:type="spellEnd"/>
      <w:r w:rsidRPr="00AD1E03">
        <w:t xml:space="preserve"> a E. </w:t>
      </w:r>
      <w:proofErr w:type="spellStart"/>
      <w:r w:rsidRPr="00AD1E03">
        <w:t>Lettu</w:t>
      </w:r>
      <w:proofErr w:type="spellEnd"/>
      <w:r w:rsidRPr="00AD1E03">
        <w:t xml:space="preserve"> sa uvádzajú fragmentácia vnútorného trhu, regulačná zložitosť a nekonzistentné vykonávanie pravidiel EÚ ako hlavné prekážky konkurencieschopnosti jednotného trhu EÚ; keďže podľa </w:t>
      </w:r>
      <w:proofErr w:type="spellStart"/>
      <w:r w:rsidRPr="00AD1E03">
        <w:t>Draghiho</w:t>
      </w:r>
      <w:proofErr w:type="spellEnd"/>
      <w:r w:rsidRPr="00AD1E03">
        <w:t xml:space="preserve"> správy by podpora stabilnejšieho a predvídateľnejšieho regulačného prostredia so zameraním na potrebné a primerané legislatívne opatrenia mohla pomôcť posilniť konkurencieschopnosť EÚ;</w:t>
      </w:r>
    </w:p>
    <w:p w14:paraId="77F5A096" w14:textId="77777777" w:rsidR="00AF0259" w:rsidRPr="00AD1E03" w:rsidRDefault="00AF0259" w:rsidP="00AF0259">
      <w:pPr>
        <w:pStyle w:val="NormalHanging12a"/>
      </w:pPr>
      <w:r w:rsidRPr="00AD1E03">
        <w:t>D.</w:t>
      </w:r>
      <w:r w:rsidRPr="00AD1E03">
        <w:tab/>
        <w:t xml:space="preserve">keďže v pripomienkach uvedených v </w:t>
      </w:r>
      <w:proofErr w:type="spellStart"/>
      <w:r w:rsidRPr="00AD1E03">
        <w:t>Niinistöovej</w:t>
      </w:r>
      <w:proofErr w:type="spellEnd"/>
      <w:r w:rsidRPr="00AD1E03">
        <w:t xml:space="preserve"> správe v súvislosti so zjednodušením a posilnením obranného priemyslu EÚ sa poukazuje na strategickú potrebu zefektívniť právne predpisy v kľúčových sektoroch, aby sa zmenšila fragmentácia, urýchlilo verejné obstarávanie a zlepšili dodávky s cieľom podporiť bezpečnosť a konkurencieschopnosť EÚ;</w:t>
      </w:r>
    </w:p>
    <w:p w14:paraId="251E9454" w14:textId="77777777" w:rsidR="00AF0259" w:rsidRPr="00AD1E03" w:rsidRDefault="00AF0259" w:rsidP="00AF0259">
      <w:pPr>
        <w:pStyle w:val="NormalHanging12a"/>
      </w:pPr>
      <w:r w:rsidRPr="00AD1E03">
        <w:t>E.</w:t>
      </w:r>
      <w:r w:rsidRPr="00AD1E03">
        <w:tab/>
        <w:t>keďže výročná správa 2025 o jednotnom trhu a konkurencieschopnosti a hodnotiaca tabuľka jednotného trhu a konkurencieschopnosti obsahujú veľmi dôležité informácie o súčasnom stave jednotného trhu, podnikateľskej nálade a konkurencieschopnosti odvetvia; keďže integrácia v odvetví služieb je naďalej slabšia než v prípade tovaru; keďže nedostatočná harmonizácia naďalej bráni poskytovaniu cezhraničných služieb, najmä zo strany MSP; keďže podľa nedávnych štatistík sú lehoty na vydanie povolenia na otvorenie a vykonávanie podnikateľskej činnosti v EÚ stále podstatne dlhšie ako v konkurenčných regiónoch, čo vytvára prekážky pre investície a inovácie</w:t>
      </w:r>
      <w:r w:rsidRPr="00AD1E03">
        <w:rPr>
          <w:rStyle w:val="FootnoteReference"/>
        </w:rPr>
        <w:footnoteReference w:id="2"/>
      </w:r>
      <w:r w:rsidRPr="00AD1E03">
        <w:t xml:space="preserve">; </w:t>
      </w:r>
    </w:p>
    <w:p w14:paraId="212D1B7B" w14:textId="77777777" w:rsidR="00AF0259" w:rsidRPr="00AD1E03" w:rsidRDefault="00AF0259" w:rsidP="00AF0259">
      <w:pPr>
        <w:pStyle w:val="NormalHanging12a"/>
      </w:pPr>
      <w:r w:rsidRPr="00AD1E03">
        <w:lastRenderedPageBreak/>
        <w:t>F.</w:t>
      </w:r>
      <w:r w:rsidRPr="00AD1E03">
        <w:tab/>
        <w:t xml:space="preserve">keďže regulačná fragmentácia, zložitosť, prekrývanie a nejednotné vykonávanie pravidiel vnútorného trhu EÚ vytvárajú neodôvodnené prekážky a zbytočnú administratívnu záťaž, ktoré neprimerane ovplyvňujú MSP, malé spoločnosti so strednou trhovou kapitalizáciou a startupy, ktoré predstavujú 99 % podnikov EÚ, čo obmedzuje ich schopnosť inovovať, investovať, rozširovať sa, účinne súťažiť a zapájať sa do cezhraničných činností v rámci jednotného trhu, ako aj na svetových trhoch; keďže test vplyvu na MSP a lepšie vykonávanie a zjednodušenie pravidiel EÚ, ak je to potrebné a odôvodnené, sú nevyhnutné na zabezpečenie proporcionality v právnom rámci; keďže, ako sa zdôrazňuje v </w:t>
      </w:r>
      <w:proofErr w:type="spellStart"/>
      <w:r w:rsidRPr="00AD1E03">
        <w:t>Draghiho</w:t>
      </w:r>
      <w:proofErr w:type="spellEnd"/>
      <w:r w:rsidRPr="00AD1E03">
        <w:t xml:space="preserve"> správe, rozdiel v konkurencieschopnosti EÚ je spôsobený aj nedostatočnými výsledkami veľkých firiem, a keďže úspešné spoločnosti na vnútornom trhu, ktoré takisto zachytávajú hodnotu z globálnych trhov, sú nevyhnutné na vytvorenie prosperity pre EÚ a jej občanov; </w:t>
      </w:r>
    </w:p>
    <w:p w14:paraId="5A8403AA" w14:textId="77777777" w:rsidR="00AF0259" w:rsidRPr="00AD1E03" w:rsidRDefault="00AF0259" w:rsidP="00AF0259">
      <w:pPr>
        <w:pStyle w:val="NormalHanging12a"/>
      </w:pPr>
      <w:r w:rsidRPr="00AD1E03">
        <w:t>G.</w:t>
      </w:r>
      <w:r w:rsidRPr="00AD1E03">
        <w:tab/>
        <w:t>keďže dôsledné presadzovanie pravidiel jednotného trhu, a to aj prostredníctvom rýchlejších a účinnejších konaní o porušení predpisov, by sa malo považovať za nevyhnutné na zabezpečenie spravodlivej hospodárskej súťaže a dôvery podnikov, ako aj na ochranu spotrebiteľov pred dôsledkami roztrieštenosti trhu a obmedzenej ponuky; keďže úsilie o zlepšenie, zefektívnenie a zjednodušenie legislatívneho rámca EÚ by sa malo zamerať aj na zvýšenie kvality, jasnosti a súdržnosti, na zníženie fragmentácie pri uplatňovaní pravidiel EÚ, ako aj na zabezpečenie toho, aby boli právne predpisy ľahko zrozumiteľné pre orgány a všetky zainteresované strany;</w:t>
      </w:r>
    </w:p>
    <w:p w14:paraId="158D83A0" w14:textId="77777777" w:rsidR="00AF0259" w:rsidRPr="00AD1E03" w:rsidRDefault="00AF0259" w:rsidP="00AF0259">
      <w:pPr>
        <w:pStyle w:val="NormalHanging12a"/>
      </w:pPr>
      <w:r w:rsidRPr="00AD1E03">
        <w:t>H.</w:t>
      </w:r>
      <w:r w:rsidRPr="00AD1E03">
        <w:tab/>
        <w:t xml:space="preserve">keďže Kompas konkurencieschopnosti a pracovný program Komisie na rok 2025 stanovujú ambiciózne politické ciele zamerané na posilnenie odolnosti jednotného trhu, zníženie administratívneho zaťaženia a zosúladenie regulačného rámca s globálnymi najlepšími postupmi; keďže je dôležité ďalej prepojiť priemyselnú stratégiu EÚ so stratégiou jednotného trhu s cieľom posilniť konkurencieschopnosť hospodárstva EÚ, a to aj podporou rozvoja a zavádzania čistých a strategických technológií; </w:t>
      </w:r>
    </w:p>
    <w:p w14:paraId="70FF560E" w14:textId="77777777" w:rsidR="00AF0259" w:rsidRPr="00AD1E03" w:rsidRDefault="00AF0259" w:rsidP="00AF0259">
      <w:pPr>
        <w:pStyle w:val="NormalHanging12a"/>
      </w:pPr>
      <w:r w:rsidRPr="00AD1E03">
        <w:t>I.</w:t>
      </w:r>
      <w:r w:rsidRPr="00AD1E03">
        <w:tab/>
        <w:t>keďže v úsilí o zjednodušenie regulačného prostredia na vnútornom trhu EÚ by sa mali zohľadniť názory podnikov, odborových zväzov, spotrebiteľov, aktérov občianskej spoločnosti, akademickej obce a iných dotknutých zainteresovaných strán s cieľom zabezpečiť, aby politiky EÚ podporovali hospodársky rast a kvalitné pracovné miesta a vytvárali pozitívne prostredie pre súkromné investície a inovácie a pre dosahovanie politických cieľov, ako sú udržateľnosť, digitalizácia a ochrana spotrebiteľa, a to prostredníctvom komplexných, transparentných a inkluzívnych verejných konzultácií, s osobitným zreteľom na osobitné potreby a perspektívy MSP a startupov, ako aj iných zainteresovaných strán s obmedzenou kapacitou, čím sa zabezpečí, aby úsilie o zjednodušenie nepenalizovalo subjekty, ktoré sa rozhodli pre skorší prechod, a aby neodstraňovalo stimuly pre podniky založené na inováciách;</w:t>
      </w:r>
    </w:p>
    <w:p w14:paraId="0E955B7D" w14:textId="77777777" w:rsidR="00AF0259" w:rsidRPr="00AD1E03" w:rsidRDefault="00AF0259" w:rsidP="00AF0259">
      <w:pPr>
        <w:pStyle w:val="NormalHanging12a"/>
      </w:pPr>
      <w:r w:rsidRPr="00AD1E03">
        <w:t>J.</w:t>
      </w:r>
      <w:r w:rsidRPr="00AD1E03">
        <w:tab/>
        <w:t>keďže neodôvodnené vnútroštátne prekážky voľného pohybu tovaru a služieb narúšajú fungovanie jednotného trhu, a preto by sa mali riešiť a malo by sa im predchádzať; keďže Medzinárodný menový fond odhadol, že prekážky na vnútornom trhu v EÚ zodpovedajú 45 % clu vo výrobe a 110 % v službách; keďže takáto fragmentácia oslabuje hospodársku súťaž, brzdí produktivitu a rast a neúmerne ovplyvňuje MSP;</w:t>
      </w:r>
    </w:p>
    <w:p w14:paraId="12E37C64" w14:textId="77777777" w:rsidR="00AF0259" w:rsidRPr="00AD1E03" w:rsidRDefault="00AF0259" w:rsidP="00AF0259">
      <w:pPr>
        <w:pStyle w:val="NormalHanging12a"/>
      </w:pPr>
      <w:r w:rsidRPr="00AD1E03">
        <w:t>K.</w:t>
      </w:r>
      <w:r w:rsidRPr="00AD1E03">
        <w:tab/>
        <w:t>keďže vplyv územných obmedzení dodávok na jednotný trh, MSP a kúpnej sily občanov EÚ je významný, keďže podľa Komisie stoja územné obmedzenia dodávok spotrebiteľov v EÚ viac ako 14 miliárd EUR ročne;</w:t>
      </w:r>
    </w:p>
    <w:p w14:paraId="3C27C1B9" w14:textId="77777777" w:rsidR="00AF0259" w:rsidRPr="00AD1E03" w:rsidRDefault="00AF0259" w:rsidP="00AF0259">
      <w:pPr>
        <w:pStyle w:val="Normal12a24b"/>
        <w:rPr>
          <w:rStyle w:val="BoldItalic"/>
        </w:rPr>
      </w:pPr>
      <w:r w:rsidRPr="00AD1E03">
        <w:rPr>
          <w:rStyle w:val="BoldItalic"/>
        </w:rPr>
        <w:lastRenderedPageBreak/>
        <w:t>Posilnenie jednotného trhu s cieľom podporiť konkurencieschopnosť EÚ a jej celosvetový vplyv</w:t>
      </w:r>
    </w:p>
    <w:p w14:paraId="5C3FB54A" w14:textId="77777777" w:rsidR="00AF0259" w:rsidRPr="00AD1E03" w:rsidRDefault="00AF0259" w:rsidP="00AF0259">
      <w:pPr>
        <w:pStyle w:val="Normal12a24b"/>
        <w:ind w:left="720" w:hanging="720"/>
      </w:pPr>
      <w:r w:rsidRPr="00AD1E03">
        <w:t>1.</w:t>
      </w:r>
      <w:r w:rsidRPr="00AD1E03">
        <w:tab/>
        <w:t>zdôrazňuje, že EÚ v celosvetovej konkurencieschopnosti zaostáva, a to najmä v určitých odvetviach; uznáva, že nedostatočné vykonávanie, regulačná fragmentácia a zbytočné administratívne zaťaženie sú niektoré z hlavných faktorov toho, prečo EÚ zaostáva v oblasti investícií, inovácií, tvorby pracovných miest a obchodných príležitostí; zdôrazňuje, že podpora, zefektívnenie a zjednodušenie pravidiel, riadne a včasné vykonávanie, ako aj účinné presadzovanie spoločných pravidiel posilňujú jednotný trh, a tak zvyšujú konkurencieschopnosť, hospodársku prosperitu, zamestnanosť, rozvoj zručností, kvalitné pracovné miesta, prísne environmentálne štandardy a inovácie;</w:t>
      </w:r>
    </w:p>
    <w:p w14:paraId="131AC4FB" w14:textId="77777777" w:rsidR="00AF0259" w:rsidRPr="00AD1E03" w:rsidRDefault="00AF0259" w:rsidP="00AF0259">
      <w:pPr>
        <w:pStyle w:val="Normal12a24b"/>
        <w:ind w:left="720" w:hanging="720"/>
        <w:rPr>
          <w:iCs/>
        </w:rPr>
      </w:pPr>
      <w:r w:rsidRPr="00AD1E03">
        <w:t>2.</w:t>
      </w:r>
      <w:r w:rsidRPr="00AD1E03">
        <w:tab/>
        <w:t>uznáva, že zabezpečenie prosperity EÚ si vyžaduje zlepšenie regulačnej súdržnosti a zníženie zbytočného administratívneho zaťaženia podnikov, najmä menších podnikov a startupov; trvá preto na tom, že je potrebné odstrániť prekážky, ktoré v súčasnosti bránia rastu, tvorbe pracovných miest a investíciám, a že zdroje by sa mali presmerovať na podporu inovácií a rastu a zároveň by sa mali zabezpečiť rovnaké podmienky založené na prísnych sociálnych a environmentálnych normách; zdôrazňuje potrebu mobilizovať súkromné investície a poukazuje na to, že osobitná pozornosť by sa mala venovať zníženiu nákladov na dodržiavanie predpisov pre MSP prostredníctvom digitálnych nástrojov a cielených výnimiek; zdôrazňuje, že ustanovenia prispôsobené potrebám MSP musia ísť ruka v ruke s reformami zameranými na riešenie pretrvávajúcich prekážok, ktorým čelia spoločnosti vo fáze rozširovania, a zároveň musia umožniť väčším spoločnostiam pôsobiť a súťažiť cezhranične a na medzinárodnej úrovni;</w:t>
      </w:r>
    </w:p>
    <w:p w14:paraId="050396A5" w14:textId="77777777" w:rsidR="00AF0259" w:rsidRPr="00AD1E03" w:rsidRDefault="00AF0259" w:rsidP="00AF0259">
      <w:pPr>
        <w:pStyle w:val="Normal12a24b"/>
        <w:ind w:left="720" w:hanging="720"/>
      </w:pPr>
      <w:r w:rsidRPr="00AD1E03">
        <w:t>3.</w:t>
      </w:r>
      <w:r w:rsidRPr="00AD1E03">
        <w:tab/>
        <w:t xml:space="preserve">zdôrazňuje, že zvýšená harmonizácia, efektívnejšie postupy a správne vykonávanie, účinné uplatňovanie, dodržiavanie, monitorovanie a presadzovanie právnych predpisov EÚ sú nevyhnutné pre riadne fungovanie jednotného trhu a dosiahnutie kľúčových politických cieľov EÚ; víta ciele Komisie podporiť konkurencieschopnosť, inovácie a produktivitu prostredníctvom zjednodušenia, zefektívnenia a zlepšenia vykonávania a presadzovania pravidiel EÚ; vyzýva Komisiu, aby na odporúčania uvedené v správach </w:t>
      </w:r>
      <w:proofErr w:type="spellStart"/>
      <w:r w:rsidRPr="00AD1E03">
        <w:t>Draghiho</w:t>
      </w:r>
      <w:proofErr w:type="spellEnd"/>
      <w:r w:rsidRPr="00AD1E03">
        <w:t xml:space="preserve">, </w:t>
      </w:r>
      <w:proofErr w:type="spellStart"/>
      <w:r w:rsidRPr="00AD1E03">
        <w:t>Lettu</w:t>
      </w:r>
      <w:proofErr w:type="spellEnd"/>
      <w:r w:rsidRPr="00AD1E03">
        <w:t xml:space="preserve"> a </w:t>
      </w:r>
      <w:proofErr w:type="spellStart"/>
      <w:r w:rsidRPr="00AD1E03">
        <w:t>Niinistöho</w:t>
      </w:r>
      <w:proofErr w:type="spellEnd"/>
      <w:r w:rsidRPr="00AD1E03">
        <w:t xml:space="preserve"> reagovala konkrétnymi opatreniami a jasnými harmonogramami;</w:t>
      </w:r>
    </w:p>
    <w:p w14:paraId="75B6FA06" w14:textId="77777777" w:rsidR="00AF0259" w:rsidRPr="00AD1E03" w:rsidRDefault="00AF0259" w:rsidP="00AF0259">
      <w:pPr>
        <w:pStyle w:val="Normal12a24b"/>
        <w:rPr>
          <w:rStyle w:val="BoldItalic"/>
        </w:rPr>
      </w:pPr>
      <w:r w:rsidRPr="00AD1E03">
        <w:rPr>
          <w:rStyle w:val="BoldItalic"/>
        </w:rPr>
        <w:t>Efektívnejšie pravidlá, lepšie vykonávanie a dôsledné presadzovanie v záujme predvídateľného a konkurencieschopného podnikateľského prostredia</w:t>
      </w:r>
    </w:p>
    <w:p w14:paraId="07A2C054" w14:textId="77777777" w:rsidR="00AF0259" w:rsidRPr="00AD1E03" w:rsidRDefault="00AF0259" w:rsidP="00AF0259">
      <w:pPr>
        <w:pStyle w:val="Normal12a24b"/>
        <w:ind w:left="720" w:hanging="720"/>
        <w:rPr>
          <w:iCs/>
        </w:rPr>
      </w:pPr>
      <w:r w:rsidRPr="00AD1E03">
        <w:t>4.</w:t>
      </w:r>
      <w:r w:rsidRPr="00AD1E03">
        <w:tab/>
        <w:t>zdôrazňuje, že cieľom zefektívnenia a zjednodušenia regulácie je uľahčiť dodržiavanie predpisov, a zároveň dodržiavať hlavné politické ciele EÚ, zaistiť, aby nedošlo k oslabeniu sociálnych a environmentálnych štandardov, digitálnych práv a ochrany spotrebiteľa, a zároveň zabezpečiť pre podniky stabilné a predvídateľné regulačné prostredie, ktoré poskytuje právnu zrozumiteľnosť a istotu pre všetkých; zdôrazňuje, že konkurencieschopnosť a inovácie, najmä v kontexte súčasnej krízy životných nákladov, musia priniesť výsledky, ktoré budú prospešné pre spotrebiteľov; zdôrazňuje, že zjednodušenie by malo takisto posilniť dlhodobé ciele EÚ vrátane digitalizácie hospodárstva, zelenej transformácie a ochrany spotrebiteľa a zároveň zabezpečiť technologickú neutralitu;</w:t>
      </w:r>
    </w:p>
    <w:p w14:paraId="09B90BA5" w14:textId="77777777" w:rsidR="00AF0259" w:rsidRPr="00AD1E03" w:rsidRDefault="00AF0259" w:rsidP="00AF0259">
      <w:pPr>
        <w:pStyle w:val="Normal12a24b"/>
        <w:ind w:left="720" w:hanging="720"/>
        <w:rPr>
          <w:iCs/>
        </w:rPr>
      </w:pPr>
      <w:r w:rsidRPr="00AD1E03">
        <w:lastRenderedPageBreak/>
        <w:t>5.</w:t>
      </w:r>
      <w:r w:rsidRPr="00AD1E03">
        <w:tab/>
        <w:t xml:space="preserve">domnieva sa, že za dobre fungujúci jednotný trh, v rámci ktorého sa pravidlá vykonávajú a presadzujú správne a účinne, nesú spoločnú zodpovednosť inštitúcie EÚ a členské štáty; zdôrazňuje, že tzv. </w:t>
      </w:r>
      <w:proofErr w:type="spellStart"/>
      <w:r w:rsidRPr="00AD1E03">
        <w:t>gold-plating</w:t>
      </w:r>
      <w:proofErr w:type="spellEnd"/>
      <w:r w:rsidRPr="00AD1E03">
        <w:t xml:space="preserve"> smerníc EÚ a roztrieštené presadzovanie pravidiel EÚ je naďalej prekážkou jednotného trhu a neúmerne zaťažuje MSP a startupy; žiada, aby Komisia zabezpečila riadne presadzovanie pravidiel EÚ vo všetkých členských štátoch, a to harmonizovaným spôsobom s cieľom odstrániť cezhraničné prekážky; naliehavo preto vyzýva členské štáty, aby riešili tzv. </w:t>
      </w:r>
      <w:proofErr w:type="spellStart"/>
      <w:r w:rsidRPr="00AD1E03">
        <w:t>gold-plating</w:t>
      </w:r>
      <w:proofErr w:type="spellEnd"/>
      <w:r w:rsidRPr="00AD1E03">
        <w:t xml:space="preserve"> a zabezpečili, aby sa vnútroštátne transpozičné opatrenia uverejňovali transparentne a včas a aby sa zabránilo nejednotnému vykonávaniu právnych predpisov EÚ, pričom uznáva právo členských štátov zachovať alebo zaviesť vnútroštátne opatrenia za podmienok stanovených v zmluvách; vyzýva na posilnenie spolupráce medzi existujúcimi orgánmi z rôznych členských štátov a medzi vnútroštátnymi regulačnými orgánmi a regulačnými orgánmi EÚ; vyzýva Komisiu, aby podporovala členské štáty pri dosahovaní harmonizovanejšieho vykonávania práva EÚ ďalším uľahčovaním štruktúrovaných výmen a vzájomného učenia sa, a to aj prostredníctvom organizovania transpozičných seminárov a vývoja a využívania porovnávacích nástrojov a postupov;</w:t>
      </w:r>
    </w:p>
    <w:p w14:paraId="1B00641A" w14:textId="77777777" w:rsidR="00AF0259" w:rsidRPr="00AD1E03" w:rsidRDefault="00AF0259" w:rsidP="00AF0259">
      <w:pPr>
        <w:pStyle w:val="Normal12a24b"/>
        <w:ind w:left="720" w:hanging="720"/>
        <w:rPr>
          <w:iCs/>
        </w:rPr>
      </w:pPr>
      <w:r w:rsidRPr="00AD1E03">
        <w:t>6.</w:t>
      </w:r>
      <w:r w:rsidRPr="00AD1E03">
        <w:tab/>
        <w:t xml:space="preserve">žiada Komisiu, aby zabezpečila, že súčasné aj budúce právne predpisy budú aj naďalej primerané a nebudú klásť na podniky zbytočnú záťaž, a aby zároveň zabezpečila, že dosiahnu svoje ciele, a aby do príslušných legislatívnych iniciatív začlenila doložku o včasnom preskúmaní bez toho, aby sa v tomto procese zvýšila administratívna záťaž; domnieva sa, že doložky o preskúmaní nad rámec celkovej účinnosti právnych predpisov by mali slúžiť na konkrétne posúdenie vplyvu právnych predpisov na konkurencieschopnosť EÚ a mali by sa používať na hodnotenie potreby revízie tých príslušných legislatívnych aktov, ktoré zbytočne brzdia konkurencieschopnosť; odporúča, aby sa v takýchto preskúmaniach posudzovala aj digitálna pripravenosť právnych predpisov a ich prispôsobivosť inováciám; naliehavo vyzýva Komisiu, aby zaviedla a uplatňovala jasnú metodiku a jednoduchý základný rámec na znižovanie zaťaženia a na meranie a monitorovanie pokroku pri dosahovaní stanovených cieľov, čo umožní účinné opatrenia a zodpovednosť; uznáva, že dosiahnutie zmysluplného zníženia administratívnej záťaže je spoločnou zodpovednosťou inštitúcií EÚ a členských štátov a musí sa uskutočňovať pri plnom dodržiavaní hlavných politických cieľov EÚ; vyzýva </w:t>
      </w:r>
      <w:proofErr w:type="spellStart"/>
      <w:r w:rsidRPr="00AD1E03">
        <w:t>spoluzákonodarcov</w:t>
      </w:r>
      <w:proofErr w:type="spellEnd"/>
      <w:r w:rsidRPr="00AD1E03">
        <w:t>, aby zabezpečili, že právne predpisy EÚ budú cielené, primerané a vhodné na daný účel a že zásady lepšej tvorby práva sa budú dodržiavať vo všetkých fázach politického cyklu;</w:t>
      </w:r>
    </w:p>
    <w:p w14:paraId="790D04E5" w14:textId="77777777" w:rsidR="00AF0259" w:rsidRPr="00AD1E03" w:rsidRDefault="00AF0259" w:rsidP="00AF0259">
      <w:pPr>
        <w:pStyle w:val="Normal12a24b"/>
        <w:ind w:left="720" w:hanging="720"/>
      </w:pPr>
      <w:r w:rsidRPr="00AD1E03">
        <w:t>7.</w:t>
      </w:r>
      <w:r w:rsidRPr="00AD1E03">
        <w:tab/>
        <w:t xml:space="preserve">naliehavo vyzýva Komisiu, aby ku všetkým legislatívnym návrhom vrátane delegovaných a vykonávacích aktov vypracovala kvalitné posúdenie vplyvu, ktoré je neoddeliteľnou súčasťou tvorby právnych predpisov EÚ a je dôležité na zabezpečenie dobre navrhnutých právnych aktov; zdôrazňuje, že toto posúdenie vplyvu by malo zohľadniť kumulatívne účinky predpisov a posúdiť </w:t>
      </w:r>
      <w:proofErr w:type="spellStart"/>
      <w:r w:rsidRPr="00AD1E03">
        <w:t>interoperabilitu</w:t>
      </w:r>
      <w:proofErr w:type="spellEnd"/>
      <w:r w:rsidRPr="00AD1E03">
        <w:t xml:space="preserve"> medzi novými a súčasnými pravidlami, najmä pokiaľ ide o požiadavku na podávanie správ; trvá na tom, aby súčasťou všetkých posúdení vplyvu bola kontrola konkurencieschopnosti, najmä posúdenie vplyvu na MSP a startupy a spoločnosti so strednou trhovou kapitalizáciou, ako aj na rýchlo sa rozvíjajúce technológie; zdôrazňuje, že kontrola konkurencieschopnosti by sa mala systematicky uplatňovať na všetky príslušné legislatívne návrhy, a to aj vzhľadom na ich medziodvetvový vplyv a vplyv vnútroštátnych účinkov presahovania, a jej zistenia by sa mali zohľadniť, ako sa uvádza aj v Kompase konkurencieschopnosti EÚ; domnieva sa, že výbor pre kontrolu </w:t>
      </w:r>
      <w:r w:rsidRPr="00AD1E03">
        <w:lastRenderedPageBreak/>
        <w:t>regulácie zohráva dôležitú úlohu pri zabezpečovaní kvality posúdení vplyvu, kontrol vhodnosti a hlavných hodnotení Komisie, a zdôrazňuje, že musí konať transparentne a musí mať prostriedky a nezávislosť na vykonávanie nestrannej, prísnej a kvalitnej kontroly všetkých posúdení vplyvu a legislatívnych návrhov Komisie a na vyjadrenie obáv v prípade chýbajúcich posúdení vplyvu; odporúča posilniť mandát rady a zvýšiť jej kapacitu prostredníctvom primeraných zdrojov, aby mohla v plnej miere a účinne vykonávať svoje úlohy;</w:t>
      </w:r>
    </w:p>
    <w:p w14:paraId="0381C207" w14:textId="5BFF916F" w:rsidR="00AF0259" w:rsidRPr="00AD1E03" w:rsidRDefault="00AF0259" w:rsidP="00AF0259">
      <w:pPr>
        <w:pStyle w:val="Normal12a24b"/>
        <w:ind w:left="720" w:hanging="720"/>
        <w:rPr>
          <w:iCs/>
        </w:rPr>
      </w:pPr>
      <w:r w:rsidRPr="00AD1E03">
        <w:t>8.</w:t>
      </w:r>
      <w:r w:rsidRPr="00AD1E03">
        <w:tab/>
        <w:t xml:space="preserve">vyzýva, aby sa posúdenie vplyvu vykonávalo pri všetkých podstatných zmenách, ktoré predkladajú </w:t>
      </w:r>
      <w:r w:rsidR="00BB3EBE" w:rsidRPr="00AD1E03">
        <w:t>Európsky p</w:t>
      </w:r>
      <w:r w:rsidRPr="00AD1E03">
        <w:t xml:space="preserve">arlament a Rada k návrhom Komisie, ako sa </w:t>
      </w:r>
      <w:proofErr w:type="spellStart"/>
      <w:r w:rsidRPr="00AD1E03">
        <w:t>spoluzákonodarcovia</w:t>
      </w:r>
      <w:proofErr w:type="spellEnd"/>
      <w:r w:rsidRPr="00AD1E03">
        <w:t xml:space="preserve"> dohodli už v roku 2016</w:t>
      </w:r>
      <w:r w:rsidRPr="00AD1E03">
        <w:rPr>
          <w:vertAlign w:val="superscript"/>
        </w:rPr>
        <w:footnoteReference w:id="3"/>
      </w:r>
      <w:r w:rsidRPr="00AD1E03">
        <w:t xml:space="preserve">, ak je to vhodné a potrebné pre legislatívny proces, a to aj vzhľadom na harmonogram legislatívneho procesu; vyzýva na účinné presadzovanie ustanovení </w:t>
      </w:r>
      <w:proofErr w:type="spellStart"/>
      <w:r w:rsidRPr="00AD1E03">
        <w:t>Medziinštitucionálnej</w:t>
      </w:r>
      <w:proofErr w:type="spellEnd"/>
      <w:r w:rsidRPr="00AD1E03">
        <w:t xml:space="preserve"> dohody o lepšej tvorbe práva a navrhuje, aby sa ďalej rozvíjala a používala metodika posúdenia vplyvu a kontroly konkurencieschopnosti pre Komisiu, Európsky parlament, Radu a členské štáty; zdôrazňuje, že primerané posúdenie vplyvu by malo zahŕňať potenciálne krátkodobé a dlhodobé náklady a prínosy, integrovaným a vyváženým spôsobom posúdiť hospodársky, environmentálny a sociálny vplyv za použitia kvalitatívnych aj kvantitatívnych analýz;</w:t>
      </w:r>
    </w:p>
    <w:p w14:paraId="23FD2B56" w14:textId="77777777" w:rsidR="00AF0259" w:rsidRPr="00AD1E03" w:rsidRDefault="00AF0259" w:rsidP="00AF0259">
      <w:pPr>
        <w:pStyle w:val="Normal12a24b"/>
        <w:ind w:left="720" w:hanging="720"/>
        <w:rPr>
          <w:iCs/>
        </w:rPr>
      </w:pPr>
      <w:r w:rsidRPr="00AD1E03">
        <w:t>9.</w:t>
      </w:r>
      <w:r w:rsidRPr="00AD1E03">
        <w:tab/>
        <w:t>domnieva sa, že v záujme zvýšenia právnej zrozumiteľnosti a efektívnosti je nevyhnutné predchádzať prekrývaniu rôznych právnych aktov a riešiť nejasné vymedzenia a nesúlad medzi nimi, najmä pokiaľ ide o právne predpisy týkajúce sa jednotného trhu vzťahujúceho sa na tovar, služby a digitálne technológie, pričom treba mať na pamäti ich príslušné špecifiká; vyzýva Komisiu, aby sa prioritne venovala hodnoteniu v týchto oblastiach s cieľom zabezpečiť predvídateľný a súdržný právny rámec, ktorý podnikom umožní zapojiť sa do dlhodobého plánovania a investícií; zdôrazňuje, že účinné vykonávanie, presadzovanie a jednotné uplatňovania súčasného právneho rámca musí mať prednosť pred navrhovaním nových právnych predpisov;</w:t>
      </w:r>
    </w:p>
    <w:p w14:paraId="42743CD6" w14:textId="77777777" w:rsidR="00AF0259" w:rsidRPr="00AD1E03" w:rsidRDefault="00AF0259" w:rsidP="00AF0259">
      <w:pPr>
        <w:pStyle w:val="Normal12a24b"/>
        <w:ind w:left="720" w:hanging="720"/>
        <w:rPr>
          <w:iCs/>
        </w:rPr>
      </w:pPr>
      <w:r w:rsidRPr="00AD1E03">
        <w:t>10.</w:t>
      </w:r>
      <w:r w:rsidRPr="00AD1E03">
        <w:tab/>
        <w:t xml:space="preserve">naliehavo vyzýva Komisiu, aby zabezpečila štruktúrovanejší, transparentnejší a </w:t>
      </w:r>
      <w:proofErr w:type="spellStart"/>
      <w:r w:rsidRPr="00AD1E03">
        <w:t>inkluzívnejší</w:t>
      </w:r>
      <w:proofErr w:type="spellEnd"/>
      <w:r w:rsidRPr="00AD1E03">
        <w:t xml:space="preserve"> proces konzultácií so zainteresovanými stranami vrátane preskúmania systému expertných skupín; žiada, aby sa prijali opatrenia na posilnenie zastúpenia MSP a startupov a aby sa konzultácie prispôsobili potrebám MSP a iných zainteresovaných strán s obmedzenými kapacitami tým, že sa poskytne dostatočný čas na reakciu a zlepší sa prístupnosť s cieľom zabezpečiť inkluzívne a informované rozhodovacie procesy a zlepšiť kvalitu pravidiel jednotného trhu;  zdôrazňuje, že posilnenie zapojenia zainteresovaných strán vrátane primeraného geografického zastúpenia je nevyhnutné na prehĺbenie jednotného trhu, zabezpečenie jeho účinného fungovania a zohľadnenie jeho rozmanitosti; ďalej zdôrazňuje kľúčovú úlohu občianskej spoločnosti v rozhodovacom procese, ktorá zabezpečuje pluralitu názorov a spravodlivé a vyvážené zastúpenie; podporuje zavedenie pravidelných dialógov o vykonávaní, a to aj so sociálnymi partnermi;</w:t>
      </w:r>
    </w:p>
    <w:p w14:paraId="004EB93C" w14:textId="77777777" w:rsidR="00AF0259" w:rsidRPr="00AD1E03" w:rsidRDefault="00AF0259" w:rsidP="00AF0259">
      <w:pPr>
        <w:pStyle w:val="Normal12a24b"/>
        <w:ind w:left="720" w:hanging="720"/>
        <w:rPr>
          <w:iCs/>
        </w:rPr>
      </w:pPr>
      <w:r w:rsidRPr="00AD1E03">
        <w:t>11.</w:t>
      </w:r>
      <w:r w:rsidRPr="00AD1E03">
        <w:tab/>
        <w:t xml:space="preserve">vyzýva Komisiu, aby vytvorila mechanizmus na stanovenie jasných termínov </w:t>
      </w:r>
      <w:r w:rsidRPr="00AD1E03">
        <w:lastRenderedPageBreak/>
        <w:t xml:space="preserve">uverejnenia usmernení a opatrení na presadzovanie pred nadobudnutím účinnosti právnych predpisov, aby sa predišlo regulačnej neistote a oneskoreniam pri vykonávaní; trvá na tom, aby sa takéto usmernenia pripravovali inkluzívnym a vyváženým spôsobom a slúžili skôr ako nástroj na uľahčenie dodržiavania predpisov než ako dodatočná záťaž; okrem toho zdôrazňuje, že by mali byť presné a jasné, najmä pre MSP; žiada, aby sa používanie právnych predpisov úrovne 2, napríklad delegovaných a vykonávacích aktov, obmedzilo na technické záležitosti a aby sa poskytli jasné harmonogramy a dostatočné lehoty pre hospodárske subjekty, a aby bolo v súlade s mandátom stanoveným </w:t>
      </w:r>
      <w:proofErr w:type="spellStart"/>
      <w:r w:rsidRPr="00AD1E03">
        <w:t>spoluzákonodarcami</w:t>
      </w:r>
      <w:proofErr w:type="spellEnd"/>
      <w:r w:rsidRPr="00AD1E03">
        <w:t>;</w:t>
      </w:r>
    </w:p>
    <w:p w14:paraId="6724DDF4" w14:textId="77777777" w:rsidR="00AF0259" w:rsidRPr="00AD1E03" w:rsidRDefault="00AF0259" w:rsidP="00AF0259">
      <w:pPr>
        <w:pStyle w:val="Normal12a24b"/>
        <w:ind w:left="720" w:hanging="720"/>
        <w:rPr>
          <w:iCs/>
        </w:rPr>
      </w:pPr>
      <w:r w:rsidRPr="00AD1E03">
        <w:t>12.</w:t>
      </w:r>
      <w:r w:rsidRPr="00AD1E03">
        <w:tab/>
        <w:t xml:space="preserve">zdôrazňuje význam startupov a </w:t>
      </w:r>
      <w:proofErr w:type="spellStart"/>
      <w:r w:rsidRPr="00AD1E03">
        <w:t>scaleupov</w:t>
      </w:r>
      <w:proofErr w:type="spellEnd"/>
      <w:r w:rsidRPr="00AD1E03">
        <w:t xml:space="preserve"> pri presadzovaní inovácií a zabezpečovaní budúceho vedúceho postavenia EÚ v rozhodujúcich priemyselných odvetviach; naliehavo vyzýva Komisiu a </w:t>
      </w:r>
      <w:proofErr w:type="spellStart"/>
      <w:r w:rsidRPr="00AD1E03">
        <w:t>spoluzákonodarcov</w:t>
      </w:r>
      <w:proofErr w:type="spellEnd"/>
      <w:r w:rsidRPr="00AD1E03">
        <w:t xml:space="preserve"> na zabezpečenie toho, aby budúce nariadenia boli navrhnuté tak, aby podporovali inovácie a vždy dodržiavali vysoké normy; navrhuje, aby sa do budúcich právnych predpisov, ktoré majú vplyv na inovačné odvetvia, v relevantných prípadoch začlenil regulačný testovací režim, pričom by sa dôraz kládol najmä na </w:t>
      </w:r>
      <w:proofErr w:type="spellStart"/>
      <w:r w:rsidRPr="00AD1E03">
        <w:t>prínosnosť</w:t>
      </w:r>
      <w:proofErr w:type="spellEnd"/>
      <w:r w:rsidRPr="00AD1E03">
        <w:t xml:space="preserve"> pre MSP a startupy; zasadzuje sa za vytvorenie „inovačných </w:t>
      </w:r>
      <w:proofErr w:type="spellStart"/>
      <w:r w:rsidRPr="00AD1E03">
        <w:t>hubov</w:t>
      </w:r>
      <w:proofErr w:type="spellEnd"/>
      <w:r w:rsidRPr="00AD1E03">
        <w:t xml:space="preserve"> EÚ“ vo všetkých členských štátoch;</w:t>
      </w:r>
    </w:p>
    <w:p w14:paraId="0C63CB76" w14:textId="77777777" w:rsidR="00AF0259" w:rsidRPr="00AD1E03" w:rsidRDefault="00AF0259" w:rsidP="00AF0259">
      <w:pPr>
        <w:pStyle w:val="Normal12a24b"/>
        <w:ind w:left="720" w:hanging="720"/>
        <w:rPr>
          <w:iCs/>
        </w:rPr>
      </w:pPr>
      <w:r w:rsidRPr="00AD1E03">
        <w:t>13.</w:t>
      </w:r>
      <w:r w:rsidRPr="00AD1E03">
        <w:tab/>
        <w:t>víta vymenovanie komisára pre vykonávanie a zjednodušenie; vyzýva, aby boli Komisii poskytnuté primerané zdroje a právomoci, aby mohla v spolupráci s kolégiom komisárov zabezpečiť riadne vykonávanie a presadzovanie právnych predpisov EÚ a zjednodušenie primerané jednotlivým odvetviam; naliehavo vyzýva všetkých komisárov, aby systematicky posudzovali potreby týkajúce sa zefektívňovania a vykonávania vo svojich príslušných oblastiach politiky a úzko a koordinovane spolupracovali s cieľom zabezpečiť súdržnosť a dosiahnuť hmatateľné výsledky v oblasti zjednodušenia a zefektívnenia; vyzýva Komisiu, aby tam, kde je to potrebné a odôvodnené, naďalej predkladala návrhy na zjednodušenie a zefektívnenie právnych predpisov týkajúcich sa jednotného trhu; zdôrazňuje, že nové návrhy na zjednodušenie by mali zlepšiť regulačnú súdržnosť, zachovať právnu predvídateľnosť pre spoločnosti a nemali by oslabovať dohodnuté politické ciele;</w:t>
      </w:r>
    </w:p>
    <w:p w14:paraId="6B812C5B" w14:textId="77777777" w:rsidR="00AF0259" w:rsidRPr="00AD1E03" w:rsidRDefault="00AF0259" w:rsidP="00AF0259">
      <w:pPr>
        <w:pStyle w:val="Normal12a24b"/>
        <w:ind w:left="720" w:hanging="720"/>
      </w:pPr>
      <w:r w:rsidRPr="00AD1E03">
        <w:t>14.</w:t>
      </w:r>
      <w:r w:rsidRPr="00AD1E03">
        <w:tab/>
        <w:t xml:space="preserve">konštatuje, že Komisia síce zlepšila odhaľovanie a nápravu porušenia právnych predpisov EÚ, no presadzovanie pravidiel EÚ a náprava ich porušenia na jednotnom trhu stále trvá príliš dlho; vyzýva Komisiu, aby naďalej vykonávala svoju úlohu strážkyne zmlúv tým, že bude využívať svoje právomoci v oblasti presadzovania práva, a to aj iniciovaním postupov v prípade porušenia povinnosti, aby sa zabezpečilo včasné, konzistentné a účinné presadzovanie pravidiel jednotného trhu, ako aj preskúmaním svojich postupov v prípade nesplnenia povinnosti s cieľom zabezpečiť rýchlejšie, automatickejšie a predvídateľnejšie reakcie; odporúča rozšíriť postupy v prípade porušenia povinnosti s cieľom riešiť systémové porušovanie pravidiel jednotného trhu; zdôrazňuje, že je potrebné riešiť roztrieštenosť právnych predpisov, ktorá oslabuje rovnaké podmienky a právnu istotu, a zároveň uznáva </w:t>
      </w:r>
      <w:proofErr w:type="spellStart"/>
      <w:r w:rsidRPr="00AD1E03">
        <w:t>diskrečnú</w:t>
      </w:r>
      <w:proofErr w:type="spellEnd"/>
      <w:r w:rsidRPr="00AD1E03">
        <w:t xml:space="preserve"> právomoc členských štátov pri vykonávaní smerníc stanovenú v zmluvách;</w:t>
      </w:r>
    </w:p>
    <w:p w14:paraId="558F8BA1" w14:textId="77777777" w:rsidR="00AF0259" w:rsidRPr="00AD1E03" w:rsidRDefault="00AF0259" w:rsidP="00AF0259">
      <w:pPr>
        <w:pStyle w:val="Normal12a24b"/>
        <w:rPr>
          <w:rStyle w:val="BoldItalic"/>
        </w:rPr>
      </w:pPr>
      <w:r w:rsidRPr="00AD1E03">
        <w:rPr>
          <w:rStyle w:val="BoldItalic"/>
        </w:rPr>
        <w:t>Využitie plného potenciálu jednotného trhu</w:t>
      </w:r>
    </w:p>
    <w:p w14:paraId="7EEC80F7" w14:textId="77777777" w:rsidR="00AF0259" w:rsidRPr="00AD1E03" w:rsidRDefault="00AF0259" w:rsidP="00AF0259">
      <w:pPr>
        <w:pStyle w:val="Normal12a24b"/>
        <w:ind w:left="567" w:hanging="567"/>
        <w:rPr>
          <w:bCs/>
          <w:iCs/>
        </w:rPr>
      </w:pPr>
      <w:r w:rsidRPr="00AD1E03">
        <w:t>15.</w:t>
      </w:r>
      <w:r w:rsidRPr="00AD1E03">
        <w:tab/>
        <w:t xml:space="preserve">nabáda Komisiu a členské štáty, aby účinnejšie využívali súčasný súbor nástrojov na zabezpečenie súladu a spoluprácu; v tejto súvislosti vyzýva Komisiu, aby posilnila </w:t>
      </w:r>
      <w:r w:rsidRPr="00AD1E03">
        <w:lastRenderedPageBreak/>
        <w:t>súčasné nástroje na presadzovanie práva a spoluprácu, ako sú SOLVIT, kontaktné miesta pre výrobky, a pracovná skupina pre presadzovanie jednotného trhu, s cieľom riešiť problémy súvisiace s fungovaním jednotného trhu; okrem toho nabáda Komisiu, aby vykonala inventarizáciu nástrojov, mechanizmov a procesov používaných na vypracovanie legislatívnych a nelegislatívnych iniciatív a aby monitorovala a presadzovala dodržiavanie právnych predpisov EÚ s cieľom zlepšiť ich súdržnosť, odstrániť duplicitu a konsolidovať a zefektívniť ich a na základe tejto inventarizácie zvážila rozšírenie súčasných sietí a nástrojov; naliehavo vyzýva orgány presadzovania práva a príslušné orgány vo všetkých členských štátoch, aby posilnili spoluprácu a vzájomnú podporu s cieľom riešiť neodôvodnenú regulačnú fragmentáciu a zabezpečiť efektívnejšie, účelnejšie a harmonizovanejšie vykonávanie pravidiel jednotného trhu, a vyjadruje podporu vytvoreniu koordinačných platforiem na vnútroštátnej úrovni s cieľom uľahčiť účinné a jednotné vykonávanie a transpozíciu pravidiel EÚ;</w:t>
      </w:r>
    </w:p>
    <w:p w14:paraId="521C8FFF" w14:textId="77777777" w:rsidR="00AF0259" w:rsidRPr="00AD1E03" w:rsidRDefault="00AF0259" w:rsidP="00AF0259">
      <w:pPr>
        <w:pStyle w:val="Normal12a24b"/>
        <w:ind w:left="567" w:hanging="567"/>
        <w:rPr>
          <w:iCs/>
        </w:rPr>
      </w:pPr>
      <w:r w:rsidRPr="00AD1E03">
        <w:t>16.</w:t>
      </w:r>
      <w:r w:rsidRPr="00AD1E03">
        <w:tab/>
        <w:t>zdôrazňuje zásadnú úlohu, ktorú pri využívaní hospodárskeho potenciálu zohráva voľný pohyb služieb, a konštatuje, že integrácia je v tomto sektore naďalej slabšia ako v prípade tovaru, keďže služby nemajú na jednotnom trhu dostatočný cezhraničný rozmer; zdôrazňuje preto potrebu zabezpečiť jednotné uplatňovanie smernice o službách</w:t>
      </w:r>
      <w:r w:rsidRPr="00AD1E03">
        <w:rPr>
          <w:iCs/>
          <w:vertAlign w:val="superscript"/>
        </w:rPr>
        <w:footnoteReference w:id="4"/>
      </w:r>
      <w:r w:rsidRPr="00AD1E03">
        <w:t>, ktorej vykonávaním sa podarilo dosiahnuť zamýšľaný cieľ len čiastočne, a to v dôsledku pretrvávajúcich prekážok, ktoré zaťažujú najmä MSP a ktoré majú rôzne formy a obmedzujú schopnosť poskytovať služby cezhranične; berie na vedomie dôležitú úlohu odvetví služieb v nedávno uverejnenej stratégii jednotného trhu; požaduje nové iniciatívy a cielené a účinné opatrenia v kľúčových odvetviach pre jednotný trh, ktoré riešia pretrvávajúce neodôvodnené prekážky a posilňujú integráciu trhu bez oslabenia sociálnych noriem, pričom zároveň zachovávajú regulačnú súdržnosť a zabraňujú fragmentácii pravidiel jednotného trhu;</w:t>
      </w:r>
    </w:p>
    <w:p w14:paraId="2CCD04AD" w14:textId="77777777" w:rsidR="00AF0259" w:rsidRPr="00AD1E03" w:rsidRDefault="00AF0259" w:rsidP="00AF0259">
      <w:pPr>
        <w:pStyle w:val="NormalHanging12a"/>
        <w:rPr>
          <w:bCs/>
          <w:iCs/>
          <w:shd w:val="clear" w:color="auto" w:fill="FFFFFF" w:themeFill="background1"/>
        </w:rPr>
      </w:pPr>
      <w:r w:rsidRPr="00AD1E03">
        <w:rPr>
          <w:shd w:val="clear" w:color="auto" w:fill="FFFFFF" w:themeFill="background1"/>
        </w:rPr>
        <w:t>17.</w:t>
      </w:r>
      <w:r w:rsidRPr="00AD1E03">
        <w:rPr>
          <w:shd w:val="clear" w:color="auto" w:fill="FFFFFF" w:themeFill="background1"/>
        </w:rPr>
        <w:tab/>
        <w:t>vyjadruje poľutovanie nad tým, že oznamovací postup podľa smernice o službách sa nevyužíva dostatočne; vyzýva členské štáty, aby zabezpečili systematické, včasné a transparentné uplatňovanie postupov oznamovania podľa smernice o službách a smernice o transparentnosti jednotného trhu</w:t>
      </w:r>
      <w:r w:rsidRPr="00AD1E03">
        <w:rPr>
          <w:rStyle w:val="FootnoteReference"/>
          <w:bCs/>
          <w:iCs/>
          <w:shd w:val="clear" w:color="auto" w:fill="FFFFFF" w:themeFill="background1"/>
        </w:rPr>
        <w:footnoteReference w:id="5"/>
      </w:r>
      <w:r w:rsidRPr="00AD1E03">
        <w:rPr>
          <w:shd w:val="clear" w:color="auto" w:fill="FFFFFF" w:themeFill="background1"/>
        </w:rPr>
        <w:t>;</w:t>
      </w:r>
    </w:p>
    <w:p w14:paraId="50392EEC" w14:textId="77777777" w:rsidR="00AF0259" w:rsidRPr="00AD1E03" w:rsidRDefault="00AF0259" w:rsidP="00AF0259">
      <w:pPr>
        <w:pStyle w:val="NormalHanging12a"/>
        <w:rPr>
          <w:bCs/>
          <w:iCs/>
        </w:rPr>
      </w:pPr>
      <w:r w:rsidRPr="00AD1E03">
        <w:t>18.</w:t>
      </w:r>
      <w:r w:rsidRPr="00AD1E03">
        <w:tab/>
      </w:r>
      <w:r w:rsidRPr="00AD1E03">
        <w:rPr>
          <w:shd w:val="clear" w:color="auto" w:fill="FFFFFF" w:themeFill="background1"/>
        </w:rPr>
        <w:t>vyzýva Komisiu, aby tam, kde je to potrebné a odôvodnené, navrhla účinné legislatívne a nelegislatívne nástroje na predchádzanie novým prekážkam jednotného trhu;</w:t>
      </w:r>
    </w:p>
    <w:p w14:paraId="3CC9F7EA" w14:textId="77777777" w:rsidR="00AF0259" w:rsidRPr="00AD1E03" w:rsidRDefault="00AF0259" w:rsidP="00AF0259">
      <w:pPr>
        <w:pStyle w:val="NormalHanging12a"/>
        <w:rPr>
          <w:bCs/>
          <w:iCs/>
          <w:shd w:val="clear" w:color="auto" w:fill="FFFFFF" w:themeFill="background1"/>
        </w:rPr>
      </w:pPr>
      <w:r w:rsidRPr="00AD1E03">
        <w:t>19.</w:t>
      </w:r>
      <w:r w:rsidRPr="00AD1E03">
        <w:tab/>
        <w:t>vyzýva Komisiu, aby preskúmala rôzne metódy na riešenie územných obmedzení dodávok vrátane obmedzení, ktoré nie sú vyžadované zákonom, ako sú neprimerané jazykové požiadavky na označovanie výrobkov, pretože ide o pretrvávajúce prekážky, ktoré znižujú hospodársku súťaž a ovplyvňujú životné náklady;</w:t>
      </w:r>
    </w:p>
    <w:p w14:paraId="2B38A03B" w14:textId="77777777" w:rsidR="00AF0259" w:rsidRPr="00AD1E03" w:rsidRDefault="00AF0259" w:rsidP="00AF0259">
      <w:pPr>
        <w:pStyle w:val="NormalHanging12a"/>
      </w:pPr>
      <w:r w:rsidRPr="00AD1E03">
        <w:rPr>
          <w:shd w:val="clear" w:color="auto" w:fill="FFFFFF" w:themeFill="background1"/>
        </w:rPr>
        <w:t>20</w:t>
      </w:r>
      <w:r w:rsidRPr="00AD1E03">
        <w:t>.</w:t>
      </w:r>
      <w:r w:rsidRPr="00AD1E03">
        <w:tab/>
      </w:r>
      <w:r w:rsidRPr="00AD1E03">
        <w:rPr>
          <w:shd w:val="clear" w:color="auto" w:fill="FFFFFF" w:themeFill="background1"/>
        </w:rPr>
        <w:t xml:space="preserve">konštatuje, že zjednodušenie administratívnych postupov, ako sú procesy udeľovania licencií, certifikácie a dodržiavania predpisov, je nevyhnutné na zníženie nákladov a </w:t>
      </w:r>
      <w:r w:rsidRPr="00AD1E03">
        <w:rPr>
          <w:shd w:val="clear" w:color="auto" w:fill="FFFFFF" w:themeFill="background1"/>
        </w:rPr>
        <w:lastRenderedPageBreak/>
        <w:t>právnej neistoty, najmä pre MSP; zdôrazňuje, že zjednodušené postupy by MSP umožnili efektívnejšie fungovať na jednotnom trhu</w:t>
      </w:r>
      <w:r w:rsidRPr="00AD1E03">
        <w:t>;</w:t>
      </w:r>
    </w:p>
    <w:p w14:paraId="3667B134" w14:textId="304AE7A9" w:rsidR="00AF0259" w:rsidRPr="00AD1E03" w:rsidRDefault="00AF0259" w:rsidP="00AF0259">
      <w:pPr>
        <w:pStyle w:val="NormalHanging12a"/>
        <w:rPr>
          <w:bCs/>
          <w:iCs/>
        </w:rPr>
      </w:pPr>
      <w:r w:rsidRPr="00AD1E03">
        <w:t>21.</w:t>
      </w:r>
      <w:r w:rsidRPr="00AD1E03">
        <w:tab/>
        <w:t>konštatuje, že nejednotnosť pri vykonávaní, presadzovaní a koordinácii pravidiel EÚ bráni efektívnemu fungovaniu jednotného trhu a mohla by mať negatívny vplyv na voľný pohyb pracovníkov a odborníkov; zdôrazňuje, že administratívne prekážky a nejednotné uznávanie kvalifikácií môžu zhoršiť nedostatok pracovnej sily a zručností a oslabiť konkurencieschopnosť EÚ; naliehavo vyzýva Komisiu, aby pokračovala v hodnotení uplatňovania smernice o uznávaní odborných kvalifikácií</w:t>
      </w:r>
      <w:r w:rsidRPr="00AD1E03">
        <w:rPr>
          <w:rStyle w:val="FootnoteReference"/>
          <w:iCs/>
        </w:rPr>
        <w:footnoteReference w:id="6"/>
      </w:r>
      <w:r w:rsidRPr="00AD1E03">
        <w:t xml:space="preserve"> vo všetkých členských štátoch a určila opatrenia na riešenie nezrovnalostí v procesoch uznávania; zdôrazňuje potrebu zjednodušených, automatických postupov a zrýchlených mechanizmov na uľahčenie uznávania odborných kvalifikácií, najmä v odvetviach, ktoré čelia nedostatku pracovnej sily; vyzýva Komisiu na zabezpečenie toho, aby pravidlá jednotného trhu pre voľný pohyb pracovníkov rešpektovali súčasné sociálne normy v členských štátoch, a zároveň zdôrazňuje význam odstránenia neodôvodnených prekážok; dôrazne podporuje digitalizáciu formulára A1, ktorá sa vyžaduje podľa nariadenia </w:t>
      </w:r>
      <w:r w:rsidR="007E566B" w:rsidRPr="00AD1E03">
        <w:t xml:space="preserve">(ES) </w:t>
      </w:r>
      <w:r w:rsidRPr="00AD1E03">
        <w:t>č. 883/2004</w:t>
      </w:r>
      <w:r w:rsidRPr="00AD1E03">
        <w:rPr>
          <w:rStyle w:val="FootnoteReference"/>
          <w:bCs/>
          <w:iCs/>
        </w:rPr>
        <w:footnoteReference w:id="7"/>
      </w:r>
      <w:r w:rsidRPr="00AD1E03">
        <w:t>, vo všetkých členských štátoch s cieľom zjednodušiť postupy cezhraničného poskytovania služieb;</w:t>
      </w:r>
    </w:p>
    <w:p w14:paraId="4305F374" w14:textId="77777777" w:rsidR="00AF0259" w:rsidRPr="00AD1E03" w:rsidRDefault="00AF0259" w:rsidP="00AF0259">
      <w:pPr>
        <w:pStyle w:val="NormalHanging12a"/>
        <w:rPr>
          <w:bCs/>
          <w:iCs/>
        </w:rPr>
      </w:pPr>
      <w:r w:rsidRPr="00AD1E03">
        <w:t>22.</w:t>
      </w:r>
      <w:r w:rsidRPr="00AD1E03">
        <w:tab/>
        <w:t>domnieva sa, že jednotný trh zohráva zásadnú úlohu v čase krízy, ak členské štáty dokážu konať koordinovane; v tejto súvislosti sa domnieva, že nedávno prijatý akt o núdzovej situácii na vnútornom trhu a jeho odolnosti (IMERA)</w:t>
      </w:r>
      <w:r w:rsidRPr="00AD1E03">
        <w:rPr>
          <w:rStyle w:val="FootnoteReference"/>
          <w:bCs/>
          <w:iCs/>
        </w:rPr>
        <w:footnoteReference w:id="8"/>
      </w:r>
      <w:r w:rsidRPr="00AD1E03">
        <w:t xml:space="preserve"> bude mať zásadný význam pre zabezpečenie takejto koordinácie, aby sa predišlo nedostatkom a zabezpečilo hladké fungovanie jednotného trhu vrátane voľného pohybu základného tovaru a služieb v celej EÚ;</w:t>
      </w:r>
    </w:p>
    <w:p w14:paraId="565981A1" w14:textId="77777777" w:rsidR="00AF0259" w:rsidRPr="00AD1E03" w:rsidRDefault="00AF0259" w:rsidP="00AF0259">
      <w:pPr>
        <w:pStyle w:val="NormalHanging12a"/>
        <w:rPr>
          <w:iCs/>
        </w:rPr>
      </w:pPr>
      <w:r w:rsidRPr="00AD1E03">
        <w:t>23.</w:t>
      </w:r>
      <w:r w:rsidRPr="00AD1E03">
        <w:tab/>
        <w:t>pripomína význam spoločných noriem pre fungovanie jednotného trhu; zdôrazňuje, že je dôležité chrániť normalizačný systém EÚ a zároveň ho zlepšovať tam, kde sa zistili problémy, a zachovať integritu jeho fungovania;</w:t>
      </w:r>
    </w:p>
    <w:p w14:paraId="42CEEB2F" w14:textId="77777777" w:rsidR="00AF0259" w:rsidRPr="00AD1E03" w:rsidRDefault="00AF0259" w:rsidP="00AF0259">
      <w:pPr>
        <w:pStyle w:val="NormalHanging12a"/>
        <w:rPr>
          <w:bCs/>
          <w:iCs/>
        </w:rPr>
      </w:pPr>
      <w:r w:rsidRPr="00AD1E03">
        <w:t>24.</w:t>
      </w:r>
      <w:r w:rsidRPr="00AD1E03">
        <w:tab/>
        <w:t xml:space="preserve">naliehavo vyzýva Komisiu, aby identifikovala a znížila zbytočnú záťaž spočívajúcu v podávaní správ, a to zavedením cielených opatrení, ako je predĺženie intervalov podávania správ, odstránenie nadbytočných povinností a zabezpečenie primeranosti sektorovo špecifických požiadaviek bez toho, aby boli ohrozené politické ciele, ktoré sa tieto požiadavky snažia dosiahnuť; opakuje, že je potrebné zabezpečiť, aby povinnosti podávať správy vyplývajúce z rôznych právnych predpisov EÚ boli koherentné; zdôrazňuje, že je dôležité uplatňovať zásadu „najskôr myslieť na malých“, ako aj prístupy prispôsobené MSP a startupom, posilniť digitálne podnikateľské prostredie umožnené dôveryhodnými digitálnymi identitami, bezpečnou výmenou údajov a právne </w:t>
      </w:r>
      <w:r w:rsidRPr="00AD1E03">
        <w:lastRenderedPageBreak/>
        <w:t xml:space="preserve">uznanými digitálnymi oznámeniami; zdôrazňuje, že je dôležité uplatňovať zásadu „jedenkrát a dosť“ s cieľom zefektívniť postupy dodržiavania predpisov a opätovne zdôrazňuje význam harmonizácie formátov správ a digitálnych rozhraní v členských štátoch tam, kde je to možné; zdôrazňuje, že odôvodnené a primerané požiadavky na podávanie správ sú potrebné na zabezpečenie riadneho monitorovania a dodržiavania prijatých pravidiel, čím sa zabezpečí účinné presadzovanie a lepší zber údajov na účely usmerňovania budúcich politických iniciatív; </w:t>
      </w:r>
    </w:p>
    <w:p w14:paraId="172140EB" w14:textId="77777777" w:rsidR="00AF0259" w:rsidRPr="00AD1E03" w:rsidRDefault="00AF0259" w:rsidP="00AF0259">
      <w:pPr>
        <w:pStyle w:val="NormalHanging12a"/>
      </w:pPr>
      <w:r w:rsidRPr="00AD1E03">
        <w:t>25.</w:t>
      </w:r>
      <w:r w:rsidRPr="00AD1E03">
        <w:tab/>
        <w:t>zdôrazňuje, že cieľom nového legislatívneho rámca je zlepšiť jednotný trh s tovarom a sprísniť podmienky uvádzania celej škály výrobkov na trh EÚ; vyzýva Komisiu, aby ho zrevidovala s cieľom zabezpečiť jeho nadčasovosť a prispôsobiť ho vyvíjajúcim sa geopolitickým výzvam a požiadavkám digitálnej a zelenej transformácie, čím by sa zvýšila celková konkurencieschopnosť jednotného trhu EÚ;</w:t>
      </w:r>
    </w:p>
    <w:p w14:paraId="71C43EDA" w14:textId="77777777" w:rsidR="00AF0259" w:rsidRPr="00AD1E03" w:rsidRDefault="00AF0259" w:rsidP="00AF0259">
      <w:pPr>
        <w:pStyle w:val="NormalHanging12a"/>
      </w:pPr>
      <w:r w:rsidRPr="00AD1E03">
        <w:t>26.</w:t>
      </w:r>
      <w:r w:rsidRPr="00AD1E03">
        <w:tab/>
        <w:t>uznáva zámer Komisie navrhnúť nový právny režim na úrovni celej EÚ, 28. právny režim, ktorý má vytvoriť podnikateľské prostredie, ktoré podporuje rast a rozširovanie MSP vrátane menších a inovačných podnikov a posilňuje globálnu konkurencieschopnosť EÚ; konštatuje, že nový režim by mohol uľahčiť vývoj a zavádzanie nadchádzajúcej európskej podnikovej peňaženky;</w:t>
      </w:r>
    </w:p>
    <w:p w14:paraId="10AC15FA" w14:textId="77777777" w:rsidR="00AF0259" w:rsidRPr="00AD1E03" w:rsidRDefault="00AF0259" w:rsidP="00AF0259">
      <w:pPr>
        <w:pStyle w:val="Normal12a24b"/>
        <w:rPr>
          <w:rStyle w:val="BoldItalic"/>
        </w:rPr>
      </w:pPr>
      <w:r w:rsidRPr="00AD1E03">
        <w:rPr>
          <w:rStyle w:val="BoldItalic"/>
        </w:rPr>
        <w:t>Digitalizácia a umelá inteligencia v záujme rastu a správy vecí verejných</w:t>
      </w:r>
    </w:p>
    <w:p w14:paraId="34D3D723" w14:textId="77777777" w:rsidR="00AF0259" w:rsidRPr="00AD1E03" w:rsidRDefault="00AF0259" w:rsidP="00AF0259">
      <w:pPr>
        <w:pStyle w:val="Normal12a24b"/>
        <w:ind w:left="567" w:hanging="567"/>
      </w:pPr>
      <w:r w:rsidRPr="00AD1E03">
        <w:t>27.</w:t>
      </w:r>
      <w:r w:rsidRPr="00AD1E03">
        <w:tab/>
        <w:t xml:space="preserve">víta kontrolu vhodnosti legislatívneho </w:t>
      </w:r>
      <w:proofErr w:type="spellStart"/>
      <w:r w:rsidRPr="00AD1E03">
        <w:rPr>
          <w:i/>
        </w:rPr>
        <w:t>acquis</w:t>
      </w:r>
      <w:proofErr w:type="spellEnd"/>
      <w:r w:rsidRPr="00AD1E03">
        <w:t xml:space="preserve"> v oblasti digitálnej politiky, ktorú plánuje Komisia; žiada, aby Komisia posúdila a objasnila legislatívny rámec a vzájomný vzťah medzi súčasnými právnymi aktmi EÚ, ako je akt o digitálnych službách</w:t>
      </w:r>
      <w:r w:rsidRPr="00AD1E03">
        <w:rPr>
          <w:bCs/>
          <w:iCs/>
          <w:vertAlign w:val="superscript"/>
        </w:rPr>
        <w:footnoteReference w:id="9"/>
      </w:r>
      <w:r w:rsidRPr="00AD1E03">
        <w:t>, všeobecné nariadenie o ochrane údajov</w:t>
      </w:r>
      <w:r w:rsidRPr="00AD1E03">
        <w:rPr>
          <w:bCs/>
          <w:iCs/>
          <w:vertAlign w:val="superscript"/>
        </w:rPr>
        <w:footnoteReference w:id="10"/>
      </w:r>
      <w:r w:rsidRPr="00AD1E03">
        <w:t>, akt o umelej inteligencii</w:t>
      </w:r>
      <w:r w:rsidRPr="00AD1E03">
        <w:rPr>
          <w:rStyle w:val="FootnoteReference"/>
          <w:bCs/>
          <w:iCs/>
        </w:rPr>
        <w:footnoteReference w:id="11"/>
      </w:r>
      <w:r w:rsidRPr="00AD1E03">
        <w:t>, nariadenie o transparentnosti a cielení politickej reklamy</w:t>
      </w:r>
      <w:r w:rsidRPr="00AD1E03">
        <w:rPr>
          <w:rStyle w:val="FootnoteReference"/>
        </w:rPr>
        <w:footnoteReference w:id="12"/>
      </w:r>
      <w:r w:rsidRPr="00AD1E03">
        <w:t>, smernicu o zodpovednosti za výrobky</w:t>
      </w:r>
      <w:r w:rsidRPr="00AD1E03">
        <w:rPr>
          <w:bCs/>
          <w:iCs/>
          <w:vertAlign w:val="superscript"/>
        </w:rPr>
        <w:footnoteReference w:id="13"/>
      </w:r>
      <w:r w:rsidRPr="00AD1E03">
        <w:t xml:space="preserve">, pravidlá elektronického obchodu a kybernetickej bezpečnosti, ako aj medzi týmito aktmi a budúcimi legislatívnymi iniciatívami predtým, ako ich Komisia prijme; trvá na tom, aby boli do tohto procesu zapojené regulačné orgány, siete vnútroštátnych orgánov a </w:t>
      </w:r>
      <w:r w:rsidRPr="00AD1E03">
        <w:lastRenderedPageBreak/>
        <w:t xml:space="preserve">zainteresované strany, a zdôrazňuje, že výsledky tohto mapovania by mali slúžiť na identifikáciu potenciálnych prekrývajúcich sa, protichodných ustanovení a potenciálnych konfliktov v oblasti presadzovania práva a na riešenie týchto nedostatkov; okrem toho by mal slúžiť na zlepšenie koordinácie medzi orgánmi presadzovania práva v členských štátoch a vnútornými útvarmi Komisie a na zlepšenie schopnosti podnikov investovať a inovovať v EÚ; trvá na tom, že Komisia musí zabezpečiť, aby všetky právne predpisy prijaté a presadzované počas jej funkčného obdobia 2019 – 2024 boli správne a </w:t>
      </w:r>
      <w:r w:rsidRPr="00AD1E03">
        <w:rPr>
          <w:shd w:val="clear" w:color="auto" w:fill="FFFFFF" w:themeFill="background1"/>
        </w:rPr>
        <w:t>jednotne implementované a uplatňované vo všetkých členských štátoch</w:t>
      </w:r>
      <w:r w:rsidRPr="00AD1E03">
        <w:t>;</w:t>
      </w:r>
      <w:r w:rsidRPr="00AD1E03">
        <w:rPr>
          <w:shd w:val="clear" w:color="auto" w:fill="FFFFFF" w:themeFill="background1"/>
        </w:rPr>
        <w:t xml:space="preserve"> vyzýva Komisiu, aby v prípade potreby a na základe posúdení vplyvu zahrnula</w:t>
      </w:r>
      <w:r w:rsidRPr="00AD1E03">
        <w:t xml:space="preserve"> do plánovaného digitálneho balíka návrhy na zjednodušenie zamerané na zvýšenie súdržnosti, právnej zrozumiteľnosti a predvídateľnosti pre všetky zainteresované strany bez toho, aby sa ohrozili dohodnuté politické ciele; </w:t>
      </w:r>
    </w:p>
    <w:p w14:paraId="3DF11FD9" w14:textId="77777777" w:rsidR="00AF0259" w:rsidRPr="00AD1E03" w:rsidRDefault="00AF0259" w:rsidP="00AF0259">
      <w:pPr>
        <w:pStyle w:val="NormalHanging12a"/>
      </w:pPr>
      <w:r w:rsidRPr="00AD1E03">
        <w:t>28.</w:t>
      </w:r>
      <w:r w:rsidRPr="00AD1E03">
        <w:tab/>
        <w:t>berie na vedomie pripravovanú správu Komisie o vzájomnom pôsobení aktu o digitálnych službách a iných právnych aktov a nabáda Komisiu, aby prostredníctvom tejto správy objasnila spôsob, akým toto nariadenie interaguje s inými právnymi aktmi vrátane spôsobu riešenia možného prekrývania s cieľom podporiť účinné vykonávanie a presadzovanie súboru pravidiel EÚ v oblasti digitálnych služieb a poskytnúť právnu istotu poskytovateľom služieb, používateľom, spotrebiteľom a regulačným orgánom;</w:t>
      </w:r>
    </w:p>
    <w:p w14:paraId="665FA245" w14:textId="77777777" w:rsidR="00AF0259" w:rsidRPr="00AD1E03" w:rsidRDefault="00AF0259" w:rsidP="00AF0259">
      <w:pPr>
        <w:pStyle w:val="NormalHanging12a"/>
        <w:rPr>
          <w:bCs/>
          <w:iCs/>
        </w:rPr>
      </w:pPr>
      <w:r w:rsidRPr="00AD1E03">
        <w:t>29.</w:t>
      </w:r>
      <w:r w:rsidRPr="00AD1E03">
        <w:tab/>
        <w:t xml:space="preserve">zdôrazňuje, že digitálna politika, najmä v oblasti vznikajúcich technológií alebo v súvislosti s veľmi zložitými technológiami, by sa mala riadiť iteratívnym prístupom, pričom by sa mali zohľadniť aj nástroje, ako je štruktúrovaný dialóg s podnikmi a inými príslušnými zainteresovanými stranami, </w:t>
      </w:r>
      <w:proofErr w:type="spellStart"/>
      <w:r w:rsidRPr="00AD1E03">
        <w:t>spoluregulácia</w:t>
      </w:r>
      <w:proofErr w:type="spellEnd"/>
      <w:r w:rsidRPr="00AD1E03">
        <w:t xml:space="preserve"> a regulačný testovací režim, aby sa zabezpečili praktické, primerané a nadčasové pravidlá navrhnuté so zreteľom na inovácie, pričom by sa malo zabrániť neúmyselným dôsledkom a posúdiť vplyv nedávno prijatých právnych aktov pred navrhnutím nových povinností; pripomína význam spoločných noriem pre fungovanie digitálneho jednotného trhu; zdôrazňuje význam vedúceho postavenia EÚ v oblasti normalizácie digitálnych technológií, ako aj kľúčový význam transatlantickej a medzinárodnej spolupráce v tejto oblasti s cieľom zabezpečiť technologickú suverenitu a globálnu konkurencieschopnosť, najmä v nových oblastiach, ako sú umelá inteligencia a cloudové služby;</w:t>
      </w:r>
    </w:p>
    <w:p w14:paraId="7DE1141E" w14:textId="77777777" w:rsidR="00AF0259" w:rsidRPr="00AD1E03" w:rsidRDefault="00AF0259" w:rsidP="00AF0259">
      <w:pPr>
        <w:pStyle w:val="NormalHanging12a"/>
      </w:pPr>
      <w:r w:rsidRPr="00AD1E03">
        <w:t>30.</w:t>
      </w:r>
      <w:r w:rsidRPr="00AD1E03">
        <w:tab/>
        <w:t>uznáva, že digitalizácia a umelá inteligencia majú ako kľúčové nástroje potenciál na posilnenie konkurencieschopnosti EÚ, zníženie administratívneho zaťaženia a zefektívnenie a automatizáciu administratívnych postupov vrátane požiadaviek na podávanie správ, schvaľovanie, vydávanie povolení a dodržiavanie predpisov, ako aj na uľahčenie vstupu na trh a posudzovanie uplatniteľných právnych predpisov; zdôrazňuje, že je potrebné využívať tieto kľúčové nástroje na zvýšenie regulačnej efektívnosti, podporu lepšieho vykonávania a monitorovania právnych predpisov týkajúcich sa jednotného trhu; konštatuje, že rozdielna úroveň digitalizácie administratívy v členských štátoch predstavuje cezhraničnú prekážku;</w:t>
      </w:r>
    </w:p>
    <w:p w14:paraId="3ECDC80C" w14:textId="77777777" w:rsidR="00AF0259" w:rsidRPr="00AD1E03" w:rsidRDefault="00AF0259" w:rsidP="00AF0259">
      <w:pPr>
        <w:pStyle w:val="NormalHanging12a"/>
      </w:pPr>
      <w:r w:rsidRPr="00AD1E03">
        <w:t>31.</w:t>
      </w:r>
      <w:r w:rsidRPr="00AD1E03">
        <w:tab/>
        <w:t xml:space="preserve">domnieva sa, že elektronické nástroje a portály by mali byť normou pri všetkých požiadavkách na podávanie správ a administratívnych požiadavkách a že by sa mali integrovať do digitálneho jednotného kontaktného miesta; vyzýva Komisiu, aby preskúmala uskutočniteľnosť takéhoto digitálneho jednotného kontaktného miesta rozšírením jednotnej digitálnej brány s cieľom uľahčiť podnikom k prístupu k informáciám, administratívnym postupom a asistenčným službám a ponúknuť viac online služieb občanom aj spoločnostiam, najmä MSP, s využitím digitálnej verejnej infraštruktúry, ako sú európske peňaženky digitálnej identity a pripravovaná európska </w:t>
      </w:r>
      <w:r w:rsidRPr="00AD1E03">
        <w:lastRenderedPageBreak/>
        <w:t>podniková peňaženka, a zabezpečiť konzistentnosť zjednodušením takýchto nástrojov vo všetkých príslušných legislatívnych návrhoch;</w:t>
      </w:r>
    </w:p>
    <w:p w14:paraId="778045A7" w14:textId="77777777" w:rsidR="00AF0259" w:rsidRPr="00AD1E03" w:rsidRDefault="00AF0259" w:rsidP="00AF0259">
      <w:pPr>
        <w:pStyle w:val="NormalHanging12a"/>
      </w:pPr>
      <w:r w:rsidRPr="00AD1E03">
        <w:t>32.</w:t>
      </w:r>
      <w:r w:rsidRPr="00AD1E03">
        <w:tab/>
        <w:t xml:space="preserve">zdôrazňuje význam </w:t>
      </w:r>
      <w:proofErr w:type="spellStart"/>
      <w:r w:rsidRPr="00AD1E03">
        <w:t>interoperability</w:t>
      </w:r>
      <w:proofErr w:type="spellEnd"/>
      <w:r w:rsidRPr="00AD1E03">
        <w:t xml:space="preserve"> pre zníženie administratívnej záťaže, najmä potrebu zabezpečiť, aby boli povinnosti podávania správ koherentné a ľahko splniteľné, a vyzýva Komisiu, aby naďalej skúmala spôsoby, ako zlepšiť a digitalizovať postupy podávania správ s cieľom zlepšiť výmenu informácií a dodržiavanie predpisov bez toho, aby sa nadmerne zaťažovali spoločnosti vrátane automatizovaného podávania správ medzi podnikmi a verejnou správou; víta technický systém založený na zásade „jedenkrát a dosť“ ako kľúčový nástroj na umožnenie automatizovanej cezhraničnej výmeny údajov a zníženie duplicitnej záťaže podnikov spojenej s podávaním správ; zdôrazňuje, že akékoľvek požiadavky na výmenu údajov a podávanie správ by mali byť navrhnuté s ohľadom na digitalizáciu a mali by zabezpečiť, aby požiadavky na výmenu údajov a podávanie správ boli riadené údajmi a automatizované;</w:t>
      </w:r>
    </w:p>
    <w:p w14:paraId="0EFD1AF2" w14:textId="77777777" w:rsidR="00AF0259" w:rsidRPr="00AD1E03" w:rsidRDefault="00AF0259" w:rsidP="00AF0259">
      <w:pPr>
        <w:pStyle w:val="NormalHanging12a"/>
      </w:pPr>
      <w:r w:rsidRPr="00AD1E03">
        <w:t>33.</w:t>
      </w:r>
      <w:r w:rsidRPr="00AD1E03">
        <w:tab/>
        <w:t>vyzýva Komisiu, aby zefektívnila súčasné IT nástroje, ktoré majú hospodárske subjekty a príslušné vnútroštátne orgány k dispozícii na oznamovanie a odovzdávanie relevantných informácií, ako sú informácie o nehodách, nápravných opatreniach a iné údaje o bezpečnosti výrobkov na jednotnom trhu; zdôrazňuje, že by sa mal vytvoriť jednotný IT nástroj s cieľom skrátiť čas, znížiť náklady a zvýšiť dodržiavanie a presadzovanie predpisov;</w:t>
      </w:r>
    </w:p>
    <w:p w14:paraId="1EFF7262" w14:textId="77777777" w:rsidR="00AF0259" w:rsidRPr="00AD1E03" w:rsidRDefault="00AF0259" w:rsidP="00AF0259">
      <w:pPr>
        <w:pStyle w:val="NormalHanging12a"/>
      </w:pPr>
      <w:r w:rsidRPr="00AD1E03">
        <w:t>34.</w:t>
      </w:r>
      <w:r w:rsidRPr="00AD1E03">
        <w:tab/>
        <w:t>vyzýva Komisiu, aby zlepšila vývoj nástrojov na dodržiavanie predpisov, ako sú kódexy postupov, a zabezpečila tak, aby zostali v medziach základných právnych povinností, aby boli prakticky realizovateľné pre spoločnosti všetkých veľkostí a aby boli vypracované prostredníctvom zmysluplných a včasných konzultácií so zainteresovanými stranami;</w:t>
      </w:r>
    </w:p>
    <w:p w14:paraId="48D3E37B" w14:textId="77777777" w:rsidR="00AF0259" w:rsidRPr="00AD1E03" w:rsidRDefault="00AF0259" w:rsidP="00AF0259">
      <w:pPr>
        <w:pStyle w:val="NormalHanging12a"/>
      </w:pPr>
      <w:r w:rsidRPr="00AD1E03">
        <w:t>35.</w:t>
      </w:r>
      <w:r w:rsidRPr="00AD1E03">
        <w:tab/>
        <w:t xml:space="preserve">zdôrazňuje potrebu modernej a spoľahlivej digitálnej infraštruktúry na uľahčenie ambícií EÚ v oblasti digitalizácie a hraničných technológií; vyzýva na pokračovanie investícií do rozvoja tzv. digitálnych diaľnic, ktoré zahŕňajú cezhraničné vysokokapacitné širokopásmové siete, koridory 5G, bezpečnú cloudovú a </w:t>
      </w:r>
      <w:proofErr w:type="spellStart"/>
      <w:r w:rsidRPr="00AD1E03">
        <w:t>edge</w:t>
      </w:r>
      <w:proofErr w:type="spellEnd"/>
      <w:r w:rsidRPr="00AD1E03">
        <w:t xml:space="preserve"> infraštruktúru, ako aj </w:t>
      </w:r>
      <w:proofErr w:type="spellStart"/>
      <w:r w:rsidRPr="00AD1E03">
        <w:t>interoperabilné</w:t>
      </w:r>
      <w:proofErr w:type="spellEnd"/>
      <w:r w:rsidRPr="00AD1E03">
        <w:t xml:space="preserve"> digitálne verejné služby;</w:t>
      </w:r>
    </w:p>
    <w:p w14:paraId="03CAC346" w14:textId="77777777" w:rsidR="00AF0259" w:rsidRPr="00AD1E03" w:rsidRDefault="00AF0259" w:rsidP="00AF0259">
      <w:pPr>
        <w:pStyle w:val="NormalHanging12a"/>
      </w:pPr>
      <w:r w:rsidRPr="00AD1E03">
        <w:t>36.</w:t>
      </w:r>
      <w:r w:rsidRPr="00AD1E03">
        <w:tab/>
        <w:t xml:space="preserve">vyzýva na harmonizované zavedenie digitálneho označovania a digitálneho pasu výrobku do právnych predpisov EÚ o výrobkoch; zdôrazňuje ich potenciál znížiť záťaž spojenú s dodržiavaním predpisov, zlepšiť prístup spotrebiteľov k presným informáciám a podporiť viacjazyčnú </w:t>
      </w:r>
      <w:proofErr w:type="spellStart"/>
      <w:r w:rsidRPr="00AD1E03">
        <w:t>interoperabilitu</w:t>
      </w:r>
      <w:proofErr w:type="spellEnd"/>
      <w:r w:rsidRPr="00AD1E03">
        <w:t xml:space="preserve"> pri súčasnom zachovaní možnosti, aby boli k výrobkom spotrebiteľov v papierovej podobe priložené základné informácie týkajúce sa bezpečnosti; vyzýva Komisiu, aby umožnila vypracovanie harmonizovaných noriem a podrobných usmernení s cieľom zabrániť fragmentácii a uľahčiť účasť MSP na cezhraničnom obchode;</w:t>
      </w:r>
    </w:p>
    <w:p w14:paraId="14B202E3" w14:textId="77777777" w:rsidR="00AF0259" w:rsidRPr="00AD1E03" w:rsidRDefault="00AF0259" w:rsidP="00AF0259">
      <w:pPr>
        <w:pStyle w:val="Normal12a24b"/>
        <w:rPr>
          <w:rStyle w:val="BoldItalic"/>
        </w:rPr>
      </w:pPr>
      <w:r w:rsidRPr="00AD1E03">
        <w:rPr>
          <w:rStyle w:val="BoldItalic"/>
        </w:rPr>
        <w:t>Zlepšenie ochrany spotrebiteľa v digitálnom veku</w:t>
      </w:r>
    </w:p>
    <w:p w14:paraId="0C25899F" w14:textId="77777777" w:rsidR="00AF0259" w:rsidRPr="00AD1E03" w:rsidRDefault="00AF0259" w:rsidP="00AF0259">
      <w:pPr>
        <w:pStyle w:val="Normal12a24b"/>
        <w:ind w:left="567" w:hanging="567"/>
      </w:pPr>
      <w:r w:rsidRPr="00AD1E03">
        <w:t>37.</w:t>
      </w:r>
      <w:r w:rsidRPr="00AD1E03">
        <w:tab/>
        <w:t xml:space="preserve">zdôrazňuje, že zefektívnenie právnych predpisov na ochranu spotrebiteľa by nemalo znížiť súčasnú vysokú úroveň ochrany spotrebiteľov v EÚ; berie na vedomie veľký pokrok, ktorý sa dosiahol pri posilňovaní pravidiel na ochranu spotrebiteľa a ich prispôsobovaní novej realite v oblasti technológií a udržateľnosti; zdôrazňuje potrebu ďalšieho posilnenia ochrany spotrebiteľa, napríklad v oblasti elektronického obchodu, </w:t>
      </w:r>
      <w:r w:rsidRPr="00AD1E03">
        <w:lastRenderedPageBreak/>
        <w:t>pokiaľ ide o nepravdivé alebo zavádzajúce informácie o výrobku; zdôrazňuje, že je dôležité účinné presadzovanie a dôkladná analýza právnych predpisov na ochranu spotrebiteľa a ich vplyvu; trvá na tom, že nové legislatívne iniciatívy by sa mali zamerať na odstránenie medzier v súčasných právnych predpisoch alebo na riešenie nových opodstatnených výziev, ktoré sa neriešia v súčasnom právnom rámci;</w:t>
      </w:r>
    </w:p>
    <w:p w14:paraId="171D535C" w14:textId="77777777" w:rsidR="00AF0259" w:rsidRPr="00AD1E03" w:rsidRDefault="00AF0259" w:rsidP="00AF0259">
      <w:pPr>
        <w:pStyle w:val="NormalHanging12a"/>
      </w:pPr>
      <w:r w:rsidRPr="00AD1E03">
        <w:t>38.</w:t>
      </w:r>
      <w:r w:rsidRPr="00AD1E03">
        <w:tab/>
        <w:t>zdôrazňuje, že rýchly rozvoj digitálnych platforiem a elektronického obchodu priniesol novú dynamiku trhu a vytvoril nové príležitosti, výzvy a riziká pre používateľov; uznáva, že akt o digitálnych trhoch</w:t>
      </w:r>
      <w:r w:rsidRPr="00AD1E03">
        <w:rPr>
          <w:rStyle w:val="FootnoteReference"/>
        </w:rPr>
        <w:footnoteReference w:id="14"/>
      </w:r>
      <w:r w:rsidRPr="00AD1E03">
        <w:t xml:space="preserve"> a akt o digitálnych službách predstavujú dôležité legislatívne nástroje, ktoré zabezpečujú spravodlivú hospodársku súťaž, súťaživosť a spravodlivosť v oblasti digitálnych platforiem a zároveň podporujú bezpečnejšie, dôveryhodnejšie a transparentnejšie digitálne prostredie a ochranu spotrebiteľov v digitálnom hospodárstve, a vyzýva na riadne presadzovanie týchto technických právnych predpisov s cieľom zabezpečiť skutočnú, autonómnu a informovanú voľbu a ochranu spotrebiteľov a spravodlivú hospodársku súťaž;</w:t>
      </w:r>
    </w:p>
    <w:p w14:paraId="5B13A58B" w14:textId="77777777" w:rsidR="00AF0259" w:rsidRPr="00AD1E03" w:rsidRDefault="00AF0259" w:rsidP="00AF0259">
      <w:pPr>
        <w:pStyle w:val="NormalHanging12a"/>
        <w:rPr>
          <w:bCs/>
          <w:iCs/>
        </w:rPr>
      </w:pPr>
      <w:r w:rsidRPr="00AD1E03">
        <w:t>39.</w:t>
      </w:r>
      <w:r w:rsidRPr="00AD1E03">
        <w:tab/>
        <w:t>opätovne potvrdzuje, že právne predpisy na ochranu spotrebiteľa by mali byť naďalej založené najmä na zásadách a mali by byť koherentné v rôznych právnych nástrojoch, ale mali by tiež umožňovať konkrétnejšie ustanovenia, ak je to potrebné pre právnu istotu pre podniky aj spotrebiteľov; zdôrazňuje, že je dôležité vyhnúť sa nadmerným alebo nadbytočným informačným povinnostiam, ktoré môžu podnikom spôsobiť zbytočnú záťaž bez toho, aby sa zlepšilo porozumenie zo strany spotrebiteľov; požaduje primerané a účelové povinnosti poskytovať informácie spotrebiteľom; konštatuje, že podľa hodnotiacej tabuľky spotrebiteľských podmienok z roku 2025 väčšina spotrebiteľov nepozná svoje práva; vyzýva Komisiu a členské štáty, aby pripravili kampane na zvýšenie informovanosti spotrebiteľov;</w:t>
      </w:r>
    </w:p>
    <w:p w14:paraId="1BC2BD62" w14:textId="77777777" w:rsidR="00AF0259" w:rsidRPr="00AD1E03" w:rsidRDefault="00AF0259" w:rsidP="00AF0259">
      <w:pPr>
        <w:pStyle w:val="NormalHanging12a"/>
      </w:pPr>
      <w:r w:rsidRPr="00AD1E03">
        <w:t>40.</w:t>
      </w:r>
      <w:r w:rsidRPr="00AD1E03">
        <w:tab/>
        <w:t>naliehavo vyzýva Komisiu, aby využívala digitálne nástroje na zvýšenie transparentnosti a dôvery spotrebiteľov v cezhraničné transakcie; požaduje posilnené presadzovanie mechanizmov nápravy pre spotrebiteľov vrátane mechanizmov kolektívneho uplatňovania nárokov na nápravu a plné presadzovanie práv spotrebiteľov v EÚ, a to aj prostredníctvom revízie nariadenia o spolupráci v oblasti ochrany spotrebiteľa</w:t>
      </w:r>
      <w:r w:rsidRPr="00AD1E03">
        <w:rPr>
          <w:rStyle w:val="FootnoteReference"/>
        </w:rPr>
        <w:footnoteReference w:id="15"/>
      </w:r>
      <w:r w:rsidRPr="00AD1E03">
        <w:t>, so zameraním na zlepšenie cezhraničného presadzovania; okrem toho zdôrazňuje význam revízie nariadenia o spolupráci v oblasti ochrany spotrebiteľa s cieľom zlepšiť cezhraničné presadzovanie a riešiť nekalé správanie, najmä zo strany obchodníkov z krajín mimo EÚ; konštatuje, že je dôležité posilniť spoluprácu medzi rôznymi príslušnými orgánmi členských štátov, a to aj prostredníctvom koordinovaných projektov spoločného presadzovania a zefektívnenia výmeny informácií;</w:t>
      </w:r>
    </w:p>
    <w:p w14:paraId="0E7A9428" w14:textId="0F928E23" w:rsidR="00BB3EBE" w:rsidRPr="00AD1E03" w:rsidRDefault="00BB3EBE" w:rsidP="00BB3EBE">
      <w:pPr>
        <w:pStyle w:val="NormalHanging12a"/>
        <w:ind w:left="0" w:firstLine="0"/>
        <w:jc w:val="center"/>
        <w:rPr>
          <w:bCs/>
          <w:iCs/>
        </w:rPr>
      </w:pPr>
      <w:r w:rsidRPr="00AD1E03">
        <w:rPr>
          <w:bCs/>
          <w:iCs/>
        </w:rPr>
        <w:t>°</w:t>
      </w:r>
    </w:p>
    <w:p w14:paraId="7B01DF3C" w14:textId="11DDFAEF" w:rsidR="00BB3EBE" w:rsidRPr="00AD1E03" w:rsidRDefault="00BB3EBE" w:rsidP="00BB3EBE">
      <w:pPr>
        <w:pStyle w:val="NormalHanging12a"/>
        <w:ind w:left="0" w:firstLine="0"/>
        <w:jc w:val="center"/>
        <w:rPr>
          <w:bCs/>
          <w:iCs/>
        </w:rPr>
      </w:pPr>
      <w:r w:rsidRPr="00AD1E03">
        <w:rPr>
          <w:bCs/>
          <w:iCs/>
        </w:rPr>
        <w:t>°     °</w:t>
      </w:r>
    </w:p>
    <w:p w14:paraId="56A47AEF" w14:textId="34E379DE" w:rsidR="00E365E1" w:rsidRPr="00AD1E03" w:rsidRDefault="00AF0259" w:rsidP="00BB3EBE">
      <w:pPr>
        <w:pStyle w:val="NormalHanging12a"/>
      </w:pPr>
      <w:r w:rsidRPr="00AD1E03">
        <w:lastRenderedPageBreak/>
        <w:t>41.</w:t>
      </w:r>
      <w:r w:rsidRPr="00AD1E03">
        <w:tab/>
        <w:t>poveruje svoju predsedníčku, aby postúpila toto uznesenie Rade a Komisii.</w:t>
      </w:r>
    </w:p>
    <w:sectPr w:rsidR="00E365E1" w:rsidRPr="00AD1E03" w:rsidSect="009A36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7C7DA" w14:textId="77777777" w:rsidR="00F910D6" w:rsidRPr="009A3677" w:rsidRDefault="00F910D6">
      <w:r w:rsidRPr="009A3677">
        <w:separator/>
      </w:r>
    </w:p>
  </w:endnote>
  <w:endnote w:type="continuationSeparator" w:id="0">
    <w:p w14:paraId="03DF6C64" w14:textId="77777777" w:rsidR="00F910D6" w:rsidRPr="009A3677" w:rsidRDefault="00F910D6">
      <w:r w:rsidRPr="009A36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8566A" w14:textId="77777777" w:rsidR="00064002" w:rsidRPr="009A367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D1833" w14:textId="77777777" w:rsidR="00064002" w:rsidRPr="009A367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F6641" w14:textId="77777777" w:rsidR="00064002" w:rsidRPr="009A367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62AB8" w14:textId="77777777" w:rsidR="00F910D6" w:rsidRPr="009A3677" w:rsidRDefault="00F910D6">
      <w:r w:rsidRPr="009A3677">
        <w:separator/>
      </w:r>
    </w:p>
  </w:footnote>
  <w:footnote w:type="continuationSeparator" w:id="0">
    <w:p w14:paraId="155FF791" w14:textId="77777777" w:rsidR="00F910D6" w:rsidRPr="009A3677" w:rsidRDefault="00F910D6">
      <w:r w:rsidRPr="009A3677">
        <w:continuationSeparator/>
      </w:r>
    </w:p>
  </w:footnote>
  <w:footnote w:id="1">
    <w:p w14:paraId="082F6D1C" w14:textId="5C4B78AB" w:rsidR="00AF0259" w:rsidRPr="003B54E2" w:rsidRDefault="00AF0259" w:rsidP="009A3677">
      <w:pPr>
        <w:pStyle w:val="FootnoteText"/>
        <w:ind w:left="567" w:hanging="567"/>
        <w:rPr>
          <w:sz w:val="24"/>
          <w:szCs w:val="24"/>
          <w:lang w:val="sk-SK"/>
        </w:rPr>
      </w:pPr>
      <w:r w:rsidRPr="003B54E2">
        <w:rPr>
          <w:rStyle w:val="FootnoteReference"/>
          <w:sz w:val="24"/>
          <w:szCs w:val="24"/>
          <w:lang w:val="sk-SK"/>
        </w:rPr>
        <w:footnoteRef/>
      </w:r>
      <w:r w:rsidR="009A3677" w:rsidRPr="003B54E2">
        <w:rPr>
          <w:sz w:val="24"/>
          <w:szCs w:val="24"/>
          <w:lang w:val="sk-SK"/>
        </w:rPr>
        <w:t xml:space="preserve"> </w:t>
      </w:r>
      <w:r w:rsidR="009A3677" w:rsidRPr="003B54E2">
        <w:rPr>
          <w:sz w:val="24"/>
          <w:szCs w:val="24"/>
          <w:lang w:val="sk-SK"/>
        </w:rPr>
        <w:tab/>
      </w:r>
      <w:r w:rsidRPr="003B54E2">
        <w:rPr>
          <w:sz w:val="24"/>
          <w:szCs w:val="24"/>
          <w:lang w:val="sk-SK"/>
        </w:rPr>
        <w:t>Ú. v. EÚ C 214, 16.6.2023, s. 8.</w:t>
      </w:r>
    </w:p>
  </w:footnote>
  <w:footnote w:id="2">
    <w:p w14:paraId="1E797595" w14:textId="69396B27" w:rsidR="00AF0259" w:rsidRPr="003B54E2" w:rsidRDefault="00AF0259" w:rsidP="009A3677">
      <w:pPr>
        <w:pStyle w:val="FootnoteText"/>
        <w:ind w:left="567" w:hanging="567"/>
        <w:rPr>
          <w:sz w:val="24"/>
          <w:szCs w:val="24"/>
          <w:vertAlign w:val="superscript"/>
          <w:lang w:val="sk-SK"/>
        </w:rPr>
      </w:pPr>
      <w:r w:rsidRPr="003B54E2">
        <w:rPr>
          <w:rStyle w:val="FootnoteReference"/>
          <w:sz w:val="24"/>
          <w:szCs w:val="24"/>
          <w:lang w:val="sk-SK"/>
        </w:rPr>
        <w:footnoteRef/>
      </w:r>
      <w:r w:rsidR="009A3677" w:rsidRPr="003B54E2">
        <w:rPr>
          <w:sz w:val="24"/>
          <w:szCs w:val="24"/>
          <w:lang w:val="sk-SK"/>
        </w:rPr>
        <w:t xml:space="preserve"> </w:t>
      </w:r>
      <w:r w:rsidR="009A3677" w:rsidRPr="003B54E2">
        <w:rPr>
          <w:sz w:val="24"/>
          <w:szCs w:val="24"/>
          <w:lang w:val="sk-SK"/>
        </w:rPr>
        <w:tab/>
      </w:r>
      <w:hyperlink r:id="rId1" w:history="1">
        <w:r w:rsidRPr="003B54E2">
          <w:rPr>
            <w:rStyle w:val="Hyperlink"/>
            <w:sz w:val="24"/>
            <w:szCs w:val="24"/>
            <w:lang w:val="sk-SK"/>
          </w:rPr>
          <w:t>https://single-market-economy.ec.europa.eu/publications/2025-annual-single-market-and-competitiveness-report_en</w:t>
        </w:r>
      </w:hyperlink>
      <w:r w:rsidRPr="003B54E2">
        <w:rPr>
          <w:sz w:val="24"/>
          <w:szCs w:val="24"/>
          <w:lang w:val="sk-SK"/>
        </w:rPr>
        <w:t>;</w:t>
      </w:r>
    </w:p>
    <w:p w14:paraId="34A0A7A0" w14:textId="5AD09FB1" w:rsidR="00AF0259" w:rsidRPr="003B54E2" w:rsidRDefault="009A3677" w:rsidP="009A3677">
      <w:pPr>
        <w:pStyle w:val="FootnoteText"/>
        <w:ind w:left="567" w:hanging="567"/>
        <w:rPr>
          <w:sz w:val="24"/>
          <w:szCs w:val="24"/>
          <w:vertAlign w:val="superscript"/>
          <w:lang w:val="sk-SK"/>
        </w:rPr>
      </w:pPr>
      <w:r w:rsidRPr="003B54E2">
        <w:rPr>
          <w:sz w:val="24"/>
          <w:szCs w:val="24"/>
          <w:lang w:val="sk-SK"/>
        </w:rPr>
        <w:t xml:space="preserve"> </w:t>
      </w:r>
      <w:r w:rsidRPr="003B54E2">
        <w:rPr>
          <w:sz w:val="24"/>
          <w:szCs w:val="24"/>
          <w:lang w:val="sk-SK"/>
        </w:rPr>
        <w:tab/>
      </w:r>
      <w:hyperlink r:id="rId2" w:history="1">
        <w:r w:rsidR="00AF0259" w:rsidRPr="003B54E2">
          <w:rPr>
            <w:rStyle w:val="Hyperlink"/>
            <w:sz w:val="24"/>
            <w:szCs w:val="24"/>
            <w:lang w:val="sk-SK"/>
          </w:rPr>
          <w:t>https://documents1.worldbank.org/curated/en/600621587713071010/pdf/Doing-Business-in-the-European-Union-2020-Greece-Ireland-and-Italy.pdf</w:t>
        </w:r>
      </w:hyperlink>
      <w:r w:rsidR="00AF0259" w:rsidRPr="003B54E2">
        <w:rPr>
          <w:sz w:val="24"/>
          <w:szCs w:val="24"/>
          <w:lang w:val="sk-SK"/>
        </w:rPr>
        <w:t xml:space="preserve">; </w:t>
      </w:r>
    </w:p>
    <w:p w14:paraId="124B7E71" w14:textId="108B320E" w:rsidR="00AF0259" w:rsidRPr="003B54E2" w:rsidRDefault="009A3677" w:rsidP="009A3677">
      <w:pPr>
        <w:pStyle w:val="FootnoteText"/>
        <w:ind w:left="567" w:hanging="567"/>
        <w:rPr>
          <w:sz w:val="24"/>
          <w:szCs w:val="24"/>
          <w:lang w:val="sk-SK"/>
        </w:rPr>
      </w:pPr>
      <w:r w:rsidRPr="003B54E2">
        <w:rPr>
          <w:sz w:val="24"/>
          <w:szCs w:val="24"/>
          <w:lang w:val="sk-SK"/>
        </w:rPr>
        <w:t xml:space="preserve"> </w:t>
      </w:r>
      <w:r w:rsidRPr="003B54E2">
        <w:rPr>
          <w:sz w:val="24"/>
          <w:szCs w:val="24"/>
          <w:lang w:val="sk-SK"/>
        </w:rPr>
        <w:tab/>
      </w:r>
      <w:hyperlink r:id="rId3" w:history="1">
        <w:r w:rsidR="00AF0259" w:rsidRPr="003B54E2">
          <w:rPr>
            <w:rStyle w:val="Hyperlink"/>
            <w:sz w:val="24"/>
            <w:szCs w:val="24"/>
            <w:lang w:val="sk-SK"/>
          </w:rPr>
          <w:t>https://www.weforum.org/stories/2024/09/wind-energy-permitting-processes-europe/</w:t>
        </w:r>
      </w:hyperlink>
      <w:r w:rsidR="00AF0259" w:rsidRPr="003B54E2">
        <w:rPr>
          <w:sz w:val="24"/>
          <w:szCs w:val="24"/>
          <w:lang w:val="sk-SK"/>
        </w:rPr>
        <w:t xml:space="preserve">. </w:t>
      </w:r>
    </w:p>
  </w:footnote>
  <w:footnote w:id="3">
    <w:p w14:paraId="753E7C4E" w14:textId="0E8BFECA" w:rsidR="00AF0259" w:rsidRPr="003B54E2" w:rsidRDefault="00AF0259" w:rsidP="009A3677">
      <w:pPr>
        <w:pStyle w:val="FootnoteText"/>
        <w:ind w:left="567" w:hanging="567"/>
        <w:rPr>
          <w:sz w:val="24"/>
          <w:szCs w:val="24"/>
          <w:lang w:val="sk-SK"/>
        </w:rPr>
      </w:pPr>
      <w:r w:rsidRPr="003B54E2">
        <w:rPr>
          <w:rStyle w:val="FootnoteReference"/>
          <w:sz w:val="24"/>
          <w:szCs w:val="24"/>
          <w:lang w:val="sk-SK"/>
        </w:rPr>
        <w:footnoteRef/>
      </w:r>
      <w:r w:rsidR="009A3677" w:rsidRPr="003B54E2">
        <w:rPr>
          <w:sz w:val="24"/>
          <w:szCs w:val="24"/>
          <w:lang w:val="sk-SK"/>
        </w:rPr>
        <w:t xml:space="preserve"> </w:t>
      </w:r>
      <w:r w:rsidR="009A3677" w:rsidRPr="003B54E2">
        <w:rPr>
          <w:sz w:val="24"/>
          <w:szCs w:val="24"/>
          <w:lang w:val="sk-SK"/>
        </w:rPr>
        <w:tab/>
      </w:r>
      <w:proofErr w:type="spellStart"/>
      <w:r w:rsidRPr="003B54E2">
        <w:rPr>
          <w:sz w:val="24"/>
          <w:szCs w:val="24"/>
          <w:lang w:val="sk-SK"/>
        </w:rPr>
        <w:t>Medziinštitucionálna</w:t>
      </w:r>
      <w:proofErr w:type="spellEnd"/>
      <w:r w:rsidRPr="003B54E2">
        <w:rPr>
          <w:sz w:val="24"/>
          <w:szCs w:val="24"/>
          <w:lang w:val="sk-SK"/>
        </w:rPr>
        <w:t xml:space="preserve"> dohoda z 13. apríla 2016 medzi Európskym parlamentom, Radou Európskej únie a Európskou komisiou o lepšej tvorbe práva </w:t>
      </w:r>
      <w:r w:rsidR="00BB3EBE" w:rsidRPr="003B54E2">
        <w:rPr>
          <w:sz w:val="24"/>
          <w:szCs w:val="24"/>
          <w:lang w:val="sk-SK"/>
        </w:rPr>
        <w:t>(</w:t>
      </w:r>
      <w:r w:rsidRPr="003B54E2">
        <w:rPr>
          <w:sz w:val="24"/>
          <w:szCs w:val="24"/>
          <w:lang w:val="sk-SK"/>
        </w:rPr>
        <w:t xml:space="preserve">Ú. v. EÚ L 123, 12.5.2016, s. </w:t>
      </w:r>
      <w:r w:rsidRPr="003B54E2">
        <w:rPr>
          <w:sz w:val="24"/>
          <w:szCs w:val="24"/>
          <w:lang w:val="sk-SK"/>
        </w:rPr>
        <w:t xml:space="preserve">1, ELI: </w:t>
      </w:r>
      <w:hyperlink r:id="rId4" w:history="1">
        <w:r w:rsidRPr="003B54E2">
          <w:rPr>
            <w:rStyle w:val="Hyperlink"/>
            <w:sz w:val="24"/>
            <w:szCs w:val="24"/>
            <w:lang w:val="sk-SK"/>
          </w:rPr>
          <w:t>http://data.europa.eu/eli/agree_interinstit/2016/512/oj</w:t>
        </w:r>
      </w:hyperlink>
      <w:r w:rsidRPr="003B54E2">
        <w:rPr>
          <w:sz w:val="24"/>
          <w:szCs w:val="24"/>
          <w:lang w:val="sk-SK"/>
        </w:rPr>
        <w:t>).</w:t>
      </w:r>
    </w:p>
  </w:footnote>
  <w:footnote w:id="4">
    <w:p w14:paraId="7933B292" w14:textId="1A96E585" w:rsidR="00AF0259" w:rsidRPr="003B54E2" w:rsidRDefault="00AF0259" w:rsidP="009A3677">
      <w:pPr>
        <w:pStyle w:val="FootnoteText"/>
        <w:ind w:left="567" w:hanging="567"/>
        <w:rPr>
          <w:sz w:val="24"/>
          <w:szCs w:val="24"/>
          <w:lang w:val="sk-SK"/>
        </w:rPr>
      </w:pPr>
      <w:r w:rsidRPr="003B54E2">
        <w:rPr>
          <w:rStyle w:val="FootnoteReference"/>
          <w:sz w:val="24"/>
          <w:szCs w:val="24"/>
          <w:lang w:val="sk-SK"/>
        </w:rPr>
        <w:footnoteRef/>
      </w:r>
      <w:r w:rsidR="009A3677" w:rsidRPr="003B54E2">
        <w:rPr>
          <w:sz w:val="24"/>
          <w:szCs w:val="24"/>
          <w:lang w:val="sk-SK"/>
        </w:rPr>
        <w:t xml:space="preserve"> </w:t>
      </w:r>
      <w:r w:rsidR="009A3677" w:rsidRPr="003B54E2">
        <w:rPr>
          <w:sz w:val="24"/>
          <w:szCs w:val="24"/>
          <w:lang w:val="sk-SK"/>
        </w:rPr>
        <w:tab/>
      </w:r>
      <w:r w:rsidRPr="003B54E2">
        <w:rPr>
          <w:sz w:val="24"/>
          <w:szCs w:val="24"/>
          <w:lang w:val="sk-SK"/>
        </w:rPr>
        <w:t>Smernica Európskeho parlamentu a Rady 2006/123/ES z 12. decembra 2006 o službách na vnútornom trhu, (Ú. v. EÚ L 376, 27.12.2006, s. </w:t>
      </w:r>
      <w:r w:rsidRPr="003B54E2">
        <w:rPr>
          <w:sz w:val="24"/>
          <w:szCs w:val="24"/>
          <w:lang w:val="sk-SK"/>
        </w:rPr>
        <w:t xml:space="preserve">36, ELI: </w:t>
      </w:r>
      <w:hyperlink r:id="rId5" w:history="1">
        <w:r w:rsidRPr="003B54E2">
          <w:rPr>
            <w:rStyle w:val="Hyperlink"/>
            <w:sz w:val="24"/>
            <w:szCs w:val="24"/>
            <w:lang w:val="sk-SK"/>
          </w:rPr>
          <w:t>http://data.europa.eu/eli/dir/2006/123/oj</w:t>
        </w:r>
      </w:hyperlink>
      <w:r w:rsidRPr="003B54E2">
        <w:rPr>
          <w:sz w:val="24"/>
          <w:szCs w:val="24"/>
          <w:lang w:val="sk-SK"/>
        </w:rPr>
        <w:t>).</w:t>
      </w:r>
    </w:p>
  </w:footnote>
  <w:footnote w:id="5">
    <w:p w14:paraId="4F567D27" w14:textId="74CC157F" w:rsidR="00AF0259" w:rsidRPr="003B54E2" w:rsidRDefault="00AF0259" w:rsidP="009A3677">
      <w:pPr>
        <w:pStyle w:val="FootnoteText"/>
        <w:ind w:left="567" w:hanging="567"/>
        <w:rPr>
          <w:sz w:val="24"/>
          <w:szCs w:val="24"/>
          <w:lang w:val="sk-SK"/>
        </w:rPr>
      </w:pPr>
      <w:r w:rsidRPr="003B54E2">
        <w:rPr>
          <w:rStyle w:val="FootnoteReference"/>
          <w:sz w:val="24"/>
          <w:szCs w:val="24"/>
          <w:lang w:val="sk-SK"/>
        </w:rPr>
        <w:footnoteRef/>
      </w:r>
      <w:r w:rsidR="009A3677" w:rsidRPr="003B54E2">
        <w:rPr>
          <w:sz w:val="24"/>
          <w:szCs w:val="24"/>
          <w:shd w:val="clear" w:color="auto" w:fill="FFFFFF"/>
          <w:lang w:val="sk-SK"/>
        </w:rPr>
        <w:t xml:space="preserve"> </w:t>
      </w:r>
      <w:r w:rsidR="009A3677" w:rsidRPr="003B54E2">
        <w:rPr>
          <w:sz w:val="24"/>
          <w:szCs w:val="24"/>
          <w:shd w:val="clear" w:color="auto" w:fill="FFFFFF"/>
          <w:lang w:val="sk-SK"/>
        </w:rPr>
        <w:tab/>
      </w:r>
      <w:r w:rsidRPr="003B54E2">
        <w:rPr>
          <w:sz w:val="24"/>
          <w:szCs w:val="24"/>
          <w:shd w:val="clear" w:color="auto" w:fill="FFFFFF"/>
          <w:lang w:val="sk-SK"/>
        </w:rPr>
        <w:t>Smernica Európskeho parlamentu a Rady (EÚ) 2015/1535 z 9. septembra 2015, ktorou sa stanovuje postup pri poskytovaní informácií v oblasti technických predpisov a pravidiel vzťahujúcich sa na služby informačnej spoločnosti (</w:t>
      </w:r>
      <w:r w:rsidRPr="003B54E2">
        <w:rPr>
          <w:rStyle w:val="Emphasis"/>
          <w:i w:val="0"/>
          <w:iCs w:val="0"/>
          <w:sz w:val="24"/>
          <w:szCs w:val="24"/>
          <w:shd w:val="clear" w:color="auto" w:fill="FFFFFF"/>
          <w:lang w:val="sk-SK"/>
        </w:rPr>
        <w:t>Ú. v. EÚ L 241, 17.9.2015, s. </w:t>
      </w:r>
      <w:r w:rsidRPr="003B54E2">
        <w:rPr>
          <w:rStyle w:val="Emphasis"/>
          <w:i w:val="0"/>
          <w:iCs w:val="0"/>
          <w:sz w:val="24"/>
          <w:szCs w:val="24"/>
          <w:shd w:val="clear" w:color="auto" w:fill="FFFFFF"/>
          <w:lang w:val="sk-SK"/>
        </w:rPr>
        <w:t>1,</w:t>
      </w:r>
      <w:r w:rsidRPr="003B54E2">
        <w:rPr>
          <w:sz w:val="24"/>
          <w:szCs w:val="24"/>
          <w:shd w:val="clear" w:color="auto" w:fill="FFFFFF"/>
          <w:lang w:val="sk-SK"/>
        </w:rPr>
        <w:t xml:space="preserve"> ELI: </w:t>
      </w:r>
      <w:hyperlink r:id="rId6" w:tooltip="Umožňuje prístup k tomuto dokumentu prostredníctvom identifikátora URI používaného v rámci ELI." w:history="1">
        <w:r w:rsidRPr="003B54E2">
          <w:rPr>
            <w:color w:val="0000FF"/>
            <w:sz w:val="24"/>
            <w:szCs w:val="24"/>
            <w:u w:val="single"/>
            <w:shd w:val="clear" w:color="auto" w:fill="FFFFFF"/>
            <w:lang w:val="sk-SK"/>
          </w:rPr>
          <w:t>http://data.europa.eu/eli/dir/2015/1535/oj</w:t>
        </w:r>
      </w:hyperlink>
      <w:r w:rsidRPr="003B54E2">
        <w:rPr>
          <w:sz w:val="24"/>
          <w:szCs w:val="24"/>
          <w:lang w:val="sk-SK"/>
        </w:rPr>
        <w:t>).</w:t>
      </w:r>
    </w:p>
  </w:footnote>
  <w:footnote w:id="6">
    <w:p w14:paraId="440C3395" w14:textId="3EECDFE8" w:rsidR="00AF0259" w:rsidRPr="003B54E2" w:rsidRDefault="00AF0259" w:rsidP="009A3677">
      <w:pPr>
        <w:pStyle w:val="FootnoteText"/>
        <w:ind w:left="567" w:hanging="567"/>
        <w:rPr>
          <w:sz w:val="24"/>
          <w:szCs w:val="24"/>
          <w:lang w:val="sk-SK"/>
        </w:rPr>
      </w:pPr>
      <w:r w:rsidRPr="003B54E2">
        <w:rPr>
          <w:rStyle w:val="FootnoteReference"/>
          <w:sz w:val="24"/>
          <w:szCs w:val="24"/>
          <w:lang w:val="sk-SK"/>
        </w:rPr>
        <w:footnoteRef/>
      </w:r>
      <w:r w:rsidR="009A3677" w:rsidRPr="003B54E2">
        <w:rPr>
          <w:sz w:val="24"/>
          <w:szCs w:val="24"/>
          <w:shd w:val="clear" w:color="auto" w:fill="FFFFFF"/>
          <w:lang w:val="sk-SK"/>
        </w:rPr>
        <w:t xml:space="preserve"> </w:t>
      </w:r>
      <w:r w:rsidR="009A3677" w:rsidRPr="003B54E2">
        <w:rPr>
          <w:sz w:val="24"/>
          <w:szCs w:val="24"/>
          <w:shd w:val="clear" w:color="auto" w:fill="FFFFFF"/>
          <w:lang w:val="sk-SK"/>
        </w:rPr>
        <w:tab/>
      </w:r>
      <w:r w:rsidRPr="003B54E2">
        <w:rPr>
          <w:sz w:val="24"/>
          <w:szCs w:val="24"/>
          <w:shd w:val="clear" w:color="auto" w:fill="FFFFFF"/>
          <w:lang w:val="sk-SK"/>
        </w:rPr>
        <w:t>Smernica Európskeho parlamentu a Rady 2005/36/ES zo 7. septembra 2005 o uznávaní odborných kvalifikácií (</w:t>
      </w:r>
      <w:r w:rsidRPr="003B54E2">
        <w:rPr>
          <w:rStyle w:val="Emphasis"/>
          <w:i w:val="0"/>
          <w:iCs w:val="0"/>
          <w:sz w:val="24"/>
          <w:szCs w:val="24"/>
          <w:shd w:val="clear" w:color="auto" w:fill="FFFFFF"/>
          <w:lang w:val="sk-SK"/>
        </w:rPr>
        <w:t>Ú. v. EÚ L 255, 30.9.2005, s. </w:t>
      </w:r>
      <w:r w:rsidRPr="003B54E2">
        <w:rPr>
          <w:rStyle w:val="Emphasis"/>
          <w:i w:val="0"/>
          <w:iCs w:val="0"/>
          <w:sz w:val="24"/>
          <w:szCs w:val="24"/>
          <w:shd w:val="clear" w:color="auto" w:fill="FFFFFF"/>
          <w:lang w:val="sk-SK"/>
        </w:rPr>
        <w:t>22</w:t>
      </w:r>
      <w:r w:rsidRPr="003B54E2">
        <w:rPr>
          <w:i/>
          <w:sz w:val="24"/>
          <w:szCs w:val="24"/>
          <w:shd w:val="clear" w:color="auto" w:fill="FFFFFF"/>
          <w:lang w:val="sk-SK"/>
        </w:rPr>
        <w:t>,</w:t>
      </w:r>
      <w:r w:rsidRPr="003B54E2">
        <w:rPr>
          <w:sz w:val="24"/>
          <w:szCs w:val="24"/>
          <w:shd w:val="clear" w:color="auto" w:fill="FFFFFF"/>
          <w:lang w:val="sk-SK"/>
        </w:rPr>
        <w:t xml:space="preserve"> ELI: </w:t>
      </w:r>
      <w:hyperlink r:id="rId7" w:tooltip="Umožňuje prístup k tomuto dokumentu prostredníctvom identifikátora URI používaného v rámci ELI." w:history="1">
        <w:r w:rsidRPr="003B54E2">
          <w:rPr>
            <w:color w:val="0000FF"/>
            <w:sz w:val="24"/>
            <w:szCs w:val="24"/>
            <w:u w:val="single"/>
            <w:shd w:val="clear" w:color="auto" w:fill="FFFFFF"/>
            <w:lang w:val="sk-SK"/>
          </w:rPr>
          <w:t>http://data.europa.eu/eli/dir/2005/36/oj</w:t>
        </w:r>
      </w:hyperlink>
      <w:r w:rsidRPr="003B54E2">
        <w:rPr>
          <w:sz w:val="24"/>
          <w:szCs w:val="24"/>
          <w:lang w:val="sk-SK"/>
        </w:rPr>
        <w:t>).</w:t>
      </w:r>
    </w:p>
  </w:footnote>
  <w:footnote w:id="7">
    <w:p w14:paraId="2323C2FB" w14:textId="38A07AB7" w:rsidR="00AF0259" w:rsidRPr="003B54E2" w:rsidRDefault="00AF0259" w:rsidP="009A3677">
      <w:pPr>
        <w:pStyle w:val="FootnoteText"/>
        <w:ind w:left="567" w:hanging="567"/>
        <w:rPr>
          <w:sz w:val="24"/>
          <w:szCs w:val="24"/>
          <w:lang w:val="sk-SK"/>
        </w:rPr>
      </w:pPr>
      <w:r w:rsidRPr="003B54E2">
        <w:rPr>
          <w:rStyle w:val="FootnoteReference"/>
          <w:sz w:val="24"/>
          <w:szCs w:val="24"/>
          <w:lang w:val="sk-SK"/>
        </w:rPr>
        <w:footnoteRef/>
      </w:r>
      <w:r w:rsidR="009A3677" w:rsidRPr="003B54E2">
        <w:rPr>
          <w:sz w:val="24"/>
          <w:szCs w:val="24"/>
          <w:shd w:val="clear" w:color="auto" w:fill="FFFFFF"/>
          <w:lang w:val="sk-SK"/>
        </w:rPr>
        <w:t xml:space="preserve"> </w:t>
      </w:r>
      <w:r w:rsidR="009A3677" w:rsidRPr="003B54E2">
        <w:rPr>
          <w:sz w:val="24"/>
          <w:szCs w:val="24"/>
          <w:shd w:val="clear" w:color="auto" w:fill="FFFFFF"/>
          <w:lang w:val="sk-SK"/>
        </w:rPr>
        <w:tab/>
      </w:r>
      <w:r w:rsidRPr="003B54E2">
        <w:rPr>
          <w:sz w:val="24"/>
          <w:szCs w:val="24"/>
          <w:shd w:val="clear" w:color="auto" w:fill="FFFFFF"/>
          <w:lang w:val="sk-SK"/>
        </w:rPr>
        <w:t>Nariadenie Európskeho parlamentu a Rady (ES) č. 883/2004 z 29. apríla 2004 o koordinácii systémov sociálneho zabezpečenia (</w:t>
      </w:r>
      <w:r w:rsidRPr="003B54E2">
        <w:rPr>
          <w:rStyle w:val="Emphasis"/>
          <w:i w:val="0"/>
          <w:iCs w:val="0"/>
          <w:sz w:val="24"/>
          <w:szCs w:val="24"/>
          <w:shd w:val="clear" w:color="auto" w:fill="FFFFFF"/>
          <w:lang w:val="sk-SK"/>
        </w:rPr>
        <w:t>Ú. v. EÚ L 166, 30.4.2004, s. </w:t>
      </w:r>
      <w:r w:rsidRPr="003B54E2">
        <w:rPr>
          <w:rStyle w:val="Emphasis"/>
          <w:i w:val="0"/>
          <w:iCs w:val="0"/>
          <w:sz w:val="24"/>
          <w:szCs w:val="24"/>
          <w:shd w:val="clear" w:color="auto" w:fill="FFFFFF"/>
          <w:lang w:val="sk-SK"/>
        </w:rPr>
        <w:t>1</w:t>
      </w:r>
      <w:r w:rsidRPr="003B54E2">
        <w:rPr>
          <w:i/>
          <w:sz w:val="24"/>
          <w:szCs w:val="24"/>
          <w:shd w:val="clear" w:color="auto" w:fill="FFFFFF"/>
          <w:lang w:val="sk-SK"/>
        </w:rPr>
        <w:t>,</w:t>
      </w:r>
      <w:r w:rsidRPr="003B54E2">
        <w:rPr>
          <w:sz w:val="24"/>
          <w:szCs w:val="24"/>
          <w:shd w:val="clear" w:color="auto" w:fill="FFFFFF"/>
          <w:lang w:val="sk-SK"/>
        </w:rPr>
        <w:t xml:space="preserve"> ELI: </w:t>
      </w:r>
      <w:hyperlink r:id="rId8" w:tooltip="Umožňuje prístup k tomuto dokumentu prostredníctvom identifikátora URI používaného v rámci ELI." w:history="1">
        <w:r w:rsidRPr="003B54E2">
          <w:rPr>
            <w:color w:val="0000FF"/>
            <w:sz w:val="24"/>
            <w:szCs w:val="24"/>
            <w:u w:val="single"/>
            <w:shd w:val="clear" w:color="auto" w:fill="FFFFFF"/>
            <w:lang w:val="sk-SK"/>
          </w:rPr>
          <w:t>http://data.europa.eu/eli/reg/2004/883/oj</w:t>
        </w:r>
      </w:hyperlink>
      <w:r w:rsidRPr="003B54E2">
        <w:rPr>
          <w:sz w:val="24"/>
          <w:szCs w:val="24"/>
          <w:lang w:val="sk-SK"/>
        </w:rPr>
        <w:t>).</w:t>
      </w:r>
    </w:p>
  </w:footnote>
  <w:footnote w:id="8">
    <w:p w14:paraId="2DFBE795" w14:textId="696CB0BE" w:rsidR="00AF0259" w:rsidRPr="003B54E2" w:rsidRDefault="00AF0259" w:rsidP="009A3677">
      <w:pPr>
        <w:pStyle w:val="FootnoteText"/>
        <w:ind w:left="567" w:hanging="567"/>
        <w:rPr>
          <w:sz w:val="24"/>
          <w:szCs w:val="24"/>
          <w:lang w:val="sk-SK"/>
        </w:rPr>
      </w:pPr>
      <w:r w:rsidRPr="003B54E2">
        <w:rPr>
          <w:rStyle w:val="FootnoteReference"/>
          <w:sz w:val="24"/>
          <w:szCs w:val="24"/>
          <w:lang w:val="sk-SK"/>
        </w:rPr>
        <w:footnoteRef/>
      </w:r>
      <w:r w:rsidR="009A3677" w:rsidRPr="003B54E2">
        <w:rPr>
          <w:sz w:val="24"/>
          <w:szCs w:val="24"/>
          <w:shd w:val="clear" w:color="auto" w:fill="FFFFFF"/>
          <w:lang w:val="sk-SK"/>
        </w:rPr>
        <w:t xml:space="preserve"> </w:t>
      </w:r>
      <w:r w:rsidR="009A3677" w:rsidRPr="003B54E2">
        <w:rPr>
          <w:sz w:val="24"/>
          <w:szCs w:val="24"/>
          <w:shd w:val="clear" w:color="auto" w:fill="FFFFFF"/>
          <w:lang w:val="sk-SK"/>
        </w:rPr>
        <w:tab/>
      </w:r>
      <w:r w:rsidRPr="003B54E2">
        <w:rPr>
          <w:sz w:val="24"/>
          <w:szCs w:val="24"/>
          <w:shd w:val="clear" w:color="auto" w:fill="FFFFFF"/>
          <w:lang w:val="sk-SK"/>
        </w:rPr>
        <w:t>Nariadenie Európskeho parlamentu a Rady (EÚ) 2024/2747 z 9. októbra 2024, ktorým sa stanovuje rámec opatrení týkajúcich sa núdzovej situácie na vnútornom trhu a jeho odolnosti a ktorým sa mení nariadenie Rady (ES) č. 2679/98 (akt o núdzovej situácii na vnútornom trhu a jeho odolnosti) (Ú. v. </w:t>
      </w:r>
      <w:r w:rsidRPr="003B54E2">
        <w:rPr>
          <w:sz w:val="24"/>
          <w:szCs w:val="24"/>
          <w:shd w:val="clear" w:color="auto" w:fill="FFFFFF"/>
          <w:lang w:val="sk-SK"/>
        </w:rPr>
        <w:t>EÚ L, 2024/2747, 8.11.2024, ELI: </w:t>
      </w:r>
      <w:hyperlink r:id="rId9" w:tgtFrame="_blank" w:tooltip="Umožňuje prístup k tomuto dokumentu prostredníctvom identifikátora URI používaného v rámci ELI." w:history="1">
        <w:r w:rsidRPr="003B54E2">
          <w:rPr>
            <w:color w:val="0000FF"/>
            <w:sz w:val="24"/>
            <w:szCs w:val="24"/>
            <w:u w:val="single"/>
            <w:lang w:val="sk-SK"/>
          </w:rPr>
          <w:t>http://data.europa.eu/eli/reg/2024/2747/oj</w:t>
        </w:r>
      </w:hyperlink>
      <w:r w:rsidRPr="003B54E2">
        <w:rPr>
          <w:sz w:val="24"/>
          <w:szCs w:val="24"/>
          <w:shd w:val="clear" w:color="auto" w:fill="FFFFFF"/>
          <w:lang w:val="sk-SK"/>
        </w:rPr>
        <w:t>).</w:t>
      </w:r>
    </w:p>
  </w:footnote>
  <w:footnote w:id="9">
    <w:p w14:paraId="33F01526" w14:textId="2BBA3D70" w:rsidR="00AF0259" w:rsidRPr="003B54E2" w:rsidRDefault="00AF0259" w:rsidP="009A3677">
      <w:pPr>
        <w:pStyle w:val="FootnoteText"/>
        <w:ind w:left="567" w:hanging="567"/>
        <w:rPr>
          <w:sz w:val="24"/>
          <w:szCs w:val="24"/>
          <w:lang w:val="sk-SK"/>
        </w:rPr>
      </w:pPr>
      <w:r w:rsidRPr="003B54E2">
        <w:rPr>
          <w:rStyle w:val="FootnoteReference"/>
          <w:sz w:val="24"/>
          <w:szCs w:val="24"/>
          <w:lang w:val="sk-SK"/>
        </w:rPr>
        <w:footnoteRef/>
      </w:r>
      <w:r w:rsidR="009A3677" w:rsidRPr="003B54E2">
        <w:rPr>
          <w:sz w:val="24"/>
          <w:szCs w:val="24"/>
          <w:lang w:val="sk-SK"/>
        </w:rPr>
        <w:t xml:space="preserve"> </w:t>
      </w:r>
      <w:r w:rsidR="009A3677" w:rsidRPr="003B54E2">
        <w:rPr>
          <w:sz w:val="24"/>
          <w:szCs w:val="24"/>
          <w:lang w:val="sk-SK"/>
        </w:rPr>
        <w:tab/>
      </w:r>
      <w:r w:rsidRPr="003B54E2">
        <w:rPr>
          <w:sz w:val="24"/>
          <w:szCs w:val="24"/>
          <w:lang w:val="sk-SK"/>
        </w:rPr>
        <w:t xml:space="preserve">Nariadenie Európskeho parlamentu a Rady (EÚ) 2022/2065 z 19. októbra 2022 o jednotnom trhu s digitálnymi službami a o zmene smernice 2000/31/ES (akt o digitálnych službách) (Ú. v. EÚ L 277, 27.10.2022, s. </w:t>
      </w:r>
      <w:r w:rsidRPr="003B54E2">
        <w:rPr>
          <w:sz w:val="24"/>
          <w:szCs w:val="24"/>
          <w:lang w:val="sk-SK"/>
        </w:rPr>
        <w:t xml:space="preserve">1, ELI: </w:t>
      </w:r>
      <w:hyperlink r:id="rId10" w:history="1">
        <w:r w:rsidRPr="003B54E2">
          <w:rPr>
            <w:rStyle w:val="Hyperlink"/>
            <w:sz w:val="24"/>
            <w:szCs w:val="24"/>
            <w:lang w:val="sk-SK"/>
          </w:rPr>
          <w:t>http://data.europa.eu/eli/reg/2022/2065/oj</w:t>
        </w:r>
      </w:hyperlink>
      <w:r w:rsidRPr="003B54E2">
        <w:rPr>
          <w:sz w:val="24"/>
          <w:szCs w:val="24"/>
          <w:lang w:val="sk-SK"/>
        </w:rPr>
        <w:t>).</w:t>
      </w:r>
    </w:p>
  </w:footnote>
  <w:footnote w:id="10">
    <w:p w14:paraId="1C681A5D" w14:textId="7380FE3B" w:rsidR="00AF0259" w:rsidRPr="003B54E2" w:rsidRDefault="00AF0259" w:rsidP="009A3677">
      <w:pPr>
        <w:pStyle w:val="FootnoteText"/>
        <w:ind w:left="567" w:hanging="567"/>
        <w:rPr>
          <w:sz w:val="24"/>
          <w:szCs w:val="24"/>
          <w:lang w:val="sk-SK"/>
        </w:rPr>
      </w:pPr>
      <w:r w:rsidRPr="003B54E2">
        <w:rPr>
          <w:rStyle w:val="FootnoteReference"/>
          <w:sz w:val="24"/>
          <w:szCs w:val="24"/>
          <w:lang w:val="sk-SK"/>
        </w:rPr>
        <w:footnoteRef/>
      </w:r>
      <w:r w:rsidR="009A3677" w:rsidRPr="003B54E2">
        <w:rPr>
          <w:sz w:val="24"/>
          <w:szCs w:val="24"/>
          <w:lang w:val="sk-SK"/>
        </w:rPr>
        <w:t xml:space="preserve"> </w:t>
      </w:r>
      <w:r w:rsidR="009A3677" w:rsidRPr="003B54E2">
        <w:rPr>
          <w:sz w:val="24"/>
          <w:szCs w:val="24"/>
          <w:lang w:val="sk-SK"/>
        </w:rPr>
        <w:tab/>
      </w:r>
      <w:r w:rsidRPr="003B54E2">
        <w:rPr>
          <w:sz w:val="24"/>
          <w:szCs w:val="24"/>
          <w:lang w:val="sk-SK"/>
        </w:rPr>
        <w:t>Nariadenie Európskeho parlamentu a Rady (EÚ) 2016/679 z 27. apríla 2016 o ochrane fyzických osôb pri spracúvaní osobných údajov a o voľnom pohybe takýchto údajov, ktorým sa zrušuje smernica 95/46/ES (všeobecné nariadenie o ochrane údajov) (Ú. v. EÚ L 119, 4.5.2016, s. </w:t>
      </w:r>
      <w:r w:rsidRPr="003B54E2">
        <w:rPr>
          <w:sz w:val="24"/>
          <w:szCs w:val="24"/>
          <w:lang w:val="sk-SK"/>
        </w:rPr>
        <w:t xml:space="preserve">1, ELI: </w:t>
      </w:r>
      <w:hyperlink r:id="rId11" w:history="1">
        <w:r w:rsidRPr="003B54E2">
          <w:rPr>
            <w:rStyle w:val="Hyperlink"/>
            <w:sz w:val="24"/>
            <w:szCs w:val="24"/>
            <w:lang w:val="sk-SK"/>
          </w:rPr>
          <w:t>http://data.europa.eu/eli/reg/2016/679/oj</w:t>
        </w:r>
      </w:hyperlink>
      <w:r w:rsidRPr="003B54E2">
        <w:rPr>
          <w:sz w:val="24"/>
          <w:szCs w:val="24"/>
          <w:lang w:val="sk-SK"/>
        </w:rPr>
        <w:t>).</w:t>
      </w:r>
    </w:p>
  </w:footnote>
  <w:footnote w:id="11">
    <w:p w14:paraId="60C8272B" w14:textId="19C3D651" w:rsidR="00AF0259" w:rsidRPr="003B54E2" w:rsidRDefault="00AF0259" w:rsidP="009A3677">
      <w:pPr>
        <w:pStyle w:val="FootnoteText"/>
        <w:ind w:left="567" w:hanging="567"/>
        <w:rPr>
          <w:sz w:val="24"/>
          <w:szCs w:val="24"/>
          <w:lang w:val="sk-SK"/>
        </w:rPr>
      </w:pPr>
      <w:r w:rsidRPr="003B54E2">
        <w:rPr>
          <w:rStyle w:val="FootnoteReference"/>
          <w:sz w:val="24"/>
          <w:szCs w:val="24"/>
          <w:lang w:val="sk-SK"/>
        </w:rPr>
        <w:footnoteRef/>
      </w:r>
      <w:r w:rsidR="009A3677" w:rsidRPr="003B54E2">
        <w:rPr>
          <w:sz w:val="24"/>
          <w:szCs w:val="24"/>
          <w:shd w:val="clear" w:color="auto" w:fill="FFFFFF"/>
          <w:lang w:val="sk-SK"/>
        </w:rPr>
        <w:t xml:space="preserve"> </w:t>
      </w:r>
      <w:r w:rsidR="009A3677" w:rsidRPr="003B54E2">
        <w:rPr>
          <w:sz w:val="24"/>
          <w:szCs w:val="24"/>
          <w:shd w:val="clear" w:color="auto" w:fill="FFFFFF"/>
          <w:lang w:val="sk-SK"/>
        </w:rPr>
        <w:tab/>
      </w:r>
      <w:r w:rsidRPr="003B54E2">
        <w:rPr>
          <w:sz w:val="24"/>
          <w:szCs w:val="24"/>
          <w:shd w:val="clear" w:color="auto" w:fill="FFFFFF"/>
          <w:lang w:val="sk-SK"/>
        </w:rPr>
        <w:t>Nariadenie Európskeho parlamentu a Rady (EÚ) 2024/1689 z 13. júna 2024, ktorým sa stanovujú harmonizované pravidlá v oblasti umelej inteligencie a ktorým sa menia nariadenia (ES) č. 300/2008, (EÚ) č. 167/2013, (EÚ) č. 168/2013, (EÚ) 2018/858, (EÚ) 2018/1139 a (EÚ) 2019/2144 a smernice 2014/90/EÚ, (EÚ) 2016/797 a (EÚ) 2020/1828 (akt o umelej inteligencii) (Ú. v. </w:t>
      </w:r>
      <w:r w:rsidRPr="003B54E2">
        <w:rPr>
          <w:sz w:val="24"/>
          <w:szCs w:val="24"/>
          <w:shd w:val="clear" w:color="auto" w:fill="FFFFFF"/>
          <w:lang w:val="sk-SK"/>
        </w:rPr>
        <w:t>EÚ L, 2024/1689, 12.7.2024, ELI: </w:t>
      </w:r>
      <w:hyperlink r:id="rId12" w:tgtFrame="_blank" w:tooltip="Umožňuje prístup k tomuto dokumentu prostredníctvom identifikátora URI používaného v rámci ELI." w:history="1">
        <w:r w:rsidRPr="003B54E2">
          <w:rPr>
            <w:color w:val="0000FF"/>
            <w:sz w:val="24"/>
            <w:szCs w:val="24"/>
            <w:u w:val="single"/>
            <w:lang w:val="sk-SK"/>
          </w:rPr>
          <w:t>http://data.europa.eu/eli/reg/2024/1689/oj</w:t>
        </w:r>
      </w:hyperlink>
      <w:r w:rsidRPr="003B54E2">
        <w:rPr>
          <w:sz w:val="24"/>
          <w:szCs w:val="24"/>
          <w:shd w:val="clear" w:color="auto" w:fill="FFFFFF"/>
          <w:lang w:val="sk-SK"/>
        </w:rPr>
        <w:t>).</w:t>
      </w:r>
    </w:p>
  </w:footnote>
  <w:footnote w:id="12">
    <w:p w14:paraId="79937E1A" w14:textId="1FE7AEFE" w:rsidR="00AF0259" w:rsidRPr="003B54E2" w:rsidRDefault="00AF0259" w:rsidP="009A3677">
      <w:pPr>
        <w:pStyle w:val="FootnoteText"/>
        <w:ind w:left="567" w:hanging="567"/>
        <w:rPr>
          <w:sz w:val="24"/>
          <w:szCs w:val="24"/>
          <w:lang w:val="sk-SK"/>
        </w:rPr>
      </w:pPr>
      <w:r w:rsidRPr="003B54E2">
        <w:rPr>
          <w:rStyle w:val="FootnoteReference"/>
          <w:sz w:val="24"/>
          <w:szCs w:val="24"/>
          <w:lang w:val="sk-SK"/>
        </w:rPr>
        <w:footnoteRef/>
      </w:r>
      <w:r w:rsidR="009A3677" w:rsidRPr="003B54E2">
        <w:rPr>
          <w:sz w:val="24"/>
          <w:szCs w:val="24"/>
          <w:lang w:val="sk-SK"/>
        </w:rPr>
        <w:t xml:space="preserve"> </w:t>
      </w:r>
      <w:r w:rsidR="009A3677" w:rsidRPr="003B54E2">
        <w:rPr>
          <w:sz w:val="24"/>
          <w:szCs w:val="24"/>
          <w:lang w:val="sk-SK"/>
        </w:rPr>
        <w:tab/>
      </w:r>
      <w:r w:rsidRPr="003B54E2">
        <w:rPr>
          <w:sz w:val="24"/>
          <w:szCs w:val="24"/>
          <w:lang w:val="sk-SK"/>
        </w:rPr>
        <w:t>Nariadenie Európskeho parlamentu a Rady (EÚ) 2024/900 z 13. marca 2024 o transparentnosti a cielení politickej reklamy (Ú. v. </w:t>
      </w:r>
      <w:r w:rsidRPr="003B54E2">
        <w:rPr>
          <w:sz w:val="24"/>
          <w:szCs w:val="24"/>
          <w:lang w:val="sk-SK"/>
        </w:rPr>
        <w:t xml:space="preserve">EÚ L, 2024/900, 20.3.2024, ELI: </w:t>
      </w:r>
      <w:hyperlink r:id="rId13" w:history="1">
        <w:r w:rsidRPr="003B54E2">
          <w:rPr>
            <w:rStyle w:val="Hyperlink"/>
            <w:sz w:val="24"/>
            <w:szCs w:val="24"/>
            <w:lang w:val="sk-SK"/>
          </w:rPr>
          <w:t>http://data.europa.eu/eli/reg/2024/900/oj</w:t>
        </w:r>
      </w:hyperlink>
      <w:r w:rsidRPr="003B54E2">
        <w:rPr>
          <w:sz w:val="24"/>
          <w:szCs w:val="24"/>
          <w:lang w:val="sk-SK"/>
        </w:rPr>
        <w:t>).</w:t>
      </w:r>
    </w:p>
  </w:footnote>
  <w:footnote w:id="13">
    <w:p w14:paraId="2A599159" w14:textId="74A5202A" w:rsidR="00AF0259" w:rsidRPr="003B54E2" w:rsidRDefault="00AF0259" w:rsidP="009A3677">
      <w:pPr>
        <w:pStyle w:val="FootnoteText"/>
        <w:ind w:left="567" w:hanging="567"/>
        <w:rPr>
          <w:sz w:val="24"/>
          <w:szCs w:val="24"/>
          <w:lang w:val="sk-SK"/>
        </w:rPr>
      </w:pPr>
      <w:r w:rsidRPr="003B54E2">
        <w:rPr>
          <w:rStyle w:val="FootnoteReference"/>
          <w:sz w:val="24"/>
          <w:szCs w:val="24"/>
          <w:lang w:val="sk-SK"/>
        </w:rPr>
        <w:footnoteRef/>
      </w:r>
      <w:r w:rsidR="009A3677" w:rsidRPr="003B54E2">
        <w:rPr>
          <w:sz w:val="24"/>
          <w:szCs w:val="24"/>
          <w:lang w:val="sk-SK"/>
        </w:rPr>
        <w:t xml:space="preserve"> </w:t>
      </w:r>
      <w:r w:rsidR="009A3677" w:rsidRPr="003B54E2">
        <w:rPr>
          <w:sz w:val="24"/>
          <w:szCs w:val="24"/>
          <w:lang w:val="sk-SK"/>
        </w:rPr>
        <w:tab/>
      </w:r>
      <w:r w:rsidRPr="003B54E2">
        <w:rPr>
          <w:sz w:val="24"/>
          <w:szCs w:val="24"/>
          <w:lang w:val="sk-SK"/>
        </w:rPr>
        <w:t xml:space="preserve">Smernica Európskeho parlamentu a Rady (EÚ) </w:t>
      </w:r>
      <w:r w:rsidRPr="003B54E2">
        <w:rPr>
          <w:sz w:val="24"/>
          <w:szCs w:val="24"/>
          <w:lang w:val="sk-SK"/>
        </w:rPr>
        <w:t>2024/28</w:t>
      </w:r>
      <w:r w:rsidR="00FE128E">
        <w:rPr>
          <w:sz w:val="24"/>
          <w:szCs w:val="24"/>
          <w:lang w:val="sk-SK"/>
        </w:rPr>
        <w:t>53</w:t>
      </w:r>
      <w:r w:rsidRPr="003B54E2">
        <w:rPr>
          <w:sz w:val="24"/>
          <w:szCs w:val="24"/>
          <w:lang w:val="sk-SK"/>
        </w:rPr>
        <w:t xml:space="preserve"> z 23. októbra 2024 o zodpovednosti za chybné výrobky a o zrušení smernice Rady 85/374/EHS, (Ú. v. EÚ L, 2024/2853, 18.11.2024, ELI: </w:t>
      </w:r>
      <w:hyperlink r:id="rId14" w:history="1">
        <w:r w:rsidRPr="003B54E2">
          <w:rPr>
            <w:rStyle w:val="Hyperlink"/>
            <w:sz w:val="24"/>
            <w:szCs w:val="24"/>
            <w:lang w:val="sk-SK"/>
          </w:rPr>
          <w:t>http://data.europa.eu/eli/dir/2024/2853/oj</w:t>
        </w:r>
      </w:hyperlink>
      <w:r w:rsidRPr="003B54E2">
        <w:rPr>
          <w:sz w:val="24"/>
          <w:szCs w:val="24"/>
          <w:lang w:val="sk-SK"/>
        </w:rPr>
        <w:t>).</w:t>
      </w:r>
    </w:p>
  </w:footnote>
  <w:footnote w:id="14">
    <w:p w14:paraId="4929DE5F" w14:textId="423A6988" w:rsidR="00AF0259" w:rsidRPr="003B54E2" w:rsidRDefault="00AF0259" w:rsidP="009A3677">
      <w:pPr>
        <w:pStyle w:val="FootnoteText"/>
        <w:ind w:left="567" w:hanging="567"/>
        <w:rPr>
          <w:sz w:val="24"/>
          <w:szCs w:val="24"/>
          <w:lang w:val="sk-SK"/>
        </w:rPr>
      </w:pPr>
      <w:r w:rsidRPr="003B54E2">
        <w:rPr>
          <w:rStyle w:val="FootnoteReference"/>
          <w:sz w:val="24"/>
          <w:szCs w:val="24"/>
          <w:lang w:val="sk-SK"/>
        </w:rPr>
        <w:footnoteRef/>
      </w:r>
      <w:r w:rsidR="009A3677" w:rsidRPr="003B54E2">
        <w:rPr>
          <w:sz w:val="24"/>
          <w:szCs w:val="24"/>
          <w:shd w:val="clear" w:color="auto" w:fill="FFFFFF"/>
          <w:lang w:val="sk-SK"/>
        </w:rPr>
        <w:t xml:space="preserve"> </w:t>
      </w:r>
      <w:r w:rsidR="009A3677" w:rsidRPr="003B54E2">
        <w:rPr>
          <w:sz w:val="24"/>
          <w:szCs w:val="24"/>
          <w:shd w:val="clear" w:color="auto" w:fill="FFFFFF"/>
          <w:lang w:val="sk-SK"/>
        </w:rPr>
        <w:tab/>
      </w:r>
      <w:r w:rsidRPr="003B54E2">
        <w:rPr>
          <w:sz w:val="24"/>
          <w:szCs w:val="24"/>
          <w:shd w:val="clear" w:color="auto" w:fill="FFFFFF"/>
          <w:lang w:val="sk-SK"/>
        </w:rPr>
        <w:t>Nariadenie Európskeho parlamentu a Rady (EÚ) 2022/1925 zo 14. septembra 2022 o </w:t>
      </w:r>
      <w:proofErr w:type="spellStart"/>
      <w:r w:rsidRPr="003B54E2">
        <w:rPr>
          <w:sz w:val="24"/>
          <w:szCs w:val="24"/>
          <w:shd w:val="clear" w:color="auto" w:fill="FFFFFF"/>
          <w:lang w:val="sk-SK"/>
        </w:rPr>
        <w:t>súťažeschopných</w:t>
      </w:r>
      <w:proofErr w:type="spellEnd"/>
      <w:r w:rsidRPr="003B54E2">
        <w:rPr>
          <w:sz w:val="24"/>
          <w:szCs w:val="24"/>
          <w:shd w:val="clear" w:color="auto" w:fill="FFFFFF"/>
          <w:lang w:val="sk-SK"/>
        </w:rPr>
        <w:t xml:space="preserve"> a spravodlivých trhoch digitálneho sektora a o zmene smerníc (EÚ) 2019/1937 a (EÚ) 2020/1828 (akt o digitálnych trhoch) (</w:t>
      </w:r>
      <w:r w:rsidRPr="003B54E2">
        <w:rPr>
          <w:rStyle w:val="Emphasis"/>
          <w:i w:val="0"/>
          <w:iCs w:val="0"/>
          <w:sz w:val="24"/>
          <w:szCs w:val="24"/>
          <w:shd w:val="clear" w:color="auto" w:fill="FFFFFF"/>
          <w:lang w:val="sk-SK"/>
        </w:rPr>
        <w:t>Ú. v. EÚ L 265, 12.10.2022, s. </w:t>
      </w:r>
      <w:r w:rsidRPr="003B54E2">
        <w:rPr>
          <w:rStyle w:val="Emphasis"/>
          <w:i w:val="0"/>
          <w:iCs w:val="0"/>
          <w:sz w:val="24"/>
          <w:szCs w:val="24"/>
          <w:shd w:val="clear" w:color="auto" w:fill="FFFFFF"/>
          <w:lang w:val="sk-SK"/>
        </w:rPr>
        <w:t>1</w:t>
      </w:r>
      <w:r w:rsidRPr="003B54E2">
        <w:rPr>
          <w:i/>
          <w:sz w:val="24"/>
          <w:szCs w:val="24"/>
          <w:shd w:val="clear" w:color="auto" w:fill="FFFFFF"/>
          <w:lang w:val="sk-SK"/>
        </w:rPr>
        <w:t>,</w:t>
      </w:r>
      <w:r w:rsidRPr="003B54E2">
        <w:rPr>
          <w:sz w:val="24"/>
          <w:szCs w:val="24"/>
          <w:shd w:val="clear" w:color="auto" w:fill="FFFFFF"/>
          <w:lang w:val="sk-SK"/>
        </w:rPr>
        <w:t xml:space="preserve"> ELI: </w:t>
      </w:r>
      <w:hyperlink r:id="rId15" w:tooltip="Umožňuje prístup k tomuto dokumentu prostredníctvom identifikátora URI používaného v rámci ELI." w:history="1">
        <w:r w:rsidRPr="003B54E2">
          <w:rPr>
            <w:color w:val="0000FF"/>
            <w:sz w:val="24"/>
            <w:szCs w:val="24"/>
            <w:u w:val="single"/>
            <w:shd w:val="clear" w:color="auto" w:fill="FFFFFF"/>
            <w:lang w:val="sk-SK"/>
          </w:rPr>
          <w:t>http://data.europa.eu/eli/reg/2022/1925/oj</w:t>
        </w:r>
      </w:hyperlink>
      <w:r w:rsidRPr="003B54E2">
        <w:rPr>
          <w:sz w:val="24"/>
          <w:szCs w:val="24"/>
          <w:lang w:val="sk-SK"/>
        </w:rPr>
        <w:t>).</w:t>
      </w:r>
    </w:p>
  </w:footnote>
  <w:footnote w:id="15">
    <w:p w14:paraId="6644B096" w14:textId="5D65AA60" w:rsidR="00AF0259" w:rsidRPr="003B54E2" w:rsidRDefault="00AF0259" w:rsidP="009A3677">
      <w:pPr>
        <w:pStyle w:val="FootnoteText"/>
        <w:ind w:left="567" w:hanging="567"/>
        <w:rPr>
          <w:sz w:val="24"/>
          <w:szCs w:val="24"/>
          <w:lang w:val="sk-SK"/>
        </w:rPr>
      </w:pPr>
      <w:r w:rsidRPr="003B54E2">
        <w:rPr>
          <w:rStyle w:val="FootnoteReference"/>
          <w:sz w:val="24"/>
          <w:szCs w:val="24"/>
          <w:lang w:val="sk-SK"/>
        </w:rPr>
        <w:footnoteRef/>
      </w:r>
      <w:r w:rsidR="009A3677" w:rsidRPr="003B54E2">
        <w:rPr>
          <w:sz w:val="24"/>
          <w:szCs w:val="24"/>
          <w:lang w:val="sk-SK"/>
        </w:rPr>
        <w:t xml:space="preserve"> </w:t>
      </w:r>
      <w:r w:rsidR="009A3677" w:rsidRPr="003B54E2">
        <w:rPr>
          <w:sz w:val="24"/>
          <w:szCs w:val="24"/>
          <w:lang w:val="sk-SK"/>
        </w:rPr>
        <w:tab/>
      </w:r>
      <w:r w:rsidRPr="003B54E2">
        <w:rPr>
          <w:sz w:val="24"/>
          <w:szCs w:val="24"/>
          <w:lang w:val="sk-SK"/>
        </w:rPr>
        <w:t>Nariadenie Európskeho parlamentu a Rady (EÚ) 2017/2394 z 12. decembra 2017 o spolupráci medzi národnými orgánmi zodpovednými za presadzovanie právnych predpisov na ochranu spotrebiteľa a o zrušení nariadenia (ES) č. 2006/2004 (Ú. v. EÚ L 345, 27.12.2017, s. </w:t>
      </w:r>
      <w:r w:rsidRPr="003B54E2">
        <w:rPr>
          <w:sz w:val="24"/>
          <w:szCs w:val="24"/>
          <w:lang w:val="sk-SK"/>
        </w:rPr>
        <w:t xml:space="preserve">1, ELI: </w:t>
      </w:r>
      <w:hyperlink r:id="rId16" w:history="1">
        <w:r w:rsidRPr="003B54E2">
          <w:rPr>
            <w:rStyle w:val="Hyperlink"/>
            <w:sz w:val="24"/>
            <w:szCs w:val="24"/>
            <w:lang w:val="sk-SK"/>
          </w:rPr>
          <w:t>http://data.europa.eu/eli/reg/2017/2394/oj</w:t>
        </w:r>
      </w:hyperlink>
      <w:r w:rsidRPr="003B54E2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A38F3" w14:textId="77777777" w:rsidR="00064002" w:rsidRPr="009A367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2E7D3" w14:textId="77777777" w:rsidR="00064002" w:rsidRPr="009A367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6265A" w14:textId="77777777" w:rsidR="00064002" w:rsidRPr="009A367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1006898">
    <w:abstractNumId w:val="9"/>
  </w:num>
  <w:num w:numId="2" w16cid:durableId="85156834">
    <w:abstractNumId w:val="9"/>
  </w:num>
  <w:num w:numId="3" w16cid:durableId="707724306">
    <w:abstractNumId w:val="7"/>
  </w:num>
  <w:num w:numId="4" w16cid:durableId="170265473">
    <w:abstractNumId w:val="7"/>
  </w:num>
  <w:num w:numId="5" w16cid:durableId="1274902457">
    <w:abstractNumId w:val="6"/>
  </w:num>
  <w:num w:numId="6" w16cid:durableId="1832600304">
    <w:abstractNumId w:val="6"/>
  </w:num>
  <w:num w:numId="7" w16cid:durableId="328094562">
    <w:abstractNumId w:val="5"/>
  </w:num>
  <w:num w:numId="8" w16cid:durableId="90472211">
    <w:abstractNumId w:val="5"/>
  </w:num>
  <w:num w:numId="9" w16cid:durableId="850265010">
    <w:abstractNumId w:val="4"/>
  </w:num>
  <w:num w:numId="10" w16cid:durableId="965234093">
    <w:abstractNumId w:val="4"/>
  </w:num>
  <w:num w:numId="11" w16cid:durableId="81149737">
    <w:abstractNumId w:val="8"/>
  </w:num>
  <w:num w:numId="12" w16cid:durableId="1111584046">
    <w:abstractNumId w:val="8"/>
  </w:num>
  <w:num w:numId="13" w16cid:durableId="430513943">
    <w:abstractNumId w:val="3"/>
  </w:num>
  <w:num w:numId="14" w16cid:durableId="700478751">
    <w:abstractNumId w:val="3"/>
  </w:num>
  <w:num w:numId="15" w16cid:durableId="429158753">
    <w:abstractNumId w:val="2"/>
  </w:num>
  <w:num w:numId="16" w16cid:durableId="1089035080">
    <w:abstractNumId w:val="2"/>
  </w:num>
  <w:num w:numId="17" w16cid:durableId="310985301">
    <w:abstractNumId w:val="1"/>
  </w:num>
  <w:num w:numId="18" w16cid:durableId="455216097">
    <w:abstractNumId w:val="1"/>
  </w:num>
  <w:num w:numId="19" w16cid:durableId="63143206">
    <w:abstractNumId w:val="0"/>
  </w:num>
  <w:num w:numId="20" w16cid:durableId="2087653542">
    <w:abstractNumId w:val="0"/>
  </w:num>
  <w:num w:numId="21" w16cid:durableId="458496415">
    <w:abstractNumId w:val="9"/>
  </w:num>
  <w:num w:numId="22" w16cid:durableId="425536111">
    <w:abstractNumId w:val="7"/>
  </w:num>
  <w:num w:numId="23" w16cid:durableId="891385045">
    <w:abstractNumId w:val="6"/>
  </w:num>
  <w:num w:numId="24" w16cid:durableId="1329945944">
    <w:abstractNumId w:val="5"/>
  </w:num>
  <w:num w:numId="25" w16cid:durableId="1880514248">
    <w:abstractNumId w:val="4"/>
  </w:num>
  <w:num w:numId="26" w16cid:durableId="1778480931">
    <w:abstractNumId w:val="8"/>
  </w:num>
  <w:num w:numId="27" w16cid:durableId="1796605385">
    <w:abstractNumId w:val="3"/>
  </w:num>
  <w:num w:numId="28" w16cid:durableId="42215480">
    <w:abstractNumId w:val="2"/>
  </w:num>
  <w:num w:numId="29" w16cid:durableId="394744692">
    <w:abstractNumId w:val="1"/>
  </w:num>
  <w:num w:numId="30" w16cid:durableId="450713691">
    <w:abstractNumId w:val="0"/>
  </w:num>
  <w:num w:numId="31" w16cid:durableId="17050312">
    <w:abstractNumId w:val="9"/>
  </w:num>
  <w:num w:numId="32" w16cid:durableId="2005157903">
    <w:abstractNumId w:val="7"/>
  </w:num>
  <w:num w:numId="33" w16cid:durableId="962535808">
    <w:abstractNumId w:val="6"/>
  </w:num>
  <w:num w:numId="34" w16cid:durableId="258484856">
    <w:abstractNumId w:val="5"/>
  </w:num>
  <w:num w:numId="35" w16cid:durableId="1246259950">
    <w:abstractNumId w:val="4"/>
  </w:num>
  <w:num w:numId="36" w16cid:durableId="191067773">
    <w:abstractNumId w:val="8"/>
  </w:num>
  <w:num w:numId="37" w16cid:durableId="2014870806">
    <w:abstractNumId w:val="3"/>
  </w:num>
  <w:num w:numId="38" w16cid:durableId="690297763">
    <w:abstractNumId w:val="2"/>
  </w:num>
  <w:num w:numId="39" w16cid:durableId="1169172481">
    <w:abstractNumId w:val="1"/>
  </w:num>
  <w:num w:numId="40" w16cid:durableId="116603294">
    <w:abstractNumId w:val="0"/>
  </w:num>
  <w:num w:numId="41" w16cid:durableId="573079532">
    <w:abstractNumId w:val="10"/>
  </w:num>
  <w:num w:numId="42" w16cid:durableId="687562798">
    <w:abstractNumId w:val="10"/>
  </w:num>
  <w:num w:numId="43" w16cid:durableId="2074044346">
    <w:abstractNumId w:val="10"/>
  </w:num>
  <w:num w:numId="44" w16cid:durableId="4039952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51/2025"/>
    <w:docVar w:name="dvlangue" w:val="SK"/>
    <w:docVar w:name="dvnumam" w:val="0"/>
    <w:docVar w:name="dvpe" w:val="769.908"/>
    <w:docVar w:name="dvrapporteur" w:val="Spravodajkyňa: "/>
    <w:docVar w:name="dvtitre" w:val="Uznesenie Európskeho parlamentu z xx. septembra 2025 o vykonávaní a zefektívnení pravidiel vnútorného trhu EÚ s cieľom posilniť jednotný trh(2025/2009(INI))"/>
  </w:docVars>
  <w:rsids>
    <w:rsidRoot w:val="00F910D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51C5"/>
    <w:rsid w:val="002B18FE"/>
    <w:rsid w:val="002B5493"/>
    <w:rsid w:val="00343214"/>
    <w:rsid w:val="00361C00"/>
    <w:rsid w:val="00395FA1"/>
    <w:rsid w:val="003B54E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F50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26CB"/>
    <w:rsid w:val="00756632"/>
    <w:rsid w:val="00762C74"/>
    <w:rsid w:val="00786EC0"/>
    <w:rsid w:val="007D1690"/>
    <w:rsid w:val="007E22AD"/>
    <w:rsid w:val="007E566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FC9"/>
    <w:rsid w:val="009509D8"/>
    <w:rsid w:val="00950B64"/>
    <w:rsid w:val="00981893"/>
    <w:rsid w:val="009A3677"/>
    <w:rsid w:val="009B40B8"/>
    <w:rsid w:val="00A1687D"/>
    <w:rsid w:val="00A21783"/>
    <w:rsid w:val="00A43E52"/>
    <w:rsid w:val="00A4678D"/>
    <w:rsid w:val="00A62BCE"/>
    <w:rsid w:val="00A778C7"/>
    <w:rsid w:val="00AB441E"/>
    <w:rsid w:val="00AB6293"/>
    <w:rsid w:val="00AD1E03"/>
    <w:rsid w:val="00AE0928"/>
    <w:rsid w:val="00AF0259"/>
    <w:rsid w:val="00AF3B82"/>
    <w:rsid w:val="00B12E95"/>
    <w:rsid w:val="00B22876"/>
    <w:rsid w:val="00B558F0"/>
    <w:rsid w:val="00BA19E0"/>
    <w:rsid w:val="00BB3EBE"/>
    <w:rsid w:val="00BD48FE"/>
    <w:rsid w:val="00BD7BD8"/>
    <w:rsid w:val="00BE6ADC"/>
    <w:rsid w:val="00C05BFE"/>
    <w:rsid w:val="00C23CD4"/>
    <w:rsid w:val="00C61C0C"/>
    <w:rsid w:val="00C941CB"/>
    <w:rsid w:val="00CC2357"/>
    <w:rsid w:val="00CE2DFF"/>
    <w:rsid w:val="00CF071A"/>
    <w:rsid w:val="00D058B8"/>
    <w:rsid w:val="00D358B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0D6"/>
    <w:rsid w:val="00FB4360"/>
    <w:rsid w:val="00FD0C70"/>
    <w:rsid w:val="00FE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CD2FCC"/>
  <w15:chartTrackingRefBased/>
  <w15:docId w15:val="{E11FB703-EA31-4105-B625-1F219B5C6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F0259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AF0259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AF0259"/>
    <w:pPr>
      <w:spacing w:after="240"/>
      <w:jc w:val="center"/>
    </w:pPr>
  </w:style>
  <w:style w:type="character" w:customStyle="1" w:styleId="Bold">
    <w:name w:val="Bold"/>
    <w:uiPriority w:val="1"/>
    <w:rsid w:val="00AF0259"/>
    <w:rPr>
      <w:b/>
    </w:rPr>
  </w:style>
  <w:style w:type="character" w:customStyle="1" w:styleId="BoldItalic">
    <w:name w:val="BoldItalic"/>
    <w:uiPriority w:val="1"/>
    <w:rsid w:val="00AF0259"/>
    <w:rPr>
      <w:b/>
      <w:i/>
      <w:u w:val="none"/>
    </w:rPr>
  </w:style>
  <w:style w:type="character" w:customStyle="1" w:styleId="Italic">
    <w:name w:val="Italic"/>
    <w:uiPriority w:val="1"/>
    <w:rsid w:val="00AF0259"/>
    <w:rPr>
      <w:i/>
    </w:rPr>
  </w:style>
  <w:style w:type="paragraph" w:customStyle="1" w:styleId="Normal12a24b">
    <w:name w:val="Normal12a24b"/>
    <w:basedOn w:val="Normal"/>
    <w:rsid w:val="00AF0259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AF025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F0259"/>
    <w:rPr>
      <w:i/>
      <w:iCs/>
    </w:rPr>
  </w:style>
  <w:style w:type="paragraph" w:styleId="Revision">
    <w:name w:val="Revision"/>
    <w:hidden/>
    <w:uiPriority w:val="99"/>
    <w:semiHidden/>
    <w:rsid w:val="00BB3EBE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04/883/oj" TargetMode="External"/><Relationship Id="rId13" Type="http://schemas.openxmlformats.org/officeDocument/2006/relationships/hyperlink" Target="http://data.europa.eu/eli/reg/2024/900/oj" TargetMode="External"/><Relationship Id="rId3" Type="http://schemas.openxmlformats.org/officeDocument/2006/relationships/hyperlink" Target="https://www.weforum.org/stories/2024/09/wind-energy-permitting-processes-europe/" TargetMode="External"/><Relationship Id="rId7" Type="http://schemas.openxmlformats.org/officeDocument/2006/relationships/hyperlink" Target="http://data.europa.eu/eli/dir/2005/36/oj" TargetMode="External"/><Relationship Id="rId12" Type="http://schemas.openxmlformats.org/officeDocument/2006/relationships/hyperlink" Target="http://data.europa.eu/eli/reg/2024/1689/oj" TargetMode="External"/><Relationship Id="rId2" Type="http://schemas.openxmlformats.org/officeDocument/2006/relationships/hyperlink" Target="https://documents1.worldbank.org/curated/en/600621587713071010/pdf/Doing-Business-in-the-European-Union-2020-Greece-Ireland-and-Italy.pdf" TargetMode="External"/><Relationship Id="rId16" Type="http://schemas.openxmlformats.org/officeDocument/2006/relationships/hyperlink" Target="http://data.europa.eu/eli/reg/2017/2394/oj." TargetMode="External"/><Relationship Id="rId1" Type="http://schemas.openxmlformats.org/officeDocument/2006/relationships/hyperlink" Target="https://single-market-economy.ec.europa.eu/publications/2025-annual-single-market-and-competitiveness-report_en" TargetMode="External"/><Relationship Id="rId6" Type="http://schemas.openxmlformats.org/officeDocument/2006/relationships/hyperlink" Target="http://data.europa.eu/eli/dir/2015/1535/oj" TargetMode="External"/><Relationship Id="rId11" Type="http://schemas.openxmlformats.org/officeDocument/2006/relationships/hyperlink" Target="http://data.europa.eu/eli/reg/2016/679/oj" TargetMode="External"/><Relationship Id="rId5" Type="http://schemas.openxmlformats.org/officeDocument/2006/relationships/hyperlink" Target="http://data.europa.eu/eli/dir/2006/123/oj" TargetMode="External"/><Relationship Id="rId15" Type="http://schemas.openxmlformats.org/officeDocument/2006/relationships/hyperlink" Target="http://data.europa.eu/eli/reg/2022/1925/oj" TargetMode="External"/><Relationship Id="rId10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agree_interinstit/2016/512/oj" TargetMode="External"/><Relationship Id="rId9" Type="http://schemas.openxmlformats.org/officeDocument/2006/relationships/hyperlink" Target="http://data.europa.eu/eli/reg/2024/2747/oj" TargetMode="External"/><Relationship Id="rId14" Type="http://schemas.openxmlformats.org/officeDocument/2006/relationships/hyperlink" Target="http://data.europa.eu/eli/dir/2024/28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478D9-6E0C-4785-A5FE-4526A9DE8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5139</Words>
  <Characters>33929</Characters>
  <Application>Microsoft Office Word</Application>
  <DocSecurity>0</DocSecurity>
  <Lines>282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2025-10-17T07:45:00Z</dcterms:created>
  <dcterms:modified xsi:type="dcterms:W3CDTF">2025-10-17T07:45:00Z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A10-0151/2025</vt:lpwstr>
  </property>
  <property fmtid="{D5CDD505-2E9C-101B-9397-08002B2CF9AE}" pid="4" name="&lt;Type&gt;">
    <vt:lpwstr>RR</vt:lpwstr>
  </property>
</Properties>
</file>