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05E9" w14:paraId="554D678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70C0BB" w14:textId="52A7B60B" w:rsidR="00751A4A" w:rsidRPr="008105E9" w:rsidRDefault="009852E1" w:rsidP="0010095E">
            <w:pPr>
              <w:pStyle w:val="EPName"/>
            </w:pPr>
            <w:r w:rsidRPr="008105E9">
              <w:t>Evropský parlament</w:t>
            </w:r>
          </w:p>
          <w:p w14:paraId="349E9608" w14:textId="77777777" w:rsidR="00751A4A" w:rsidRPr="008105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05E9">
              <w:t>2024</w:t>
            </w:r>
            <w:r w:rsidR="00817416" w:rsidRPr="008105E9">
              <w:t>-202</w:t>
            </w:r>
            <w:r w:rsidRPr="008105E9">
              <w:t>9</w:t>
            </w:r>
          </w:p>
        </w:tc>
        <w:tc>
          <w:tcPr>
            <w:tcW w:w="2268" w:type="dxa"/>
            <w:shd w:val="clear" w:color="auto" w:fill="auto"/>
          </w:tcPr>
          <w:p w14:paraId="42EE916A" w14:textId="77777777" w:rsidR="00751A4A" w:rsidRPr="008105E9" w:rsidRDefault="00187494" w:rsidP="0010095E">
            <w:pPr>
              <w:pStyle w:val="EPLogo"/>
            </w:pPr>
            <w:r w:rsidRPr="008105E9">
              <w:rPr>
                <w:noProof/>
                <w:lang w:eastAsia="ja-JP"/>
              </w:rPr>
              <w:drawing>
                <wp:inline distT="0" distB="0" distL="0" distR="0" wp14:anchorId="6B8DAFF6" wp14:editId="35A465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8A501C" w14:textId="77777777" w:rsidR="00D058B8" w:rsidRPr="008105E9" w:rsidRDefault="00D058B8" w:rsidP="004C5D52">
      <w:pPr>
        <w:pStyle w:val="LineTop"/>
      </w:pPr>
    </w:p>
    <w:p w14:paraId="76300B60" w14:textId="193F966E" w:rsidR="00680577" w:rsidRPr="008105E9" w:rsidRDefault="009852E1" w:rsidP="00680577">
      <w:pPr>
        <w:pStyle w:val="EPBodyTA1"/>
      </w:pPr>
      <w:r w:rsidRPr="008105E9">
        <w:t>PŘIJATÉ TEXTY</w:t>
      </w:r>
    </w:p>
    <w:p w14:paraId="2C314D79" w14:textId="77777777" w:rsidR="00D058B8" w:rsidRPr="008105E9" w:rsidRDefault="00D058B8" w:rsidP="00D058B8">
      <w:pPr>
        <w:pStyle w:val="LineBottom"/>
      </w:pPr>
    </w:p>
    <w:p w14:paraId="4C144923" w14:textId="7F8A286B" w:rsidR="009852E1" w:rsidRPr="008105E9" w:rsidRDefault="009852E1" w:rsidP="009852E1">
      <w:pPr>
        <w:pStyle w:val="ATHeading1"/>
      </w:pPr>
      <w:bookmarkStart w:id="0" w:name="TANumber"/>
      <w:r w:rsidRPr="008105E9">
        <w:t>P10_</w:t>
      </w:r>
      <w:proofErr w:type="gramStart"/>
      <w:r w:rsidRPr="008105E9">
        <w:t>TA(</w:t>
      </w:r>
      <w:proofErr w:type="gramEnd"/>
      <w:r w:rsidRPr="008105E9">
        <w:t>2025)0</w:t>
      </w:r>
      <w:r w:rsidR="00FE560D">
        <w:t>198</w:t>
      </w:r>
      <w:bookmarkEnd w:id="0"/>
    </w:p>
    <w:p w14:paraId="464C68C7" w14:textId="77777777" w:rsidR="009852E1" w:rsidRPr="008105E9" w:rsidRDefault="009852E1" w:rsidP="009852E1">
      <w:pPr>
        <w:pStyle w:val="ATHeading2"/>
      </w:pPr>
      <w:bookmarkStart w:id="1" w:name="title"/>
      <w:r w:rsidRPr="008105E9">
        <w:t>Zhodnocení voleb do Evropského parlamentu v roce 2024</w:t>
      </w:r>
      <w:bookmarkEnd w:id="1"/>
    </w:p>
    <w:p w14:paraId="39BE9490" w14:textId="77777777" w:rsidR="009852E1" w:rsidRPr="008105E9" w:rsidRDefault="009852E1" w:rsidP="009852E1">
      <w:pPr>
        <w:rPr>
          <w:i/>
          <w:vanish/>
        </w:rPr>
      </w:pPr>
      <w:r w:rsidRPr="008105E9">
        <w:rPr>
          <w:i/>
        </w:rPr>
        <w:fldChar w:fldCharType="begin"/>
      </w:r>
      <w:r w:rsidRPr="008105E9">
        <w:rPr>
          <w:i/>
        </w:rPr>
        <w:instrText xml:space="preserve"> TC"(</w:instrText>
      </w:r>
      <w:bookmarkStart w:id="2" w:name="DocNumber"/>
      <w:r w:rsidRPr="008105E9">
        <w:rPr>
          <w:i/>
        </w:rPr>
        <w:instrText>A10-0156/2025</w:instrText>
      </w:r>
      <w:bookmarkEnd w:id="2"/>
      <w:r w:rsidRPr="008105E9">
        <w:rPr>
          <w:i/>
        </w:rPr>
        <w:instrText xml:space="preserve"> - Zpravodajka: Ľubica </w:instrText>
      </w:r>
      <w:proofErr w:type="spellStart"/>
      <w:r w:rsidRPr="008105E9">
        <w:rPr>
          <w:i/>
        </w:rPr>
        <w:instrText>Karvašová</w:instrText>
      </w:r>
      <w:proofErr w:type="spellEnd"/>
      <w:r w:rsidRPr="008105E9">
        <w:rPr>
          <w:i/>
        </w:rPr>
        <w:instrText xml:space="preserve">)"\l3 \n&gt; \* MERGEFORMAT </w:instrText>
      </w:r>
      <w:r w:rsidRPr="008105E9">
        <w:rPr>
          <w:i/>
        </w:rPr>
        <w:fldChar w:fldCharType="end"/>
      </w:r>
    </w:p>
    <w:p w14:paraId="097B82F8" w14:textId="77777777" w:rsidR="009852E1" w:rsidRPr="008105E9" w:rsidRDefault="009852E1" w:rsidP="009852E1">
      <w:pPr>
        <w:rPr>
          <w:vanish/>
        </w:rPr>
      </w:pPr>
      <w:bookmarkStart w:id="3" w:name="Commission"/>
      <w:r w:rsidRPr="008105E9">
        <w:rPr>
          <w:vanish/>
        </w:rPr>
        <w:t>Výbor pro ústavní záležitosti</w:t>
      </w:r>
      <w:bookmarkEnd w:id="3"/>
    </w:p>
    <w:p w14:paraId="6016AFCC" w14:textId="77777777" w:rsidR="009852E1" w:rsidRPr="008105E9" w:rsidRDefault="009852E1" w:rsidP="009852E1">
      <w:pPr>
        <w:rPr>
          <w:vanish/>
        </w:rPr>
      </w:pPr>
      <w:bookmarkStart w:id="4" w:name="PE"/>
      <w:r w:rsidRPr="008105E9">
        <w:rPr>
          <w:vanish/>
        </w:rPr>
        <w:t>PE768.033</w:t>
      </w:r>
      <w:bookmarkEnd w:id="4"/>
    </w:p>
    <w:p w14:paraId="0E2BAEF2" w14:textId="77777777" w:rsidR="009852E1" w:rsidRPr="008105E9" w:rsidRDefault="009852E1" w:rsidP="009852E1">
      <w:pPr>
        <w:pStyle w:val="ATHeading3"/>
      </w:pPr>
      <w:bookmarkStart w:id="5" w:name="Sujet"/>
      <w:r w:rsidRPr="008105E9">
        <w:t>Usnesení Evropského parlamentu ze dne 11. září 2025 o zhodnocení voleb do Evropského parlamentu v roce 2024</w:t>
      </w:r>
      <w:bookmarkEnd w:id="5"/>
      <w:r w:rsidRPr="008105E9">
        <w:t xml:space="preserve"> </w:t>
      </w:r>
      <w:bookmarkStart w:id="6" w:name="References"/>
      <w:r w:rsidRPr="008105E9">
        <w:t>(2025/2012(INI))</w:t>
      </w:r>
      <w:bookmarkEnd w:id="6"/>
    </w:p>
    <w:p w14:paraId="39382214" w14:textId="77777777" w:rsidR="00E14926" w:rsidRPr="008105E9" w:rsidRDefault="00E14926" w:rsidP="00E14926">
      <w:pPr>
        <w:pStyle w:val="EPComma"/>
      </w:pPr>
      <w:r w:rsidRPr="008105E9">
        <w:rPr>
          <w:rStyle w:val="Italic"/>
        </w:rPr>
        <w:t>Evropský parlament</w:t>
      </w:r>
      <w:r w:rsidRPr="008105E9">
        <w:t>,</w:t>
      </w:r>
    </w:p>
    <w:p w14:paraId="39801B0E" w14:textId="690E814B" w:rsidR="00E14926" w:rsidRPr="008105E9" w:rsidRDefault="00E14926" w:rsidP="008105E9">
      <w:pPr>
        <w:pStyle w:val="NormalHanging12a"/>
        <w:rPr>
          <w:szCs w:val="24"/>
        </w:rPr>
      </w:pPr>
      <w:r w:rsidRPr="008105E9">
        <w:t>–</w:t>
      </w:r>
      <w:r w:rsidRPr="008105E9">
        <w:tab/>
        <w:t xml:space="preserve">s </w:t>
      </w:r>
      <w:r w:rsidRPr="008105E9">
        <w:rPr>
          <w:szCs w:val="24"/>
        </w:rPr>
        <w:t>ohledem na Smlouvu o Evropské unii (</w:t>
      </w:r>
      <w:r w:rsidR="008105E9">
        <w:rPr>
          <w:szCs w:val="24"/>
        </w:rPr>
        <w:t>dále jen „</w:t>
      </w:r>
      <w:r w:rsidRPr="008105E9">
        <w:rPr>
          <w:szCs w:val="24"/>
        </w:rPr>
        <w:t>S</w:t>
      </w:r>
      <w:r w:rsidR="008105E9">
        <w:rPr>
          <w:szCs w:val="24"/>
        </w:rPr>
        <w:t xml:space="preserve">mlouva o </w:t>
      </w:r>
      <w:r w:rsidRPr="008105E9">
        <w:rPr>
          <w:szCs w:val="24"/>
        </w:rPr>
        <w:t>EU</w:t>
      </w:r>
      <w:r w:rsidR="008105E9">
        <w:rPr>
          <w:szCs w:val="24"/>
        </w:rPr>
        <w:t>“</w:t>
      </w:r>
      <w:r w:rsidRPr="008105E9">
        <w:rPr>
          <w:szCs w:val="24"/>
        </w:rPr>
        <w:t>), zejména na články 10 a 14 a čl. 17 odst. 7 této smlouvy,</w:t>
      </w:r>
    </w:p>
    <w:p w14:paraId="029AAE00" w14:textId="743279F5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Smlouvu o fungování Evropské unie (</w:t>
      </w:r>
      <w:r w:rsidR="008105E9">
        <w:rPr>
          <w:szCs w:val="24"/>
        </w:rPr>
        <w:t>dále jen „</w:t>
      </w:r>
      <w:r w:rsidRPr="008105E9">
        <w:rPr>
          <w:szCs w:val="24"/>
        </w:rPr>
        <w:t>S</w:t>
      </w:r>
      <w:r w:rsidR="008105E9">
        <w:rPr>
          <w:szCs w:val="24"/>
        </w:rPr>
        <w:t xml:space="preserve">mlouvy o fungování </w:t>
      </w:r>
      <w:r w:rsidRPr="008105E9">
        <w:rPr>
          <w:szCs w:val="24"/>
        </w:rPr>
        <w:t>EU</w:t>
      </w:r>
      <w:r w:rsidR="008105E9">
        <w:rPr>
          <w:szCs w:val="24"/>
        </w:rPr>
        <w:t>“</w:t>
      </w:r>
      <w:r w:rsidRPr="008105E9">
        <w:rPr>
          <w:szCs w:val="24"/>
        </w:rPr>
        <w:t>), zejména na články 20 a 22 této smlouvy,</w:t>
      </w:r>
    </w:p>
    <w:p w14:paraId="0311D52D" w14:textId="0DD0AF14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Listinu základních práv Evropské unie, zejména na články 21 a 39 a</w:t>
      </w:r>
      <w:r w:rsidR="001F3F54">
        <w:rPr>
          <w:szCs w:val="24"/>
        </w:rPr>
        <w:t xml:space="preserve"> </w:t>
      </w:r>
      <w:r w:rsidRPr="008105E9">
        <w:rPr>
          <w:szCs w:val="24"/>
        </w:rPr>
        <w:t>na</w:t>
      </w:r>
      <w:r w:rsidR="001F3F54" w:rsidRPr="008105E9">
        <w:rPr>
          <w:szCs w:val="24"/>
        </w:rPr>
        <w:t> </w:t>
      </w:r>
      <w:r w:rsidRPr="008105E9">
        <w:rPr>
          <w:szCs w:val="24"/>
        </w:rPr>
        <w:t>čl.</w:t>
      </w:r>
      <w:r w:rsidR="001F3F54" w:rsidRPr="008105E9">
        <w:rPr>
          <w:szCs w:val="24"/>
        </w:rPr>
        <w:t> </w:t>
      </w:r>
      <w:r w:rsidRPr="008105E9">
        <w:rPr>
          <w:szCs w:val="24"/>
        </w:rPr>
        <w:t>52 odst. 1 této listiny,</w:t>
      </w:r>
    </w:p>
    <w:p w14:paraId="5E2BC20A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 ohledem na prohlášení k čl. 17 odst. 6 a 7 Smlouvy o Evropské unii připojené k závěrečnému aktu mezivládní konference, která přijala Lisabonskou smlouvu,</w:t>
      </w:r>
    </w:p>
    <w:p w14:paraId="4FBFEE4A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Mezinárodní pakt o občanských a politických právech, zejména na článek 25 tohoto paktu,</w:t>
      </w:r>
    </w:p>
    <w:p w14:paraId="11257E54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Úmluvu OSN o právech osob se zdravotním postižením, zejména na článek 29 této úmluvy,</w:t>
      </w:r>
    </w:p>
    <w:p w14:paraId="666C1024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směrnici Rady 93/109/ES ze dne 6. prosince 1993, kterou se stanoví pravidla pro výkon práva volit a být volen ve volbách do Evropského parlamentu občanů Unie, kteří mají bydliště v některém členském státě a nejsou jeho státními příslušníky</w:t>
      </w:r>
      <w:r w:rsidRPr="008105E9">
        <w:rPr>
          <w:rStyle w:val="FootnoteReference"/>
          <w:color w:val="000000"/>
          <w:szCs w:val="24"/>
        </w:rPr>
        <w:footnoteReference w:id="1"/>
      </w:r>
      <w:r w:rsidRPr="008105E9">
        <w:rPr>
          <w:szCs w:val="24"/>
        </w:rPr>
        <w:t>,</w:t>
      </w:r>
    </w:p>
    <w:p w14:paraId="5AB414AF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 xml:space="preserve">s ohledem na rozhodnutí Rady (EU, Euratom) 2018/994 ze dne 13. července 2018, kterým se mění Akt o volbě členů Evropského parlamentu ve všeobecných a přímých </w:t>
      </w:r>
      <w:r w:rsidRPr="008105E9">
        <w:rPr>
          <w:szCs w:val="24"/>
        </w:rPr>
        <w:lastRenderedPageBreak/>
        <w:t>volbách, jenž je připojen k rozhodnutí Rady 76/787/ESUO, EHS, Euratom ze dne 20. září 1976</w:t>
      </w:r>
      <w:r w:rsidRPr="008105E9">
        <w:rPr>
          <w:rStyle w:val="FootnoteReference"/>
          <w:color w:val="000000"/>
          <w:szCs w:val="24"/>
        </w:rPr>
        <w:footnoteReference w:id="2"/>
      </w:r>
      <w:r w:rsidRPr="008105E9">
        <w:rPr>
          <w:szCs w:val="24"/>
        </w:rPr>
        <w:t>,</w:t>
      </w:r>
    </w:p>
    <w:p w14:paraId="498A7516" w14:textId="05FC3E9A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nařízení Evropského parlamentu a Rady (EU, Euratom) č. 1141/2014 ze</w:t>
      </w:r>
      <w:r w:rsidR="009F302A" w:rsidRPr="008105E9">
        <w:rPr>
          <w:szCs w:val="24"/>
        </w:rPr>
        <w:t> </w:t>
      </w:r>
      <w:r w:rsidRPr="008105E9">
        <w:rPr>
          <w:szCs w:val="24"/>
        </w:rPr>
        <w:t>dne 22. října 2014 o statusu a financování evropských politických stran a evropských politických nadací</w:t>
      </w:r>
      <w:r w:rsidRPr="008105E9">
        <w:rPr>
          <w:rStyle w:val="FootnoteReference"/>
          <w:color w:val="000000"/>
          <w:szCs w:val="24"/>
        </w:rPr>
        <w:footnoteReference w:id="3"/>
      </w:r>
      <w:r w:rsidRPr="008105E9">
        <w:rPr>
          <w:szCs w:val="24"/>
        </w:rPr>
        <w:t>,</w:t>
      </w:r>
    </w:p>
    <w:p w14:paraId="5FBA9BF7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své pozměňovací návrhy, které přijal dne 15. září 2022 k návrhu nařízení Evropského parlamentu a Rady o statusu a financování evropských politických stran a evropských politických nadací</w:t>
      </w:r>
      <w:r w:rsidRPr="008105E9">
        <w:rPr>
          <w:rStyle w:val="FootnoteReference"/>
          <w:color w:val="000000"/>
          <w:szCs w:val="24"/>
        </w:rPr>
        <w:footnoteReference w:id="4"/>
      </w:r>
      <w:r w:rsidRPr="008105E9">
        <w:rPr>
          <w:szCs w:val="24"/>
        </w:rPr>
        <w:t>,</w:t>
      </w:r>
    </w:p>
    <w:p w14:paraId="14FE3DCE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návrh Komise ze dne 25. listopadu 2021 na směrnici Rady, kterou se stanoví pravidla pro výkon práva volit a být volen ve volbách do Evropského parlamentu občanů Unie, kteří mají bydliště v některém členském státě a nejsou jeho státními příslušníky (</w:t>
      </w:r>
      <w:proofErr w:type="gramStart"/>
      <w:r w:rsidRPr="008105E9">
        <w:rPr>
          <w:szCs w:val="24"/>
        </w:rPr>
        <w:t>COM(</w:t>
      </w:r>
      <w:proofErr w:type="gramEnd"/>
      <w:r w:rsidRPr="008105E9">
        <w:rPr>
          <w:szCs w:val="24"/>
        </w:rPr>
        <w:t>2021)0732),</w:t>
      </w:r>
    </w:p>
    <w:p w14:paraId="7895D0F6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nařízení Evropského parlamentu a Rady (EU) 2024/900 ze dne 13. března 2024 o transparentnosti a cílení politické reklamy</w:t>
      </w:r>
      <w:r w:rsidRPr="008105E9">
        <w:rPr>
          <w:rStyle w:val="FootnoteReference"/>
          <w:color w:val="000000"/>
          <w:szCs w:val="24"/>
        </w:rPr>
        <w:footnoteReference w:id="5"/>
      </w:r>
      <w:r w:rsidRPr="008105E9">
        <w:rPr>
          <w:szCs w:val="24"/>
        </w:rPr>
        <w:t>,</w:t>
      </w:r>
    </w:p>
    <w:p w14:paraId="267E785C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 ohledem na nařízení Evropského parlamentu a Rady (EU) 2022/2065 ze dne 19. října 2022 o jednotném trhu digitálních služeb a o změně směrnice 2000/31/ES (nařízení o digitálních službách)</w:t>
      </w:r>
      <w:r w:rsidRPr="008105E9">
        <w:rPr>
          <w:rStyle w:val="FootnoteReference"/>
          <w:color w:val="000000"/>
          <w:szCs w:val="24"/>
        </w:rPr>
        <w:footnoteReference w:id="6"/>
      </w:r>
      <w:r w:rsidRPr="008105E9">
        <w:rPr>
          <w:szCs w:val="24"/>
        </w:rPr>
        <w:t>,</w:t>
      </w:r>
    </w:p>
    <w:p w14:paraId="5CDC3929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nařízení Evropského parlamentu a Rady (EU) 2024/1689 ze dne 13. června 2024, kterým se stanoví harmonizovaná pravidla pro umělou inteligenci a mění nařízení (ES) č. 300/2008, (EU) č. 167/2013, (EU) č. 168/2013, (EU) 2018/858, (EU) 2018/1139 a (EU) 2019/2144 a směrnice 2014/90/EU, (EU) 2016/797 a (EU) 2020/1828 (akt o umělé inteligenci)</w:t>
      </w:r>
      <w:r w:rsidRPr="008105E9">
        <w:rPr>
          <w:rStyle w:val="FootnoteReference"/>
          <w:color w:val="000000"/>
          <w:szCs w:val="24"/>
        </w:rPr>
        <w:footnoteReference w:id="7"/>
      </w:r>
      <w:r w:rsidRPr="008105E9">
        <w:rPr>
          <w:szCs w:val="24"/>
        </w:rPr>
        <w:t>,</w:t>
      </w:r>
    </w:p>
    <w:p w14:paraId="0789CEA3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dohodu o spolupráci mezi Evropským parlamentem a Evropským výborem regionů ze dne 13. května 2024,</w:t>
      </w:r>
    </w:p>
    <w:p w14:paraId="4CC8F68A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memorandum o porozumění mezi Evropským parlamentem a Evropským výborem regionů ze dne 28. února 2024 o spolupráci před volbami v roce 2024,</w:t>
      </w:r>
    </w:p>
    <w:p w14:paraId="54A6F63B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 xml:space="preserve">s ohledem na svůj postoj ze dne 3. května 2022 k návrhu nařízení Rady k volbě poslanců Evropského parlamentu ve všeobecných a přímých volbách, kterým se </w:t>
      </w:r>
      <w:proofErr w:type="gramStart"/>
      <w:r w:rsidRPr="008105E9">
        <w:rPr>
          <w:szCs w:val="24"/>
        </w:rPr>
        <w:t>ruší</w:t>
      </w:r>
      <w:proofErr w:type="gramEnd"/>
      <w:r w:rsidRPr="008105E9">
        <w:rPr>
          <w:szCs w:val="24"/>
        </w:rPr>
        <w:t xml:space="preserve"> rozhodnutí Rady (76/787/ESUO, EHS, Euratom) a Akt o volbě členů Evropského parlamentu ve všeobecných a přímých volbách připojený k tomuto rozhodnutí</w:t>
      </w:r>
      <w:r w:rsidRPr="008105E9">
        <w:rPr>
          <w:rStyle w:val="FootnoteReference"/>
          <w:szCs w:val="24"/>
        </w:rPr>
        <w:footnoteReference w:id="8"/>
      </w:r>
      <w:r w:rsidRPr="008105E9">
        <w:rPr>
          <w:szCs w:val="24"/>
        </w:rPr>
        <w:t>,</w:t>
      </w:r>
    </w:p>
    <w:p w14:paraId="24411711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své usnesení ze dne 26. listopadu 2020 o bilanci evropských voleb</w:t>
      </w:r>
      <w:r w:rsidRPr="008105E9">
        <w:rPr>
          <w:rStyle w:val="FootnoteReference"/>
          <w:color w:val="000000"/>
          <w:szCs w:val="24"/>
        </w:rPr>
        <w:footnoteReference w:id="9"/>
      </w:r>
      <w:r w:rsidRPr="008105E9">
        <w:rPr>
          <w:szCs w:val="24"/>
        </w:rPr>
        <w:t>,</w:t>
      </w:r>
    </w:p>
    <w:p w14:paraId="701EB4A6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lastRenderedPageBreak/>
        <w:t>–</w:t>
      </w:r>
      <w:r w:rsidRPr="008105E9">
        <w:rPr>
          <w:szCs w:val="24"/>
        </w:rPr>
        <w:tab/>
        <w:t>s ohledem na své usnesení ze dne 12. prosince 2023 o volbách do Evropského parlamentu v roce 2024</w:t>
      </w:r>
      <w:r w:rsidRPr="008105E9">
        <w:rPr>
          <w:rStyle w:val="FootnoteReference"/>
          <w:color w:val="000000"/>
          <w:szCs w:val="24"/>
        </w:rPr>
        <w:footnoteReference w:id="10"/>
      </w:r>
      <w:r w:rsidRPr="008105E9">
        <w:rPr>
          <w:szCs w:val="24"/>
        </w:rPr>
        <w:t>,</w:t>
      </w:r>
    </w:p>
    <w:p w14:paraId="65053D76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své rozhodnutí ze dne 27. listopadu 2024 o volbě Komise</w:t>
      </w:r>
      <w:r w:rsidRPr="008105E9">
        <w:rPr>
          <w:rStyle w:val="FootnoteReference"/>
          <w:szCs w:val="24"/>
        </w:rPr>
        <w:footnoteReference w:id="11"/>
      </w:r>
      <w:r w:rsidRPr="008105E9">
        <w:rPr>
          <w:szCs w:val="24"/>
        </w:rPr>
        <w:t>,</w:t>
      </w:r>
    </w:p>
    <w:p w14:paraId="1513CD22" w14:textId="2BD93A35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sdělení Komise ze dne 3. prosince 2020 o evropském akčním plánu pro demokracii (</w:t>
      </w:r>
      <w:proofErr w:type="gramStart"/>
      <w:r w:rsidR="00FE560D" w:rsidRPr="002629AA">
        <w:rPr>
          <w:szCs w:val="24"/>
        </w:rPr>
        <w:t>COM(</w:t>
      </w:r>
      <w:proofErr w:type="gramEnd"/>
      <w:r w:rsidR="00FE560D" w:rsidRPr="002629AA">
        <w:rPr>
          <w:szCs w:val="24"/>
        </w:rPr>
        <w:t>2020)0790</w:t>
      </w:r>
      <w:r w:rsidRPr="008105E9">
        <w:rPr>
          <w:szCs w:val="24"/>
        </w:rPr>
        <w:t>) a následném balíčku opatření na obranu demokracie z prosince 2023,</w:t>
      </w:r>
    </w:p>
    <w:p w14:paraId="33B14F18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své rozhodnutí ze dne 18. prosince 2024 o zřízení zvláštního výboru pro Evropský štít pro demokracii a stanovení jeho působnosti, početního složení a funkčního období</w:t>
      </w:r>
      <w:r w:rsidRPr="008105E9">
        <w:rPr>
          <w:rStyle w:val="FootnoteReference"/>
          <w:szCs w:val="24"/>
        </w:rPr>
        <w:footnoteReference w:id="12"/>
      </w:r>
      <w:r w:rsidRPr="008105E9">
        <w:rPr>
          <w:szCs w:val="24"/>
        </w:rPr>
        <w:t>,</w:t>
      </w:r>
    </w:p>
    <w:p w14:paraId="343418F9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své usnesení ze dne 22. listopadu 2023 k návrhům Evropského parlamentu na změnu Smluv</w:t>
      </w:r>
      <w:r w:rsidRPr="008105E9">
        <w:rPr>
          <w:rStyle w:val="FootnoteReference"/>
          <w:color w:val="000000"/>
          <w:szCs w:val="24"/>
        </w:rPr>
        <w:footnoteReference w:id="13"/>
      </w:r>
      <w:r w:rsidRPr="008105E9">
        <w:rPr>
          <w:szCs w:val="24"/>
        </w:rPr>
        <w:t>,</w:t>
      </w:r>
    </w:p>
    <w:p w14:paraId="4DAEC659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zprávu o </w:t>
      </w:r>
      <w:proofErr w:type="gramStart"/>
      <w:r w:rsidRPr="008105E9">
        <w:rPr>
          <w:szCs w:val="24"/>
        </w:rPr>
        <w:t>konečných závěrech</w:t>
      </w:r>
      <w:proofErr w:type="gramEnd"/>
      <w:r w:rsidRPr="008105E9">
        <w:rPr>
          <w:szCs w:val="24"/>
        </w:rPr>
        <w:t xml:space="preserve"> Konference o budoucnosti Evropy z května 2022,</w:t>
      </w:r>
    </w:p>
    <w:p w14:paraId="44FC1F85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balíček právních předpisů týkajících se rozšíření, který předložila Komise dne 30. října 2024,</w:t>
      </w:r>
    </w:p>
    <w:p w14:paraId="17520D55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článek 55 jednacího řádu,</w:t>
      </w:r>
    </w:p>
    <w:p w14:paraId="41D62B74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–</w:t>
      </w:r>
      <w:r w:rsidRPr="008105E9">
        <w:rPr>
          <w:szCs w:val="24"/>
        </w:rPr>
        <w:tab/>
        <w:t>s ohledem na zprávu Výboru pro ústavní záležitosti (A10-0156/2025),</w:t>
      </w:r>
    </w:p>
    <w:p w14:paraId="504DD61C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A.</w:t>
      </w:r>
      <w:r w:rsidRPr="008105E9">
        <w:rPr>
          <w:szCs w:val="24"/>
        </w:rPr>
        <w:tab/>
        <w:t>vzhledem k tomu, že volby do Evropského parlamentu v roce 2024 zaznamenaly nejvyšší volební účast ze všech voleb do Evropského parlamentu za posledních 25 let, a to 50,74 % voličů (mírný nárůst oproti roku 2019, kdy to bylo 50,66 %), což je pozitivní signál o zájmu evropských občanů o záležitosti EU; vzhledem k tomu, že se míra účasti mezi členskými státy značně lišila a pohybovala se od 89,01 % do 21,35 %, což zdůrazňuje potřebu pokračovat v politických investicích do volební účasti v celé EU;</w:t>
      </w:r>
    </w:p>
    <w:p w14:paraId="551BC943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B.</w:t>
      </w:r>
      <w:r w:rsidRPr="008105E9">
        <w:rPr>
          <w:szCs w:val="24"/>
        </w:rPr>
        <w:tab/>
        <w:t>vzhledem k tomu, že volby do Evropského parlamentu v roce 2024 se ve dvou členských státech konaly současně s parlamentními volbami, v osmi členských státech současně s místními a regionálními volbami a v jednom členském státě současně s referendem;</w:t>
      </w:r>
    </w:p>
    <w:p w14:paraId="2604E80F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C.</w:t>
      </w:r>
      <w:r w:rsidRPr="008105E9">
        <w:rPr>
          <w:szCs w:val="24"/>
        </w:rPr>
        <w:tab/>
        <w:t>vzhledem k tomu, že ve většině členských států byla zaznamenána vyšší volební účast ve srovnání s předchozími volbami do Evropského parlamentu;</w:t>
      </w:r>
    </w:p>
    <w:p w14:paraId="25473D53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D.</w:t>
      </w:r>
      <w:r w:rsidRPr="008105E9">
        <w:rPr>
          <w:szCs w:val="24"/>
        </w:rPr>
        <w:tab/>
        <w:t xml:space="preserve">vzhledem k tomu, že v několika členských státech bylo volební právo rozšířeno tak, že byla snížena věková hranice pro účast ve volbách na 16 let, což vedlo k celkovému počtu dalších dvou milionů oprávněných voličů mladších 18 let; vzhledem k tomu, že některé členské státy snížily věkovou hranici pro kandidaturu na 18 let, zatímco </w:t>
      </w:r>
      <w:r w:rsidRPr="008105E9">
        <w:rPr>
          <w:szCs w:val="24"/>
        </w:rPr>
        <w:lastRenderedPageBreak/>
        <w:t>v jiných členských státech zůstává věková hranice 25 let; vzhledem k tomu, že celkově volilo poprvé až 25 milionů mladých lidí;</w:t>
      </w:r>
    </w:p>
    <w:p w14:paraId="390863A2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E.</w:t>
      </w:r>
      <w:r w:rsidRPr="008105E9">
        <w:rPr>
          <w:szCs w:val="24"/>
        </w:rPr>
        <w:tab/>
        <w:t>vzhledem k tomu, že podle povolebního průzkumu Eurobarometru se účast mladých lidí (do 25 let) v evropských volbách snížila o 6 % ve srovnání s volbami v roce 2019, a to ze 42 % v roce 2019 na 36 % v roce 2024; vzhledem k tomu, že by volební účast mladých lidí měla i v nadcházejících letech zůstat ústředním bodem politického úsilí;</w:t>
      </w:r>
    </w:p>
    <w:p w14:paraId="4D7B90B8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F.</w:t>
      </w:r>
      <w:r w:rsidRPr="008105E9">
        <w:rPr>
          <w:szCs w:val="24"/>
        </w:rPr>
        <w:tab/>
        <w:t>vzhledem k tomu, že není k dispozici dostatek jednotných a podrobných údajů o účasti zranitelných skupin nebo o využívání alternativních způsobů hlasování; vzhledem k tomu, že by vnitrostátní rámce pro shromažďování údajů týkajících se evropských voleb měly být více harmonizovány, aby podporovaly politická řešení založená na důkazech na úrovni EU;</w:t>
      </w:r>
    </w:p>
    <w:p w14:paraId="7671EB6B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G.</w:t>
      </w:r>
      <w:r w:rsidRPr="008105E9">
        <w:rPr>
          <w:szCs w:val="24"/>
        </w:rPr>
        <w:tab/>
        <w:t>vzhledem k tomu, že na volebních lístcích bylo přibližně 18 400 kandidátů a 490 kandidátních listin, a že kampaň byla vedená podle různých volebních uspořádání, která se z velké části řídí vnitrostátními předpisy členských států; vzhledem k tomu, že doba registrace kandidátů a doba volební kampaně se pohybovaly od několika měsíců do několika týdnů; vzhledem k tomu, že nezávislá individuální kandidatura nebyla možná v devíti členských státech;</w:t>
      </w:r>
    </w:p>
    <w:p w14:paraId="316CC376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H.</w:t>
      </w:r>
      <w:r w:rsidRPr="008105E9">
        <w:rPr>
          <w:szCs w:val="24"/>
        </w:rPr>
        <w:tab/>
        <w:t>vzhledem k tomu, že mezi členskými státy přetrvávají značné rozdíly v regulačních přístupech a omezeních týkajících se práva volit a být volen; vzhledem k tomu, že dosud nebyly dokončeny důležité reformy zaměřené na sjednocení volebních pravidel a postupů v celé Unii;</w:t>
      </w:r>
    </w:p>
    <w:p w14:paraId="349364E1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I.</w:t>
      </w:r>
      <w:r w:rsidRPr="008105E9">
        <w:rPr>
          <w:szCs w:val="24"/>
        </w:rPr>
        <w:tab/>
        <w:t>vzhledem k tomu, že podle nejnovějšího průzkumu Eurobarometru byli lidé motivováni k účasti v evropských volbách v roce 2024 z důvodů, které se týkaly společných evropských témat, jako jsou životní náklady, ekonomika, migrace, právní stát a změna klimatu; vzhledem k tomu, že ve vnitrostátních diskusích se k těmto otázkám často přistupuje výhradně z hlediska vnitrostátní politiky; vzhledem k tomu, že politické strany a kandidáti mají odpovědnost za odpovídající informování občanů o politických opatřeních a správě na úrovni EU, včetně informování občanů o evropských politických stranách a politických skupinách, do kterých v Parlamentu patří;</w:t>
      </w:r>
    </w:p>
    <w:p w14:paraId="1591CB81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J.</w:t>
      </w:r>
      <w:r w:rsidRPr="008105E9">
        <w:rPr>
          <w:szCs w:val="24"/>
        </w:rPr>
        <w:tab/>
        <w:t>vzhledem k tomu, že neexistuje centralizovaný evropský seznam voličů, zůstává výměna údajů mezi členskými státy o případných vícenásobných kandidaturách problémem, a to i proto, že nejsou k dispozici údaje o dvojím občanství;</w:t>
      </w:r>
    </w:p>
    <w:p w14:paraId="1538DD72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K.</w:t>
      </w:r>
      <w:r w:rsidRPr="008105E9">
        <w:rPr>
          <w:szCs w:val="24"/>
        </w:rPr>
        <w:tab/>
        <w:t>vzhledem k tomu, že zvláštní opatření podporují volební účast a zastoupení nedostatečně zastoupených a zranitelných skupin; vzhledem k tomu, že 11 členských států uzákonilo kvóty pro ženy;</w:t>
      </w:r>
    </w:p>
    <w:p w14:paraId="41942020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L.</w:t>
      </w:r>
      <w:r w:rsidRPr="008105E9">
        <w:rPr>
          <w:szCs w:val="24"/>
        </w:rPr>
        <w:tab/>
        <w:t>vzhledem k tomu, že přibližně 11 milionů občanů EU žijících v jiném členském státě bylo oprávněno volit v zemi svého bydliště; vzhledem k tomu, že v zemi jejich bydliště stále existují administrativní překážky bránící jejich účasti ve volbách; vzhledem k tomu, že postoj Parlamentu ze dne 14. února 2023, jehož cílem bylo tyto překážky odstranit, Rada ignorovala;</w:t>
      </w:r>
    </w:p>
    <w:p w14:paraId="49AA841D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M.</w:t>
      </w:r>
      <w:r w:rsidRPr="008105E9">
        <w:rPr>
          <w:szCs w:val="24"/>
        </w:rPr>
        <w:tab/>
        <w:t xml:space="preserve">vzhledem k tomu, že zdravá demokracie závisí na tom, zda mají voliči přístup k rozmanitým myšlenkám, perspektivám a informacím; vzhledem k tomu, že svoboda </w:t>
      </w:r>
      <w:r w:rsidRPr="008105E9">
        <w:rPr>
          <w:szCs w:val="24"/>
        </w:rPr>
        <w:lastRenderedPageBreak/>
        <w:t>projevu zajišťuje, že kandidáti, strany, sdělovací prostředky a občané mohou svobodně vyjadřovat názory, diskutovat o politikách a sdílet fakta, což voličům pomáhá činit informovaná rozhodnutí;</w:t>
      </w:r>
    </w:p>
    <w:p w14:paraId="2D9B3B95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N.</w:t>
      </w:r>
      <w:r w:rsidRPr="008105E9">
        <w:rPr>
          <w:szCs w:val="24"/>
        </w:rPr>
        <w:tab/>
        <w:t>vzhledem k tomu, že zdravou politickou diskusi negativně ovlivňují dezinformace;</w:t>
      </w:r>
      <w:r w:rsidRPr="008105E9">
        <w:rPr>
          <w:color w:val="00B050"/>
          <w:szCs w:val="24"/>
        </w:rPr>
        <w:t xml:space="preserve"> </w:t>
      </w:r>
      <w:r w:rsidRPr="008105E9">
        <w:rPr>
          <w:szCs w:val="24"/>
        </w:rPr>
        <w:t xml:space="preserve">vzhledem k tomu, že šíření dezinformací, mimo jiné i prostřednictvím sociálních médií, nadále představuje rostoucí systémovou hrozbu pro evropské volební a demokratické procesy; vzhledem k tomu, že Komise zahájila řízení o nesplnění povinnosti a vyšetřování proti některým velkým online platformám, mimo jiné kvůli klamavé politické reklamě a nedostatečnému monitorování a moderování obsahu, a to z důvodu, že nebyli jmenováni vnitrostátní koordinátoři digitálních služeb nebo že příslušné orgány nebyly zmocněny k plnění úkolů vyžadovaných nařízením o digitálních službách; vzhledem k tomu, že zejména platforma sociálních médií X (dříve Twitter) a její majitel </w:t>
      </w:r>
      <w:proofErr w:type="spellStart"/>
      <w:r w:rsidRPr="008105E9">
        <w:rPr>
          <w:szCs w:val="24"/>
        </w:rPr>
        <w:t>Elon</w:t>
      </w:r>
      <w:proofErr w:type="spellEnd"/>
      <w:r w:rsidRPr="008105E9">
        <w:rPr>
          <w:szCs w:val="24"/>
        </w:rPr>
        <w:t xml:space="preserve"> Musk prostřednictvím firemní politiky a komunikace nadále otevřeně ignoruje regulační orgány EU;</w:t>
      </w:r>
    </w:p>
    <w:p w14:paraId="19719D4F" w14:textId="77777777" w:rsidR="00E14926" w:rsidRPr="008105E9" w:rsidRDefault="00E14926" w:rsidP="008105E9">
      <w:pPr>
        <w:pStyle w:val="NormalHanging12a"/>
        <w:rPr>
          <w:b/>
          <w:i/>
          <w:snapToGrid/>
          <w:szCs w:val="24"/>
        </w:rPr>
      </w:pPr>
      <w:r w:rsidRPr="008105E9">
        <w:rPr>
          <w:szCs w:val="24"/>
        </w:rPr>
        <w:t>O.</w:t>
      </w:r>
      <w:r w:rsidRPr="008105E9">
        <w:rPr>
          <w:szCs w:val="24"/>
        </w:rPr>
        <w:tab/>
        <w:t>vzhledem k tomu, že většina ustanovení nového nařízení (EU) 2024/900 o transparentnosti a cílení politické reklamy nebyla v době konání evropských voleb ještě v platnosti; vzhledem k tomu, že se očekává, že toto nařízení doplní nařízení o digitálních službách a posílí odolnost EU vůči vměšování do voleb;</w:t>
      </w:r>
    </w:p>
    <w:p w14:paraId="36ACA4DC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P.</w:t>
      </w:r>
      <w:r w:rsidRPr="008105E9">
        <w:rPr>
          <w:szCs w:val="24"/>
        </w:rPr>
        <w:tab/>
        <w:t xml:space="preserve">vzhledem k tomu, že </w:t>
      </w:r>
      <w:proofErr w:type="gramStart"/>
      <w:r w:rsidRPr="008105E9">
        <w:rPr>
          <w:szCs w:val="24"/>
        </w:rPr>
        <w:t>lepší</w:t>
      </w:r>
      <w:proofErr w:type="gramEnd"/>
      <w:r w:rsidRPr="008105E9">
        <w:rPr>
          <w:szCs w:val="24"/>
        </w:rPr>
        <w:t xml:space="preserve"> zastoupení osob se zdravotním postižením v Parlamentu má zásadní význam pro podporu skutečně inkluzivního a rozmanitého legislativního orgánu;</w:t>
      </w:r>
    </w:p>
    <w:p w14:paraId="0478F268" w14:textId="00029CFC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Q.</w:t>
      </w:r>
      <w:r w:rsidRPr="008105E9">
        <w:rPr>
          <w:szCs w:val="24"/>
        </w:rPr>
        <w:tab/>
        <w:t xml:space="preserve">vzhledem k tomu, že mladí Evropané </w:t>
      </w:r>
      <w:proofErr w:type="gramStart"/>
      <w:r w:rsidRPr="008105E9">
        <w:rPr>
          <w:szCs w:val="24"/>
        </w:rPr>
        <w:t>tvoří</w:t>
      </w:r>
      <w:proofErr w:type="gramEnd"/>
      <w:r w:rsidRPr="008105E9">
        <w:rPr>
          <w:szCs w:val="24"/>
        </w:rPr>
        <w:t xml:space="preserve"> 25 % celkového počtu obyvatel EU, zatímco zvolení poslanci mladší 30 let zaujímají v Parlamentu pouze 10 % křesel;</w:t>
      </w:r>
    </w:p>
    <w:p w14:paraId="02D61C86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R.</w:t>
      </w:r>
      <w:r w:rsidRPr="008105E9">
        <w:rPr>
          <w:szCs w:val="24"/>
        </w:rPr>
        <w:tab/>
        <w:t>vzhledem k tomu, že volby v roce 2024 ukazují celkový pokles zastoupení žen v Parlamentu, přičemž ženám nyní náleží přibližně 38,6 % křesel oproti 40 % křesel v roce 2019;</w:t>
      </w:r>
    </w:p>
    <w:p w14:paraId="03C41C19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S.</w:t>
      </w:r>
      <w:r w:rsidRPr="008105E9">
        <w:rPr>
          <w:szCs w:val="24"/>
        </w:rPr>
        <w:tab/>
        <w:t>vzhledem k tomu, že nedávné geopolitické otřesy, včetně pandemie COVID-19, nevyprovokované a neoprávněné plošné útočné války Ruska proti Ukrajině a znepokojivého posunu v transatlantických vztazích, se staly katalyzátorem dezinformačních narativů;</w:t>
      </w:r>
    </w:p>
    <w:p w14:paraId="1576A3F5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T.</w:t>
      </w:r>
      <w:r w:rsidRPr="008105E9">
        <w:rPr>
          <w:szCs w:val="24"/>
        </w:rPr>
        <w:tab/>
        <w:t>vzhledem k tomu, že nadcházející rozšíření bude vyžadovat důkladnou reformu institucionální struktury Unie, případně včetně jejího volebního rámce; vzhledem k tomu, že Unie s více než 30 členskými státy může být relevantním a nezávislým globálním aktérem a může řádně fungovat pouze tehdy, bude-li její rozhodování méně byrokratické a efektivnější a bude-li postaveno na základech skutečně evropského a nadnárodního společného demokratického prostoru;</w:t>
      </w:r>
    </w:p>
    <w:p w14:paraId="037C9C50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rStyle w:val="BoldItalic"/>
          <w:color w:val="000000"/>
          <w:szCs w:val="24"/>
        </w:rPr>
        <w:t>Evropská demokracie po volbách do Evropského parlamentu v roce 2024</w:t>
      </w:r>
    </w:p>
    <w:p w14:paraId="5E856647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1.</w:t>
      </w:r>
      <w:r w:rsidRPr="008105E9">
        <w:rPr>
          <w:szCs w:val="24"/>
        </w:rPr>
        <w:tab/>
        <w:t xml:space="preserve">připomíná, že způsobilost a schopnost EU řešit výzvy 21. století ve prospěch svých občanů do značné míry závisí na její schopnosti udržovat a podporovat zdravou demokratickou diskusi a současně zajistit odolnost a integritu svých voleb a demokratických procesů; zdůrazňuje, že tyto aspekty nelze považovat za samozřejmost a že je třeba je posilovat a chránit prostřednictvím soudržného politického </w:t>
      </w:r>
      <w:r w:rsidRPr="008105E9">
        <w:rPr>
          <w:szCs w:val="24"/>
        </w:rPr>
        <w:lastRenderedPageBreak/>
        <w:t>rámce; je přesvědčen, že tato práce ještě zdaleka není dokončena a že je třeba zintenzivnit politické úsilí, aby se zvýšila účast ve volbách a aby se Unie stala méně byrokratickou a její rozhodování bylo demokratičtější a efektivnější;</w:t>
      </w:r>
    </w:p>
    <w:p w14:paraId="3EB19AFE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2.</w:t>
      </w:r>
      <w:r w:rsidRPr="008105E9">
        <w:rPr>
          <w:szCs w:val="24"/>
        </w:rPr>
        <w:tab/>
        <w:t>vítá relativně vysokou účast v desátých evropských volbách, která s celkovou účastí 50,74 % zaznamenala mírný nárůst oproti volbám v roce 2019; je přesvědčen, že tato čísla odrážejí větší zapojení veřejnosti do evropského projektu a rostoucí význam Parlamentu a jeho vlivu na každodenní život občanů; je nicméně znepokojen značně rozdílnou mírou účasti v jednotlivých členských státech a je odhodlán posílit politické úsilí o odstranění rozdílů a zvýšení volební účasti všech skupin v celé EU;</w:t>
      </w:r>
    </w:p>
    <w:p w14:paraId="3E93DD03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3.</w:t>
      </w:r>
      <w:r w:rsidRPr="008105E9">
        <w:rPr>
          <w:szCs w:val="24"/>
        </w:rPr>
        <w:tab/>
        <w:t>oceňuje úsilí evropských orgánů a Evropské vysílací unie o větší zviditelnění kandidátů v evropských volbách na celém kontinentu, mimo jiné prostřednictvím série významných celoevropských debat za účasti předních kandidátů z různých politických skupin a také prostřednictvím debatní kampaně ke zvýšení informovanosti mladých Evropanů a jejich účasti ve volbách; vítá pozitivní dopad vlastní institucionální komunikační strategie, jejímž cílem bylo zvýšit povědomí o volbách zdůrazněním jejich významu prostřednictvím hesla „Využijte svůj hlas. Nenechte za sebe rozhodovat ostatní“; je přesvědčen, že se zlepšila spolupráce mezi orgány Unie a volebními orgány členských států s cílem zvýšit volební účast, a zavazuje se posílit koordinaci v této oblasti; požaduje další značné investice do rozšíření dosahu těchto kampaní a vysílání pro volby v roce 2029; zdůrazňuje důležitou a pozitivní roli kontaktních kanceláří Evropského parlamentu v evropských volbách;</w:t>
      </w:r>
    </w:p>
    <w:p w14:paraId="499294A8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4.</w:t>
      </w:r>
      <w:r w:rsidRPr="008105E9">
        <w:rPr>
          <w:szCs w:val="24"/>
        </w:rPr>
        <w:tab/>
        <w:t>zdůrazňuje, že vytvoření evropského „démos“ a společného demokratického prostoru vyžaduje především kulturní posun na základě dlouhodobé strategie a odpovídající zdroje pro posílení evropského povědomí a občanství, a to v úzké spolupráci s občanskou společností a společenskými zúčastněnými stranami; vyjadřuje politování nad tím, že kampaně vedené v členských státech pro volby do Evropského parlamentu jsou až příliš často vedeny z čistě vnitrostátní politické perspektivy, a to i v případech, kdy se týkají společných evropských otázek; vyzývá vnitrostátní politické strany a kandidáty v evropských volbách, jakož i vnitrostátní sdělovací prostředky, aby dostatečně a pravdivě informovali občany o správě věcí veřejných na úrovni EU, včetně informací o evropských politických stranách a politických skupinách v Parlamentu, jejichž součástí vnitrostátní politické strany jsou; vybízí vnitrostátní politické strany, aby v tomto ohledu zintenzivnily spolupráci se svými evropskými protějšky a zlepšily své zviditelnění v Evropě; zavazuje se vytvořit pro to příznivé regulační prostředí;</w:t>
      </w:r>
    </w:p>
    <w:p w14:paraId="175DBF56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5.</w:t>
      </w:r>
      <w:r w:rsidRPr="008105E9">
        <w:rPr>
          <w:szCs w:val="24"/>
        </w:rPr>
        <w:tab/>
        <w:t>zdůrazňuje, že je třeba je třeba vynaložit více úsilí na zvýšení účasti nedostatečně zastoupených skupin v evropských volbách; je znepokojen poklesem volební účasti mladých lidí a je odhodlán zintenzivnit politické úsilí o lepší oslovení této klíčové demografické skupiny v rámci volebních kampaní; konstatuje, že zapojení mladých lidí do budoucnosti EU má zásadní význam; vybízí členské státy, aby přijaly zvláštní politické rámce, které se budou zabývat jak možnostmi hlasování, tak možnostmi kandidatury, mimo jiné prostřednictvím specifických informačních kampaní a alternativních způsobů hlasování, jako je korespondenční hlasování a hlasování v zastoupení; uznává, že je třeba pokračovat v úsilí o inkluzivnější volební proces s cílem zajistit, aby měl každý občan stejnou příležitost podílet se na demokratickém procesu;</w:t>
      </w:r>
      <w:r w:rsidRPr="008105E9">
        <w:rPr>
          <w:color w:val="00B050"/>
          <w:szCs w:val="24"/>
        </w:rPr>
        <w:t xml:space="preserve"> </w:t>
      </w:r>
      <w:r w:rsidRPr="008105E9">
        <w:rPr>
          <w:szCs w:val="24"/>
        </w:rPr>
        <w:t xml:space="preserve">konstatuje, že pouze několik poslanců Evropského parlamentu patří k národnostním a etnickým menšinám, které jsou v členských státech oficiálně uznány za menšiny v souladu s jejich ústavními nebo právními rámci a příslušnými nástroji </w:t>
      </w:r>
      <w:r w:rsidRPr="008105E9">
        <w:rPr>
          <w:szCs w:val="24"/>
        </w:rPr>
        <w:lastRenderedPageBreak/>
        <w:t>Rady Evropy; zdůrazňuje, že boj proti rasismu, diskriminaci a vyloučení je povinností, která vyplývá ze základních hodnot EU a Listiny základních práv EU; vyzývá členské státy a vnitrostátní politické strany, aby přijaly proaktivní a přiměřená opatření na podporu účinného začlenění a zastoupení těchto menšin, včetně romských komunit, v evropských volbách, a to při plném respektování vnitrostátních ústavních řádů;</w:t>
      </w:r>
    </w:p>
    <w:p w14:paraId="4E44C5CD" w14:textId="0EF629B2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6.</w:t>
      </w:r>
      <w:r w:rsidRPr="008105E9">
        <w:rPr>
          <w:szCs w:val="24"/>
        </w:rPr>
        <w:tab/>
        <w:t>zdůrazňuje, že volby do Parlamentu nemusely v Maďarsku proběhnout spravedlivé; v této souvislosti zdůrazňuje, že závěrečná zpráva volební pozorovatelské mise Úřadu pro demokratické instituce a lidská práva (ODIHR)</w:t>
      </w:r>
      <w:r w:rsidRPr="008105E9">
        <w:rPr>
          <w:rStyle w:val="FootnoteReference"/>
          <w:bCs/>
          <w:iCs/>
          <w:szCs w:val="24"/>
        </w:rPr>
        <w:footnoteReference w:id="14"/>
      </w:r>
      <w:r w:rsidRPr="008105E9">
        <w:rPr>
          <w:szCs w:val="24"/>
        </w:rPr>
        <w:t xml:space="preserve"> pro parlamentní volby a referendum v Maďarsku dne 3. dubna 2022 konstatovala „neexistenci rovných podmínek“; zdůrazňuje, že maďarská vláda nese odpovědnost za obnovení souladu s právem EU a hodnotami zakotvenými v článku 2 S</w:t>
      </w:r>
      <w:r w:rsidR="008105E9">
        <w:rPr>
          <w:szCs w:val="24"/>
        </w:rPr>
        <w:t xml:space="preserve">mlouvy o </w:t>
      </w:r>
      <w:r w:rsidRPr="008105E9">
        <w:rPr>
          <w:szCs w:val="24"/>
        </w:rPr>
        <w:t>EU, a vyjadřuje hluboké politování nad tím, že absence rozhodných kroků ze strany EU přispívá k rozpadu demokracie, právního státu a základních práv v Maďarsku, v důsledku čehož se tato země podle příslušných ukazatelů změnila v hybridní systém volební autokracie; vyjadřuje znepokojení nad několika žádostmi ústředního vyšetřovacího úřadu maďarského státního zastupitelství o zbavení poslanců Evropského parlamentu imunity;</w:t>
      </w:r>
    </w:p>
    <w:p w14:paraId="27252FF0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7.</w:t>
      </w:r>
      <w:r w:rsidRPr="008105E9">
        <w:rPr>
          <w:szCs w:val="24"/>
        </w:rPr>
        <w:tab/>
        <w:t>znovu opakuje svůj dlouhodobý názor, že jsou nezbytné další reformy a úpravy volebního rámce EU, aby byly evropské volby demokratičtější, odolnější, inkluzivnější a skutečně evropské; poukazuje na několik politických iniciativ, které se v tomto ohledu připravují, a opakuje své výzvy Radě EU a Evropské radě, aby konstruktivně spolupracovaly s Parlamentem při hledání politických řešení, která by byla v zájmu evropských občanů;</w:t>
      </w:r>
    </w:p>
    <w:p w14:paraId="76A16CAB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rStyle w:val="BoldItalic"/>
          <w:color w:val="000000"/>
          <w:szCs w:val="24"/>
        </w:rPr>
        <w:t>Institucionální a volební reforma</w:t>
      </w:r>
    </w:p>
    <w:p w14:paraId="29D2CACB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8.</w:t>
      </w:r>
      <w:r w:rsidRPr="008105E9">
        <w:rPr>
          <w:szCs w:val="24"/>
        </w:rPr>
        <w:tab/>
        <w:t>je přesvědčen, že právní rámec pro evropské volby je třeba revidovat a modernizovat, aby se zvýšila volební účast občanů a snížily se regulační rozdíly mezi 27 členskými státy, mimo jiné stanovením jednoho společného dne voleb a stejného minimálního věku pro volby; připomíná, že se očekává, že rozhodnutí Rady (EU, Euratom) 2018/994 přinese v tomto smyslu významné pozitivní kroky, stejně jako řada návrhů v rámci projednávání návrhu nového volebního zákona ze dne 3. května 2022; znovu vyzývá Radu ke konstruktivní spolupráci s Parlamentem, aby mohl být návrh urychleně schválen; připomíná, že 26 z 27 členských států již revizi z roku 2018 ratifikovalo, a zavazuje se kriticky zhodnotit, proč se její provedení v různých členských státech zpozdilo;</w:t>
      </w:r>
    </w:p>
    <w:p w14:paraId="0D9FE680" w14:textId="479AC93D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9.</w:t>
      </w:r>
      <w:r w:rsidRPr="008105E9">
        <w:rPr>
          <w:szCs w:val="24"/>
        </w:rPr>
        <w:tab/>
        <w:t>vyjadřuje politování nad tím, že Rada včas před volbami v roce 2024 nepřijala nová navrhovaná pravidla týkající se práva volit a kandidovat ve volbách do Parlamentu pro „mobilní občany“; poukazuje na to, že plnému výkonu volebních práv, která Smlouvy přiznávají mobilním občanům ve volbách do Parlamentu, stále brání neodůvodněné překážky demokratické účasti, jako je nedostatečná informovanost o platných podmínkách a pravidlech; uznává, že projednávaný návrh směrnice Rady by některé z těchto překážek řešil; lituje však, že Rada – ač formálně v souladu s čl. 22 odst. 2 S</w:t>
      </w:r>
      <w:r w:rsidR="008105E9">
        <w:rPr>
          <w:szCs w:val="24"/>
        </w:rPr>
        <w:t xml:space="preserve">mlouvy o fungování </w:t>
      </w:r>
      <w:r w:rsidRPr="008105E9">
        <w:rPr>
          <w:szCs w:val="24"/>
        </w:rPr>
        <w:t xml:space="preserve">EU – se nijak smysluplně nezabývala obsahem stanoviska Parlamentu; opakuje zejména své návrhy na umožnění zápisu voliče do voličského seznamu, jakmile zaregistruje své místo bydliště, a na zpřísnění jazykových </w:t>
      </w:r>
      <w:r w:rsidRPr="008105E9">
        <w:rPr>
          <w:szCs w:val="24"/>
        </w:rPr>
        <w:lastRenderedPageBreak/>
        <w:t>a informačních požadavků pro místní orgány, usnadnění výkonu volebního práva nedostatečně zastoupeným skupinám voličů a posílení osvětových kampaní členských států s aktivním zapojením občanské společnosti; vyzývá členské státy, aby zajistily, aby se jejich občané žijící v zahraničí mohli účastnit evropských voleb, a to i posílením konzulárních služeb a umožněním korespondenčního hlasování; zdůrazňuje, že je důležité, aby všechny členské státy zajistily ničím neztížený přístup do volebních místností pro starší osoby a osoby se zdravotním postižením;</w:t>
      </w:r>
    </w:p>
    <w:p w14:paraId="4A5A7BAA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10.</w:t>
      </w:r>
      <w:r w:rsidRPr="008105E9">
        <w:rPr>
          <w:szCs w:val="24"/>
        </w:rPr>
        <w:tab/>
        <w:t xml:space="preserve">rozhodně podporuje úsilí politických stran o další rozvoj postupu navrhování vedoucího kandidáta (tzv. </w:t>
      </w:r>
      <w:proofErr w:type="spellStart"/>
      <w:r w:rsidRPr="008105E9">
        <w:rPr>
          <w:i/>
          <w:iCs/>
          <w:szCs w:val="24"/>
        </w:rPr>
        <w:t>Spitzenkandidaten</w:t>
      </w:r>
      <w:proofErr w:type="spellEnd"/>
      <w:r w:rsidRPr="008105E9">
        <w:rPr>
          <w:szCs w:val="24"/>
        </w:rPr>
        <w:t>), aby se vytvořila vazba mezi volbami, složením Parlamentu a jmenováním předsedy Komise, a tím se pro občany zprůhlednilo jmenování výkonné moci EU; zdůrazňuje, že tento postup umožnil občanům účinně ovlivnit nominaci předsedy Komise, což představuje významný krok vpřed s přímou úlohou občanů; chválí evropské politické strany za to, že své kandidáty nominovaly s dostatečným předstihem před volbami; konstatuje, že tento postup byl tentokrát poměrně úspěšný, neboť předsedkyně Komise, ačkoli nebyla zvolena přímo hlasováním, byla vedoucí kandidátkou politické skupiny, která získala nejvíce hlasů; poukazuje na to, že volba předsedy Komise v evropských volbách by zvýšila jeho odpovědnost a demokratickou legitimitu; je však i nadále přesvědčen, že stále chybí několik klíčových faktorů úspěchu, jako je další rozvoj a konsolidace evropské demokratické sféry, což brání plnému využití potenciálu tohoto neformálního a neregulovaného politického procesu;</w:t>
      </w:r>
    </w:p>
    <w:p w14:paraId="1BF0911C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11.</w:t>
      </w:r>
      <w:r w:rsidRPr="008105E9">
        <w:rPr>
          <w:szCs w:val="24"/>
        </w:rPr>
        <w:tab/>
        <w:t>zdůrazňuje důležitou úlohu evropských politických stran, neboť přispívají do diskuse o otázkách evropské veřejné politiky a utvářejí evropské politické povědomí; domnívá se, že tyto strany mohou v předvolebním období představovat tolik potřebnou protiváhu šíření dezinformací a dezinformačních zpráv; vítá dohodu dosaženou ohledně přepracovaného znění nařízení (EU, Euratom) č. 1141/2014 o statutu a financování evropských politických stran a evropských politických nadací, jež odstraňuje zbývající mezery, přináší právní jasnost a pomáhá osvobodit evropské politické strany od omezení, aby mohly převzít úlohu, kterou jim svěřují Smlouvy, mimo jiné zvýšením jejich viditelnosti v členských státech během volební kampaně a při propagaci vedoucích kandidátů;</w:t>
      </w:r>
    </w:p>
    <w:p w14:paraId="2D7A8D5D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12.</w:t>
      </w:r>
      <w:r w:rsidRPr="008105E9">
        <w:rPr>
          <w:szCs w:val="24"/>
        </w:rPr>
        <w:tab/>
        <w:t>vyzývá členské státy, aby zavedly zákaz zahraničních darů, a to jak věcných, tak peněžitých příspěvků nebo benefitů, a aby omezily dary politickým stranám a kandidátům; domnívá se, že političtí aktéři, kterým byl nabídnut nebo kteří přijali finanční nebo věcný příspěvek od zahraničního subjektu, musí mít povinnost tuto skutečnost oznámit příslušným orgánům a tato informace by následně měla být hlášena i na úrovni EU, aby bylo možné monitorování v celé EU;</w:t>
      </w:r>
    </w:p>
    <w:p w14:paraId="4F2D0FA0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13.</w:t>
      </w:r>
      <w:r w:rsidRPr="008105E9">
        <w:rPr>
          <w:szCs w:val="24"/>
        </w:rPr>
        <w:tab/>
        <w:t xml:space="preserve">zdůrazňuje, že je třeba posílit úlohu a viditelnost evropských politických nadací v evropském demokratickém prostoru; připomíná, že tyto nadace hrají klíčovou úlohu při rozvoji politické diskuse, politického výzkumu a občanské výchovy napříč hranicemi, a přispívají tak k utváření skutečně evropského veřejného mínění; vyzývá k zabezpečení odpovídajících nástrojů a zdrojů, které jim umožní podporovat evropské politické strany v jejich úsilí o zapojení občanů, prosazování evropských hodnot a smysluplnou účast v budoucích volebních kampaních; připomíná, že připravovaná zpráva Komise o uplatňování nařízení (EU, Euratom) č. 1141/2014 o statusu a financování evropských politických stran a evropských politických nadací (čeká se na </w:t>
      </w:r>
      <w:r w:rsidRPr="008105E9">
        <w:rPr>
          <w:szCs w:val="24"/>
        </w:rPr>
        <w:lastRenderedPageBreak/>
        <w:t>přepracování) by měla věnovat zvláštní pozornost pravidlům, jimiž se řídí financování evropských politických nadací, a měla by v případě potřeby navrhnout změny nařízení;</w:t>
      </w:r>
    </w:p>
    <w:p w14:paraId="0EBD4CD0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14.</w:t>
      </w:r>
      <w:r w:rsidRPr="008105E9">
        <w:rPr>
          <w:szCs w:val="24"/>
        </w:rPr>
        <w:tab/>
        <w:t>zdůrazňuje, že je třeba dále institucionálně pracovat na posílení vlivu evropských voličů na správu EU; v této souvislosti poukazuje na probíhající řízení o změně Smluv, které bylo zahájeno v návaznosti na Konferenci o budoucnosti Evropy; poukazuje na svůj návrh, aby se úlohy Rady a Parlamentu při jmenování a potvrzování předsedy Komise změnily tak, aby přesněji odrážely výsledky voleb do Evropského parlamentu; zdůrazňuje také svůj návrh udělit Parlamentu právo legislativní iniciativy, jehož uplatnění by vytvořilo přímou vazbu mezi hlasy občanů odevzdanými pro zástupce Parlamentu a politickými výstupy na úrovni EU; zdůrazňuje také svůj návrh na modernizaci vyšetřovací pravomoci Parlamentu s cílem posílit demokratickou kontrolu nad výkonnou mocí EU; vyzývá Evropskou radu, aby dodržovala Smlouvy a bez zbytečného odkladu hlasovala o svolání konventu, který by tyto návrhy projednal;</w:t>
      </w:r>
    </w:p>
    <w:p w14:paraId="0F387951" w14:textId="77777777" w:rsidR="00E14926" w:rsidRPr="008105E9" w:rsidRDefault="00E14926" w:rsidP="008105E9">
      <w:pPr>
        <w:pStyle w:val="NormalHanging12a"/>
        <w:rPr>
          <w:bCs/>
          <w:szCs w:val="24"/>
        </w:rPr>
      </w:pPr>
      <w:r w:rsidRPr="008105E9">
        <w:rPr>
          <w:rStyle w:val="BoldItalic"/>
          <w:color w:val="000000"/>
          <w:szCs w:val="24"/>
        </w:rPr>
        <w:t>Institucionální odolnost</w:t>
      </w:r>
    </w:p>
    <w:p w14:paraId="0492E348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15.</w:t>
      </w:r>
      <w:r w:rsidRPr="008105E9">
        <w:rPr>
          <w:szCs w:val="24"/>
        </w:rPr>
        <w:tab/>
        <w:t>zdůrazňuje, že je důležité posílit vazbu mezi místními, regionálními, vnitrostátními a evropskými otázkami; vítá v tomto ohledu aktivní a pozitivní zapojení místních a regionálních vedoucích představitelů do evropských témat a diskusí, zejména v předvolebním období, a to i prostřednictvím činnosti Výboru regionů a jeho sítí a kampaní;</w:t>
      </w:r>
    </w:p>
    <w:p w14:paraId="1226063E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16.</w:t>
      </w:r>
      <w:r w:rsidRPr="008105E9">
        <w:rPr>
          <w:szCs w:val="24"/>
        </w:rPr>
        <w:tab/>
        <w:t>připomíná, že boj proti antidemokratické rétorice je nejúčinnější na úrovni, která je občanům nejblíže, včetně aktivního zapojení místních a regionálních vedoucích představitelů; zdůrazňuje v této souvislosti, zejména v regionech, které čelí hospodářské stagnaci a kde dlouhodobé rozdíly zvyšují podporu euroskeptických stran, pozitivní úlohu politiky soudržnosti EU, která musí upřednostňovat základní regionální potřeby a zajistit, aby nikdo nebyl opomenut;</w:t>
      </w:r>
    </w:p>
    <w:p w14:paraId="04BE6E61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17.</w:t>
      </w:r>
      <w:r w:rsidRPr="008105E9">
        <w:rPr>
          <w:szCs w:val="24"/>
        </w:rPr>
        <w:tab/>
        <w:t>vyjadřuje hluboké znepokojení nad rostoucím počtem vnitřních i vnějších hrozeb, které narušují strukturu evropské demokracie; odsuzuje skutečnost, že někteří kandidáti, včetně kandidátů z vládnoucích stran v členských státech, vedli otevřeně kampaň na základě nepravdivých a zahraničím podporovaných narativů o EU a zároveň vyvolávali nálady proti EU;</w:t>
      </w:r>
    </w:p>
    <w:p w14:paraId="61A3E8AB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18.</w:t>
      </w:r>
      <w:r w:rsidRPr="008105E9">
        <w:rPr>
          <w:szCs w:val="24"/>
        </w:rPr>
        <w:tab/>
        <w:t>znovu opakuje své hluboké a dlouhodobé znepokojení nad přetrvávajícím trendem zlovolného vměšování do evropských demokratických procesů, včetně dezinformací; vyjadřuje hluboké znepokojení nad tím, že vlády některých členských států aktivně přispívají k šíření dezinformací;</w:t>
      </w:r>
      <w:r w:rsidRPr="008105E9">
        <w:rPr>
          <w:color w:val="00B050"/>
          <w:szCs w:val="24"/>
        </w:rPr>
        <w:t xml:space="preserve"> </w:t>
      </w:r>
      <w:r w:rsidRPr="008105E9">
        <w:rPr>
          <w:szCs w:val="24"/>
        </w:rPr>
        <w:t xml:space="preserve">odsuzuje zejména dezinformační kampaně na internetu podporované státními i nestátními aktéry z Ruska a dalších zemí mimo EU, jejichž cílem je polarizovat evropské voliče a zasít v nich nedůvěru; konstatuje, že zahraniční vměšování se objevuje před volbami a vrcholí v předvolebním období; odsuzuje několik poslanců Evropského parlamentu, kteří ochotně spolupracovali s mediální platformou </w:t>
      </w:r>
      <w:proofErr w:type="spellStart"/>
      <w:r w:rsidRPr="008105E9">
        <w:rPr>
          <w:szCs w:val="24"/>
        </w:rPr>
        <w:t>Voice</w:t>
      </w:r>
      <w:proofErr w:type="spellEnd"/>
      <w:r w:rsidRPr="008105E9">
        <w:rPr>
          <w:szCs w:val="24"/>
        </w:rPr>
        <w:t xml:space="preserve"> </w:t>
      </w:r>
      <w:proofErr w:type="spellStart"/>
      <w:r w:rsidRPr="008105E9">
        <w:rPr>
          <w:szCs w:val="24"/>
        </w:rPr>
        <w:t>of</w:t>
      </w:r>
      <w:proofErr w:type="spellEnd"/>
      <w:r w:rsidRPr="008105E9">
        <w:rPr>
          <w:szCs w:val="24"/>
        </w:rPr>
        <w:t xml:space="preserve"> </w:t>
      </w:r>
      <w:proofErr w:type="spellStart"/>
      <w:r w:rsidRPr="008105E9">
        <w:rPr>
          <w:szCs w:val="24"/>
        </w:rPr>
        <w:t>Europe</w:t>
      </w:r>
      <w:proofErr w:type="spellEnd"/>
      <w:r w:rsidRPr="008105E9">
        <w:rPr>
          <w:szCs w:val="24"/>
        </w:rPr>
        <w:t>, která je předmětem trestního vyšetřování, na šíření Kremlem podporovaných narativů o útočné válce na Ukrajině;</w:t>
      </w:r>
    </w:p>
    <w:p w14:paraId="7481F05C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19.</w:t>
      </w:r>
      <w:r w:rsidRPr="008105E9">
        <w:rPr>
          <w:szCs w:val="24"/>
        </w:rPr>
        <w:tab/>
        <w:t xml:space="preserve">znovu vyzývá Komisi a členské státy, aby zintenzivnily úsilí v boji proti zahraničnímu vměšování a dezinformacím prostřednictvím víceúrovňové, koordinované a meziodvětvové strategie, podpořené dostatečnými finančními zdroji, s cílem poskytnout EU a jejím členským státům náležité politiky zaměřené na prognózy </w:t>
      </w:r>
      <w:r w:rsidRPr="008105E9">
        <w:rPr>
          <w:szCs w:val="24"/>
        </w:rPr>
        <w:lastRenderedPageBreak/>
        <w:t>a odolnost a odrazující nástroje; v této souvislosti vyzývá Komisi, Evropskou službu pro vnější činnost a členské státy, aby dále posílily strategickou reakci Unie na dezinformace a zahraniční manipulaci s informacemi a vměšování, a poukazuje na četné politické snahy EU v posledních letech, včetně nařízení o digitálních službách, posíleného kodexu zásad boje proti dezinformacím a iniciativ v rámci Akčního plánu pro demokracii; se znepokojením uznává, že online platformy mají nepřiměřený vliv na veřejnou diskusi; se znepokojením bere na vědomí zprávy o politicky motivovaných rozhodnutích některých platforem, která mohou ohrozit svobodu projevu a demokratický pluralismus;</w:t>
      </w:r>
    </w:p>
    <w:p w14:paraId="65EB40DF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20.</w:t>
      </w:r>
      <w:r w:rsidRPr="008105E9">
        <w:rPr>
          <w:szCs w:val="24"/>
        </w:rPr>
        <w:tab/>
        <w:t>zdůrazňuje význam vyváženého a svobodného mediálního prostředí v členských státech jako klíčového pilíře evropské demokracie, zejména ve volebních cyklech; uznává, že ačkoli je EU světovým lídrem v oblasti svobody médií a v roce 2024 byl přijat evropský akt o svobodě médií a vstoupila v platnost směrnice proti strategickým soudním řízením proti účasti veřejnosti</w:t>
      </w:r>
      <w:r w:rsidRPr="008105E9">
        <w:rPr>
          <w:rStyle w:val="FootnoteReference"/>
          <w:szCs w:val="24"/>
        </w:rPr>
        <w:footnoteReference w:id="15"/>
      </w:r>
      <w:r w:rsidRPr="008105E9">
        <w:rPr>
          <w:szCs w:val="24"/>
        </w:rPr>
        <w:t>, rostoucí vnitřní a vnější tlak na mediální prostředí v EU vyžaduje další posílení svobody médií v EU, a to i v období před evropskými volbami; připomíná, že v některých členských státech došlo v roce 2024 k nárůstu útoků na novináře;</w:t>
      </w:r>
    </w:p>
    <w:p w14:paraId="4E03859E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21.</w:t>
      </w:r>
      <w:r w:rsidRPr="008105E9">
        <w:rPr>
          <w:szCs w:val="24"/>
        </w:rPr>
        <w:tab/>
        <w:t>co nejdůrazněji odsuzuje veškeré formy politického násilí; vyjadřuje hluboké znepokojení nad řadou incidentů, k nimž došlo před volbami v roce 2024; vybízí Komisi a členské státy, aby se předcházení politickému násilí posílením právních předpisů, rámců a politik, které chrání politiky, politické kandidáty, aktivisty, novináře a občany před násilím a obtěžováním během volebního období, stalo pro ně prioritou; zdůrazňuje důležitost komplexního přístupu, který zahrnuje prevenci, ochranu a vzdělávání s cílem snížit výskyt politického násilí, zejména zvyšováním povědomí o nebezpečí politického násilí a podporou kultury tolerance a respektu k odlišným politickým názorům; zdůrazňuje, že volební podvody nezačínají v den voleb, ale jsou důsledkem postupné demontáže právního státu, demokratických zásad, svobody tisku, svobody projevu a šíření zahraničních dezinformací a propagandy; se znepokojením konstatuje, že systémové problémy mohou ovlivnit rozsah konzistentní podpory svobodných a spravedlivých voleb ve všech členských státech;</w:t>
      </w:r>
    </w:p>
    <w:p w14:paraId="764B657F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22.</w:t>
      </w:r>
      <w:r w:rsidRPr="008105E9">
        <w:rPr>
          <w:szCs w:val="24"/>
        </w:rPr>
        <w:tab/>
        <w:t xml:space="preserve">je hluboce znepokojen vzestupem a volebním úspěchem </w:t>
      </w:r>
      <w:proofErr w:type="spellStart"/>
      <w:r w:rsidRPr="008105E9">
        <w:rPr>
          <w:szCs w:val="24"/>
        </w:rPr>
        <w:t>protisystémových</w:t>
      </w:r>
      <w:proofErr w:type="spellEnd"/>
      <w:r w:rsidRPr="008105E9">
        <w:rPr>
          <w:szCs w:val="24"/>
        </w:rPr>
        <w:t xml:space="preserve"> a otevřeně protiunijních stran ve volbách v roce 2024; poukazuje na to, že tento posun vede k radikalizaci politických diskusí a další polarizaci Parlamentu a navíc poskytuje širší platformu pro šíření zahraničních dezinformací a propagandy;</w:t>
      </w:r>
      <w:r w:rsidRPr="008105E9">
        <w:rPr>
          <w:color w:val="00B050"/>
          <w:szCs w:val="24"/>
        </w:rPr>
        <w:t xml:space="preserve"> </w:t>
      </w:r>
      <w:r w:rsidRPr="008105E9">
        <w:rPr>
          <w:szCs w:val="24"/>
        </w:rPr>
        <w:t>odsuzuje jakoukoli formu politické rétoriky, která podporuje nenávistné projevy, diskriminaci, xenofobii nebo násilí, a vyzývá všechny politické aktéry, aby se zapojili do konstruktivního dialogu založeného na faktech, který respektuje demokratické hodnoty, lidská práva a právní stát; zavazuje se k další reformě a zlepšení fungování Unie, aby lépe naplňovala očekávání občanů; vyzývá všechny příslušné aktéry, aby aktivněji informovali o pozitivním přínosu EU pro každodenní život a bezpečnost všech evropských občanů prostřednictvím jejích politik;</w:t>
      </w:r>
    </w:p>
    <w:p w14:paraId="1AAAA7A2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lastRenderedPageBreak/>
        <w:t>23.</w:t>
      </w:r>
      <w:r w:rsidRPr="008105E9">
        <w:rPr>
          <w:szCs w:val="24"/>
        </w:rPr>
        <w:tab/>
        <w:t>zavazuje se k hodnocení těchto rámců prostřednictvím svého zvláštního výboru pro Evropský štít pro demokracii, jehož mandát schválený plenárním zasedáním zahrnuje řešení zasahování do demokratických politických procesů a politik a provádění opatření k zachování spravedlivosti a integrity voleb, jakož i politik přispívajících k demokratickým procesům EU; zdůrazňuje, že výbor tak slouží jako klíčový nástroj pro předcházení zlovolnému vměšování s cílem zjistit možné mezery, nedostatky a překrývání, které by mohly být zneužity; současně vyzývá Komisi, aby tyto regulační rámce prosazovala v plném rozsahu a bez zbytečného odkladu, zejména v případě těch platforem, které nadále otevřeně vzdorují regulačním orgánům EU;</w:t>
      </w:r>
    </w:p>
    <w:p w14:paraId="7DD4D7B0" w14:textId="77777777" w:rsidR="00E14926" w:rsidRPr="008105E9" w:rsidRDefault="00E14926" w:rsidP="008105E9">
      <w:pPr>
        <w:pStyle w:val="NormalHanging12a"/>
        <w:rPr>
          <w:szCs w:val="24"/>
        </w:rPr>
      </w:pPr>
      <w:r w:rsidRPr="008105E9">
        <w:rPr>
          <w:szCs w:val="24"/>
        </w:rPr>
        <w:t>24.</w:t>
      </w:r>
      <w:r w:rsidRPr="008105E9">
        <w:rPr>
          <w:szCs w:val="24"/>
        </w:rPr>
        <w:tab/>
        <w:t>uznává význam kybernetické bezpečnosti a kybernetické infrastruktury při ochraně integrity evropských voleb; varuje před potenciálními riziky spojenými s operacemi ovlivňování pomocí umělé inteligence;</w:t>
      </w:r>
    </w:p>
    <w:p w14:paraId="69638182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25.</w:t>
      </w:r>
      <w:r w:rsidRPr="008105E9">
        <w:rPr>
          <w:szCs w:val="24"/>
        </w:rPr>
        <w:tab/>
        <w:t>poukazuje na to, že výsledky vnitrostátních voleb rovněž nepřímo ovlivňují složení evropských orgánů, např. jmenováním kandidátů na komisaře nebo účastí vládnoucích vnitrostátních politických většin na zasedáních Rady; v této souvislosti zdůrazňuje význam demokratické povahy všeobecných voleb v každém členském státě;</w:t>
      </w:r>
    </w:p>
    <w:p w14:paraId="3816F8D9" w14:textId="77777777" w:rsidR="00E14926" w:rsidRPr="008105E9" w:rsidRDefault="00E14926" w:rsidP="008105E9">
      <w:pPr>
        <w:spacing w:after="240"/>
        <w:ind w:left="567" w:hanging="567"/>
        <w:rPr>
          <w:szCs w:val="24"/>
        </w:rPr>
      </w:pPr>
      <w:r w:rsidRPr="008105E9">
        <w:rPr>
          <w:szCs w:val="24"/>
        </w:rPr>
        <w:t>26.</w:t>
      </w:r>
      <w:r w:rsidRPr="008105E9">
        <w:rPr>
          <w:szCs w:val="24"/>
        </w:rPr>
        <w:tab/>
        <w:t>konstatuje, že evropská demokracie může prosperovat pouze tehdy, budou-li posíleny a bráněny evropské demokratické a volební procesy; v této souvislosti zdůrazňuje, že je důležité podporovat svobodné a spravedlivé volby a zároveň chránit jejich integritu před vnitřními i vnějšími hrozbami pro demokracii v EU; se znepokojením konstatuje, že šíření dezinformací a vliv některých platforem sociálních médií zůstávají nekontrolované; zdůrazňuje, že je nanejvýš důležité prosazovat celý stávající právní rámec, aby byla zajištěna integrita celého volebního procesu;</w:t>
      </w:r>
    </w:p>
    <w:p w14:paraId="6B395DA6" w14:textId="77777777" w:rsidR="008105E9" w:rsidRDefault="008105E9" w:rsidP="008105E9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1EA53A58" w14:textId="77777777" w:rsidR="008105E9" w:rsidRDefault="008105E9" w:rsidP="008105E9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     °</w:t>
      </w:r>
    </w:p>
    <w:p w14:paraId="61620ACB" w14:textId="7F6FD31B" w:rsidR="00E365E1" w:rsidRPr="008105E9" w:rsidRDefault="00E14926" w:rsidP="008105E9">
      <w:pPr>
        <w:pStyle w:val="NormalHanging12a"/>
      </w:pPr>
      <w:r w:rsidRPr="008105E9">
        <w:rPr>
          <w:szCs w:val="24"/>
        </w:rPr>
        <w:t>27.</w:t>
      </w:r>
      <w:r w:rsidRPr="008105E9">
        <w:rPr>
          <w:szCs w:val="24"/>
        </w:rPr>
        <w:tab/>
        <w:t>pověřuje svou předsedkyni, aby předala toto usnesení Radě a Komisi.</w:t>
      </w:r>
    </w:p>
    <w:sectPr w:rsidR="00E365E1" w:rsidRPr="008105E9" w:rsidSect="007B76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0F034" w14:textId="77777777" w:rsidR="009852E1" w:rsidRPr="007B7672" w:rsidRDefault="009852E1">
      <w:r w:rsidRPr="007B7672">
        <w:separator/>
      </w:r>
    </w:p>
  </w:endnote>
  <w:endnote w:type="continuationSeparator" w:id="0">
    <w:p w14:paraId="4DA751C7" w14:textId="77777777" w:rsidR="009852E1" w:rsidRPr="007B7672" w:rsidRDefault="009852E1">
      <w:r w:rsidRPr="007B76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B6BA5" w14:textId="77777777" w:rsidR="00064002" w:rsidRPr="007B76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69086" w14:textId="77777777" w:rsidR="00064002" w:rsidRPr="007B76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ADE4D" w14:textId="77777777" w:rsidR="00064002" w:rsidRPr="007B76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BEB94" w14:textId="77777777" w:rsidR="009852E1" w:rsidRPr="007B7672" w:rsidRDefault="009852E1">
      <w:r w:rsidRPr="007B7672">
        <w:separator/>
      </w:r>
    </w:p>
  </w:footnote>
  <w:footnote w:type="continuationSeparator" w:id="0">
    <w:p w14:paraId="51C90864" w14:textId="77777777" w:rsidR="009852E1" w:rsidRPr="007B7672" w:rsidRDefault="009852E1">
      <w:r w:rsidRPr="007B7672">
        <w:continuationSeparator/>
      </w:r>
    </w:p>
  </w:footnote>
  <w:footnote w:id="1">
    <w:p w14:paraId="67DDE2E1" w14:textId="0CB8929A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L 329, 30.12.1993, s. 34, ELI: </w:t>
      </w:r>
      <w:r w:rsidRPr="00FA625E">
        <w:rPr>
          <w:rStyle w:val="Hyperlink"/>
          <w:sz w:val="24"/>
          <w:szCs w:val="24"/>
          <w:lang w:val="cs-CZ"/>
        </w:rPr>
        <w:t>http://data.europa.eu/eli/dir/1993/109/oj</w:t>
      </w:r>
      <w:r w:rsidRPr="00FA625E">
        <w:rPr>
          <w:sz w:val="24"/>
          <w:szCs w:val="24"/>
          <w:lang w:val="cs-CZ"/>
        </w:rPr>
        <w:t>.</w:t>
      </w:r>
    </w:p>
  </w:footnote>
  <w:footnote w:id="2">
    <w:p w14:paraId="4655B9AA" w14:textId="774677CA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L 178, 16.7.2018, s. 1, ELI: </w:t>
      </w:r>
      <w:hyperlink r:id="rId1" w:history="1">
        <w:r w:rsidRPr="00FA625E">
          <w:rPr>
            <w:rStyle w:val="Hyperlink"/>
            <w:sz w:val="24"/>
            <w:szCs w:val="24"/>
            <w:lang w:val="cs-CZ"/>
          </w:rPr>
          <w:t>http://data.europa.eu/eli/dec/2018/994/oj</w:t>
        </w:r>
      </w:hyperlink>
      <w:r w:rsidRPr="00FA625E">
        <w:rPr>
          <w:sz w:val="24"/>
          <w:szCs w:val="24"/>
          <w:lang w:val="cs-CZ"/>
        </w:rPr>
        <w:t>.</w:t>
      </w:r>
    </w:p>
  </w:footnote>
  <w:footnote w:id="3">
    <w:p w14:paraId="61C0861F" w14:textId="59174562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L 317, 4.11.2014, s. 1, ELI: </w:t>
      </w:r>
      <w:r w:rsidR="009F302A">
        <w:fldChar w:fldCharType="begin"/>
      </w:r>
      <w:r w:rsidR="009F302A" w:rsidRPr="001F3F54">
        <w:rPr>
          <w:lang w:val="fi-FI"/>
        </w:rPr>
        <w:instrText>HYPERLINK "http://data.europa.eu/eli/reg/2014/1141/oj"</w:instrText>
      </w:r>
      <w:r w:rsidR="009F302A">
        <w:fldChar w:fldCharType="separate"/>
      </w:r>
      <w:r w:rsidRPr="00FA625E">
        <w:rPr>
          <w:rStyle w:val="Hyperlink"/>
          <w:sz w:val="24"/>
          <w:szCs w:val="24"/>
          <w:lang w:val="cs-CZ"/>
        </w:rPr>
        <w:t>http://data.europa.eu/eli/reg/2014/1141/oj</w:t>
      </w:r>
      <w:r w:rsidR="009F302A">
        <w:rPr>
          <w:rStyle w:val="Hyperlink"/>
          <w:sz w:val="24"/>
          <w:szCs w:val="24"/>
          <w:lang w:val="cs-CZ"/>
        </w:rPr>
        <w:fldChar w:fldCharType="end"/>
      </w:r>
      <w:r w:rsidRPr="00FA625E">
        <w:rPr>
          <w:color w:val="0000FF"/>
          <w:sz w:val="24"/>
          <w:szCs w:val="24"/>
          <w:u w:val="single" w:color="0000FF"/>
          <w:lang w:val="cs-CZ"/>
        </w:rPr>
        <w:t xml:space="preserve">. </w:t>
      </w:r>
    </w:p>
  </w:footnote>
  <w:footnote w:id="4">
    <w:p w14:paraId="31E64B86" w14:textId="264BD6FE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r w:rsidRPr="002629AA">
        <w:rPr>
          <w:rStyle w:val="FootnoteReference"/>
          <w:sz w:val="24"/>
          <w:szCs w:val="24"/>
          <w:vertAlign w:val="baseline"/>
          <w:lang w:val="cs-CZ"/>
        </w:rPr>
        <w:t>C 125, 5.4.2023, s. 485</w:t>
      </w:r>
      <w:r w:rsidRPr="00FA625E">
        <w:rPr>
          <w:sz w:val="24"/>
          <w:szCs w:val="24"/>
          <w:lang w:val="cs-CZ"/>
        </w:rPr>
        <w:t>.</w:t>
      </w:r>
    </w:p>
  </w:footnote>
  <w:footnote w:id="5">
    <w:p w14:paraId="6AEC1B9C" w14:textId="412910FD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L, 2024/900, 20.3.2024, ELI: </w:t>
      </w:r>
      <w:r w:rsidR="009F302A">
        <w:fldChar w:fldCharType="begin"/>
      </w:r>
      <w:r w:rsidR="009F302A" w:rsidRPr="001F3F54">
        <w:rPr>
          <w:lang w:val="fi-FI"/>
        </w:rPr>
        <w:instrText>HYPERLINK "http://data.europa.eu/eli/reg/2024/900/oj"</w:instrText>
      </w:r>
      <w:r w:rsidR="009F302A">
        <w:fldChar w:fldCharType="separate"/>
      </w:r>
      <w:r w:rsidRPr="00FA625E">
        <w:rPr>
          <w:rStyle w:val="Hyperlink"/>
          <w:sz w:val="24"/>
          <w:szCs w:val="24"/>
          <w:lang w:val="cs-CZ"/>
        </w:rPr>
        <w:t>http://data.europa.eu/eli/reg/2024/900/oj</w:t>
      </w:r>
      <w:r w:rsidR="009F302A">
        <w:rPr>
          <w:rStyle w:val="Hyperlink"/>
          <w:sz w:val="24"/>
          <w:szCs w:val="24"/>
          <w:lang w:val="cs-CZ"/>
        </w:rPr>
        <w:fldChar w:fldCharType="end"/>
      </w:r>
      <w:r w:rsidRPr="00FA625E">
        <w:rPr>
          <w:sz w:val="24"/>
          <w:szCs w:val="24"/>
          <w:lang w:val="cs-CZ"/>
        </w:rPr>
        <w:t>.</w:t>
      </w:r>
    </w:p>
  </w:footnote>
  <w:footnote w:id="6">
    <w:p w14:paraId="7EEC17E5" w14:textId="6D0A9BE8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L 277, 27.10.2022, s. 1, ELI: </w:t>
      </w:r>
      <w:r w:rsidR="009F302A">
        <w:fldChar w:fldCharType="begin"/>
      </w:r>
      <w:r w:rsidR="009F302A" w:rsidRPr="001F3F54">
        <w:rPr>
          <w:lang w:val="fi-FI"/>
        </w:rPr>
        <w:instrText>HYPERLINK "http://data.europa.eu/eli/reg/2022/2065/oj"</w:instrText>
      </w:r>
      <w:r w:rsidR="009F302A">
        <w:fldChar w:fldCharType="separate"/>
      </w:r>
      <w:r w:rsidRPr="00FA625E">
        <w:rPr>
          <w:rStyle w:val="Hyperlink"/>
          <w:sz w:val="24"/>
          <w:szCs w:val="24"/>
          <w:lang w:val="cs-CZ"/>
        </w:rPr>
        <w:t>http://data.europa.eu/eli/reg/2022/2065/oj</w:t>
      </w:r>
      <w:r w:rsidR="009F302A">
        <w:rPr>
          <w:rStyle w:val="Hyperlink"/>
          <w:sz w:val="24"/>
          <w:szCs w:val="24"/>
          <w:lang w:val="cs-CZ"/>
        </w:rPr>
        <w:fldChar w:fldCharType="end"/>
      </w:r>
      <w:r w:rsidRPr="00FA625E">
        <w:rPr>
          <w:sz w:val="24"/>
          <w:szCs w:val="24"/>
          <w:lang w:val="cs-CZ"/>
        </w:rPr>
        <w:t>.</w:t>
      </w:r>
    </w:p>
  </w:footnote>
  <w:footnote w:id="7">
    <w:p w14:paraId="425D9F82" w14:textId="2657B032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L, 2024/1689, 12.7.2024, ELI: </w:t>
      </w:r>
      <w:r w:rsidR="009F302A">
        <w:fldChar w:fldCharType="begin"/>
      </w:r>
      <w:r w:rsidR="009F302A" w:rsidRPr="001F3F54">
        <w:rPr>
          <w:lang w:val="fi-FI"/>
        </w:rPr>
        <w:instrText>HYPERLINK "http://data.europa.eu/eli/reg/2024/1689/oj"</w:instrText>
      </w:r>
      <w:r w:rsidR="009F302A">
        <w:fldChar w:fldCharType="separate"/>
      </w:r>
      <w:r w:rsidRPr="00FA625E">
        <w:rPr>
          <w:rStyle w:val="Hyperlink"/>
          <w:sz w:val="24"/>
          <w:szCs w:val="24"/>
          <w:lang w:val="cs-CZ"/>
        </w:rPr>
        <w:t>http://data.europa.eu/eli/reg/2024/1689/oj</w:t>
      </w:r>
      <w:r w:rsidR="009F302A">
        <w:rPr>
          <w:rStyle w:val="Hyperlink"/>
          <w:sz w:val="24"/>
          <w:szCs w:val="24"/>
          <w:lang w:val="cs-CZ"/>
        </w:rPr>
        <w:fldChar w:fldCharType="end"/>
      </w:r>
      <w:r w:rsidRPr="00FA625E">
        <w:rPr>
          <w:sz w:val="24"/>
          <w:szCs w:val="24"/>
          <w:lang w:val="cs-CZ"/>
        </w:rPr>
        <w:t>.</w:t>
      </w:r>
    </w:p>
  </w:footnote>
  <w:footnote w:id="8">
    <w:p w14:paraId="1CBD06AF" w14:textId="1CD190FB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>. C 465, 6.12.2022, s. 171.</w:t>
      </w:r>
    </w:p>
  </w:footnote>
  <w:footnote w:id="9">
    <w:p w14:paraId="1AB633DB" w14:textId="3C80610F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>. C 425, 20.10.2021, s. 98.</w:t>
      </w:r>
    </w:p>
  </w:footnote>
  <w:footnote w:id="10">
    <w:p w14:paraId="5AF00896" w14:textId="52BC1D30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C, C/2024/4160, 2.8.2024, ELI: </w:t>
      </w:r>
      <w:r w:rsidR="009F302A">
        <w:fldChar w:fldCharType="begin"/>
      </w:r>
      <w:r w:rsidR="009F302A" w:rsidRPr="001F3F54">
        <w:rPr>
          <w:lang w:val="fi-FI"/>
        </w:rPr>
        <w:instrText>HYPERLINK "http://data.europa.eu/eli/C/2024/4160/oj"</w:instrText>
      </w:r>
      <w:r w:rsidR="009F302A">
        <w:fldChar w:fldCharType="separate"/>
      </w:r>
      <w:r w:rsidRPr="00FA625E">
        <w:rPr>
          <w:rStyle w:val="Hyperlink"/>
          <w:sz w:val="24"/>
          <w:szCs w:val="24"/>
          <w:lang w:val="cs-CZ"/>
        </w:rPr>
        <w:t>http://data.europa.eu/eli/C/2024/4160/oj</w:t>
      </w:r>
      <w:r w:rsidR="009F302A">
        <w:rPr>
          <w:rStyle w:val="Hyperlink"/>
          <w:sz w:val="24"/>
          <w:szCs w:val="24"/>
          <w:lang w:val="cs-CZ"/>
        </w:rPr>
        <w:fldChar w:fldCharType="end"/>
      </w:r>
      <w:r w:rsidRPr="00FA625E">
        <w:rPr>
          <w:sz w:val="24"/>
          <w:szCs w:val="24"/>
          <w:lang w:val="cs-CZ"/>
        </w:rPr>
        <w:t>.</w:t>
      </w:r>
    </w:p>
  </w:footnote>
  <w:footnote w:id="11">
    <w:p w14:paraId="45864CE4" w14:textId="63E3E78F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C, C/2025/1811, 4.4.2025, ELI: </w:t>
      </w:r>
      <w:r w:rsidR="009F302A">
        <w:fldChar w:fldCharType="begin"/>
      </w:r>
      <w:r w:rsidR="009F302A" w:rsidRPr="001F3F54">
        <w:rPr>
          <w:lang w:val="fi-FI"/>
        </w:rPr>
        <w:instrText>HYPERLINK "http://data.europa.eu/eli/C/2025/1811/oj"</w:instrText>
      </w:r>
      <w:r w:rsidR="009F302A">
        <w:fldChar w:fldCharType="separate"/>
      </w:r>
      <w:r w:rsidRPr="00FA625E">
        <w:rPr>
          <w:rStyle w:val="Hyperlink"/>
          <w:sz w:val="24"/>
          <w:szCs w:val="24"/>
          <w:lang w:val="cs-CZ"/>
        </w:rPr>
        <w:t>http://data.europa.eu/eli/C/2025/1811/oj</w:t>
      </w:r>
      <w:r w:rsidR="009F302A">
        <w:rPr>
          <w:rStyle w:val="Hyperlink"/>
          <w:sz w:val="24"/>
          <w:szCs w:val="24"/>
          <w:lang w:val="cs-CZ"/>
        </w:rPr>
        <w:fldChar w:fldCharType="end"/>
      </w:r>
      <w:r w:rsidRPr="00FA625E">
        <w:rPr>
          <w:sz w:val="24"/>
          <w:szCs w:val="24"/>
          <w:lang w:val="cs-CZ"/>
        </w:rPr>
        <w:t>.</w:t>
      </w:r>
    </w:p>
  </w:footnote>
  <w:footnote w:id="12">
    <w:p w14:paraId="4C409DF8" w14:textId="19A672E3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C, C/2025/1981, 11.4.2025, ELI: </w:t>
      </w:r>
      <w:r w:rsidR="009F302A">
        <w:fldChar w:fldCharType="begin"/>
      </w:r>
      <w:r w:rsidR="009F302A" w:rsidRPr="001F3F54">
        <w:rPr>
          <w:lang w:val="fi-FI"/>
        </w:rPr>
        <w:instrText>HYPERLINK "http://data.europa.eu/eli/C/2025/1981/oj"</w:instrText>
      </w:r>
      <w:r w:rsidR="009F302A">
        <w:fldChar w:fldCharType="separate"/>
      </w:r>
      <w:r w:rsidRPr="00FA625E">
        <w:rPr>
          <w:rStyle w:val="Hyperlink"/>
          <w:sz w:val="24"/>
          <w:szCs w:val="24"/>
          <w:lang w:val="cs-CZ"/>
        </w:rPr>
        <w:t>http://data.europa.eu/eli/C/2025/1981/oj</w:t>
      </w:r>
      <w:r w:rsidR="009F302A">
        <w:rPr>
          <w:rStyle w:val="Hyperlink"/>
          <w:sz w:val="24"/>
          <w:szCs w:val="24"/>
          <w:lang w:val="cs-CZ"/>
        </w:rPr>
        <w:fldChar w:fldCharType="end"/>
      </w:r>
      <w:r w:rsidRPr="00FA625E">
        <w:rPr>
          <w:sz w:val="24"/>
          <w:szCs w:val="24"/>
          <w:lang w:val="cs-CZ"/>
        </w:rPr>
        <w:t xml:space="preserve">. </w:t>
      </w:r>
    </w:p>
  </w:footnote>
  <w:footnote w:id="13">
    <w:p w14:paraId="65F91672" w14:textId="01D8E1F0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C, C/2024/4216, 24.7.2024, ELI: </w:t>
      </w:r>
      <w:r w:rsidR="009F302A">
        <w:fldChar w:fldCharType="begin"/>
      </w:r>
      <w:r w:rsidR="009F302A" w:rsidRPr="001F3F54">
        <w:rPr>
          <w:lang w:val="fi-FI"/>
        </w:rPr>
        <w:instrText>HYPERLINK "http://data.europa.eu/eli/C/2024/4216/oj"</w:instrText>
      </w:r>
      <w:r w:rsidR="009F302A">
        <w:fldChar w:fldCharType="separate"/>
      </w:r>
      <w:r w:rsidRPr="00FA625E">
        <w:rPr>
          <w:rStyle w:val="Hyperlink"/>
          <w:sz w:val="24"/>
          <w:szCs w:val="24"/>
          <w:lang w:val="cs-CZ"/>
        </w:rPr>
        <w:t>http://data.europa.eu/eli/C/2024/4216/oj</w:t>
      </w:r>
      <w:r w:rsidR="009F302A">
        <w:rPr>
          <w:rStyle w:val="Hyperlink"/>
          <w:sz w:val="24"/>
          <w:szCs w:val="24"/>
          <w:lang w:val="cs-CZ"/>
        </w:rPr>
        <w:fldChar w:fldCharType="end"/>
      </w:r>
      <w:r w:rsidRPr="00FA625E">
        <w:rPr>
          <w:sz w:val="24"/>
          <w:szCs w:val="24"/>
          <w:lang w:val="cs-CZ"/>
        </w:rPr>
        <w:t>.</w:t>
      </w:r>
    </w:p>
  </w:footnote>
  <w:footnote w:id="14">
    <w:p w14:paraId="1FDF0E13" w14:textId="38FA40AF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hyperlink r:id="rId2" w:history="1">
        <w:r w:rsidRPr="00FA625E">
          <w:rPr>
            <w:rStyle w:val="Hyperlink"/>
            <w:sz w:val="24"/>
            <w:szCs w:val="24"/>
            <w:lang w:val="cs-CZ"/>
          </w:rPr>
          <w:t>Závěrečná zpráva volební pozorovatelské mise ODIHR – Maďarsko, 2022</w:t>
        </w:r>
      </w:hyperlink>
    </w:p>
  </w:footnote>
  <w:footnote w:id="15">
    <w:p w14:paraId="4B2BAFA4" w14:textId="37086C67" w:rsidR="00E14926" w:rsidRPr="00FA625E" w:rsidRDefault="00E14926" w:rsidP="007B7672">
      <w:pPr>
        <w:pStyle w:val="FootnoteText"/>
        <w:ind w:left="567" w:hanging="567"/>
        <w:rPr>
          <w:sz w:val="24"/>
          <w:szCs w:val="24"/>
          <w:lang w:val="cs-CZ"/>
        </w:rPr>
      </w:pPr>
      <w:r w:rsidRPr="00FA625E">
        <w:rPr>
          <w:rStyle w:val="FootnoteReference"/>
          <w:sz w:val="24"/>
          <w:szCs w:val="24"/>
          <w:lang w:val="cs-CZ"/>
        </w:rPr>
        <w:footnoteRef/>
      </w:r>
      <w:r w:rsidR="007B7672" w:rsidRPr="00FA625E">
        <w:rPr>
          <w:sz w:val="24"/>
          <w:szCs w:val="24"/>
          <w:lang w:val="cs-CZ"/>
        </w:rPr>
        <w:t xml:space="preserve"> </w:t>
      </w:r>
      <w:r w:rsidR="007B7672" w:rsidRPr="00FA625E">
        <w:rPr>
          <w:sz w:val="24"/>
          <w:szCs w:val="24"/>
          <w:lang w:val="cs-CZ"/>
        </w:rPr>
        <w:tab/>
      </w:r>
      <w:r w:rsidRPr="00FA625E">
        <w:rPr>
          <w:sz w:val="24"/>
          <w:szCs w:val="24"/>
          <w:lang w:val="cs-CZ"/>
        </w:rPr>
        <w:t>Směrnice Evropského parlamentu a Rady (EU) 2024/1069 ze dne 11. dubna 2024 o ochraně osob zapojených do účasti veřejnosti před zjevně neopodstatněnými žalobními návrhy nebo zneužívajícími soudními řízeními („strategická soudní řízení proti účasti veřejnosti“) (</w:t>
      </w:r>
      <w:proofErr w:type="spellStart"/>
      <w:r w:rsidRPr="00FA625E">
        <w:rPr>
          <w:sz w:val="24"/>
          <w:szCs w:val="24"/>
          <w:lang w:val="cs-CZ"/>
        </w:rPr>
        <w:t>Úř</w:t>
      </w:r>
      <w:proofErr w:type="spellEnd"/>
      <w:r w:rsidRPr="00FA625E">
        <w:rPr>
          <w:sz w:val="24"/>
          <w:szCs w:val="24"/>
          <w:lang w:val="cs-CZ"/>
        </w:rPr>
        <w:t xml:space="preserve">. </w:t>
      </w:r>
      <w:proofErr w:type="spellStart"/>
      <w:r w:rsidRPr="00FA625E">
        <w:rPr>
          <w:sz w:val="24"/>
          <w:szCs w:val="24"/>
          <w:lang w:val="cs-CZ"/>
        </w:rPr>
        <w:t>věst</w:t>
      </w:r>
      <w:proofErr w:type="spellEnd"/>
      <w:r w:rsidRPr="00FA625E">
        <w:rPr>
          <w:sz w:val="24"/>
          <w:szCs w:val="24"/>
          <w:lang w:val="cs-CZ"/>
        </w:rPr>
        <w:t xml:space="preserve">. L, 2024/1069, 16.4.2024, ELI: </w:t>
      </w:r>
      <w:hyperlink r:id="rId3" w:history="1">
        <w:r w:rsidR="008105E9" w:rsidRPr="00FA625E">
          <w:rPr>
            <w:rStyle w:val="Hyperlink"/>
            <w:sz w:val="24"/>
            <w:szCs w:val="24"/>
            <w:lang w:val="cs-CZ"/>
          </w:rPr>
          <w:t>http://data.europa.eu/eli/dir/2024/</w:t>
        </w:r>
        <w:r w:rsidR="008105E9" w:rsidRPr="00FA625E">
          <w:rPr>
            <w:rStyle w:val="Hyperlink"/>
            <w:sz w:val="24"/>
            <w:szCs w:val="24"/>
            <w:lang w:val="cs-CZ"/>
          </w:rPr>
          <w:br/>
          <w:t>1069/oj</w:t>
        </w:r>
      </w:hyperlink>
      <w:r w:rsidRPr="00FA625E">
        <w:rPr>
          <w:sz w:val="24"/>
          <w:szCs w:val="24"/>
          <w:lang w:val="cs-CZ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34AAA" w14:textId="77777777" w:rsidR="00064002" w:rsidRPr="007B76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1704" w14:textId="77777777" w:rsidR="00064002" w:rsidRPr="007B76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86D4E" w14:textId="77777777" w:rsidR="00064002" w:rsidRPr="007B76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8704116">
    <w:abstractNumId w:val="9"/>
  </w:num>
  <w:num w:numId="2" w16cid:durableId="1510556558">
    <w:abstractNumId w:val="9"/>
  </w:num>
  <w:num w:numId="3" w16cid:durableId="1384135203">
    <w:abstractNumId w:val="7"/>
  </w:num>
  <w:num w:numId="4" w16cid:durableId="1069887403">
    <w:abstractNumId w:val="7"/>
  </w:num>
  <w:num w:numId="5" w16cid:durableId="651759810">
    <w:abstractNumId w:val="6"/>
  </w:num>
  <w:num w:numId="6" w16cid:durableId="20715461">
    <w:abstractNumId w:val="6"/>
  </w:num>
  <w:num w:numId="7" w16cid:durableId="1859271271">
    <w:abstractNumId w:val="5"/>
  </w:num>
  <w:num w:numId="8" w16cid:durableId="1519544151">
    <w:abstractNumId w:val="5"/>
  </w:num>
  <w:num w:numId="9" w16cid:durableId="445972651">
    <w:abstractNumId w:val="4"/>
  </w:num>
  <w:num w:numId="10" w16cid:durableId="479812937">
    <w:abstractNumId w:val="4"/>
  </w:num>
  <w:num w:numId="11" w16cid:durableId="1418096255">
    <w:abstractNumId w:val="8"/>
  </w:num>
  <w:num w:numId="12" w16cid:durableId="2010868050">
    <w:abstractNumId w:val="8"/>
  </w:num>
  <w:num w:numId="13" w16cid:durableId="1528371013">
    <w:abstractNumId w:val="3"/>
  </w:num>
  <w:num w:numId="14" w16cid:durableId="1217083379">
    <w:abstractNumId w:val="3"/>
  </w:num>
  <w:num w:numId="15" w16cid:durableId="1404178341">
    <w:abstractNumId w:val="2"/>
  </w:num>
  <w:num w:numId="16" w16cid:durableId="708724128">
    <w:abstractNumId w:val="2"/>
  </w:num>
  <w:num w:numId="17" w16cid:durableId="1638098463">
    <w:abstractNumId w:val="1"/>
  </w:num>
  <w:num w:numId="18" w16cid:durableId="5593739">
    <w:abstractNumId w:val="1"/>
  </w:num>
  <w:num w:numId="19" w16cid:durableId="876356540">
    <w:abstractNumId w:val="0"/>
  </w:num>
  <w:num w:numId="20" w16cid:durableId="594749459">
    <w:abstractNumId w:val="0"/>
  </w:num>
  <w:num w:numId="21" w16cid:durableId="2035693239">
    <w:abstractNumId w:val="9"/>
  </w:num>
  <w:num w:numId="22" w16cid:durableId="1085612312">
    <w:abstractNumId w:val="7"/>
  </w:num>
  <w:num w:numId="23" w16cid:durableId="103382131">
    <w:abstractNumId w:val="6"/>
  </w:num>
  <w:num w:numId="24" w16cid:durableId="1876847591">
    <w:abstractNumId w:val="5"/>
  </w:num>
  <w:num w:numId="25" w16cid:durableId="1652716496">
    <w:abstractNumId w:val="4"/>
  </w:num>
  <w:num w:numId="26" w16cid:durableId="8993875">
    <w:abstractNumId w:val="8"/>
  </w:num>
  <w:num w:numId="27" w16cid:durableId="2118059180">
    <w:abstractNumId w:val="3"/>
  </w:num>
  <w:num w:numId="28" w16cid:durableId="436561178">
    <w:abstractNumId w:val="2"/>
  </w:num>
  <w:num w:numId="29" w16cid:durableId="703943278">
    <w:abstractNumId w:val="1"/>
  </w:num>
  <w:num w:numId="30" w16cid:durableId="755709769">
    <w:abstractNumId w:val="0"/>
  </w:num>
  <w:num w:numId="31" w16cid:durableId="1663580051">
    <w:abstractNumId w:val="9"/>
  </w:num>
  <w:num w:numId="32" w16cid:durableId="1079517930">
    <w:abstractNumId w:val="7"/>
  </w:num>
  <w:num w:numId="33" w16cid:durableId="396510562">
    <w:abstractNumId w:val="6"/>
  </w:num>
  <w:num w:numId="34" w16cid:durableId="2001469785">
    <w:abstractNumId w:val="5"/>
  </w:num>
  <w:num w:numId="35" w16cid:durableId="1811510112">
    <w:abstractNumId w:val="4"/>
  </w:num>
  <w:num w:numId="36" w16cid:durableId="1344479943">
    <w:abstractNumId w:val="8"/>
  </w:num>
  <w:num w:numId="37" w16cid:durableId="466313043">
    <w:abstractNumId w:val="3"/>
  </w:num>
  <w:num w:numId="38" w16cid:durableId="1052463775">
    <w:abstractNumId w:val="2"/>
  </w:num>
  <w:num w:numId="39" w16cid:durableId="677460592">
    <w:abstractNumId w:val="1"/>
  </w:num>
  <w:num w:numId="40" w16cid:durableId="621884160">
    <w:abstractNumId w:val="0"/>
  </w:num>
  <w:num w:numId="41" w16cid:durableId="540677733">
    <w:abstractNumId w:val="10"/>
  </w:num>
  <w:num w:numId="42" w16cid:durableId="770318810">
    <w:abstractNumId w:val="10"/>
  </w:num>
  <w:num w:numId="43" w16cid:durableId="194542974">
    <w:abstractNumId w:val="10"/>
  </w:num>
  <w:num w:numId="44" w16cid:durableId="16112831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6/2025"/>
    <w:docVar w:name="dvlangue" w:val="CS"/>
    <w:docVar w:name="dvnumam" w:val="0"/>
    <w:docVar w:name="dvpe" w:val="768.033"/>
    <w:docVar w:name="dvrapporteur" w:val="Zpravodajka: "/>
    <w:docVar w:name="dvtitre" w:val="Usnesení Evropského parlamentu ze dne 11. září 2025 o zhodnocení voleb do Evropského parlamentu v roce 2024(2025/2012(INI))"/>
  </w:docVars>
  <w:rsids>
    <w:rsidRoot w:val="009852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3F54"/>
    <w:rsid w:val="002629A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34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95F"/>
    <w:rsid w:val="00756632"/>
    <w:rsid w:val="00762C74"/>
    <w:rsid w:val="00786EC0"/>
    <w:rsid w:val="007B7672"/>
    <w:rsid w:val="007D1690"/>
    <w:rsid w:val="007E22AD"/>
    <w:rsid w:val="008105E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2E1"/>
    <w:rsid w:val="009F302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926"/>
    <w:rsid w:val="00E365E1"/>
    <w:rsid w:val="00E678E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25E"/>
    <w:rsid w:val="00FB4360"/>
    <w:rsid w:val="00FD0C70"/>
    <w:rsid w:val="00FE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F53207"/>
  <w15:chartTrackingRefBased/>
  <w15:docId w15:val="{A5F2843F-A710-4E0F-B863-395265E6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1492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E14926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E14926"/>
    <w:rPr>
      <w:b/>
      <w:i/>
      <w:u w:val="none"/>
    </w:rPr>
  </w:style>
  <w:style w:type="character" w:customStyle="1" w:styleId="Italic">
    <w:name w:val="Italic"/>
    <w:uiPriority w:val="1"/>
    <w:rsid w:val="00E14926"/>
    <w:rPr>
      <w:i/>
    </w:rPr>
  </w:style>
  <w:style w:type="character" w:styleId="Hyperlink">
    <w:name w:val="Hyperlink"/>
    <w:basedOn w:val="DefaultParagraphFont"/>
    <w:rsid w:val="00E14926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14926"/>
    <w:rPr>
      <w:snapToGrid w:val="0"/>
      <w:sz w:val="24"/>
      <w:lang w:val="cs-CZ" w:eastAsia="en-US"/>
    </w:rPr>
  </w:style>
  <w:style w:type="paragraph" w:styleId="Revision">
    <w:name w:val="Revision"/>
    <w:hidden/>
    <w:uiPriority w:val="99"/>
    <w:semiHidden/>
    <w:rsid w:val="008105E9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810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069/oj" TargetMode="External"/><Relationship Id="rId2" Type="http://schemas.openxmlformats.org/officeDocument/2006/relationships/hyperlink" Target="https://www.osce.org/files/f/documents/2/6/523568.pdf" TargetMode="External"/><Relationship Id="rId1" Type="http://schemas.openxmlformats.org/officeDocument/2006/relationships/hyperlink" Target="http://data.europa.eu/eli/dec/2018/9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4486</Words>
  <Characters>26739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2025-09-11T10:59:00Z</dcterms:created>
  <dcterms:modified xsi:type="dcterms:W3CDTF">2025-09-11T10:59:00Z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A10-0156/2025</vt:lpwstr>
  </property>
  <property fmtid="{D5CDD505-2E9C-101B-9397-08002B2CF9AE}" pid="4" name="&lt;Type&gt;">
    <vt:lpwstr>RR</vt:lpwstr>
  </property>
</Properties>
</file>