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6B31" w14:paraId="0D54D4B6" w14:textId="77777777" w:rsidTr="0010095E">
        <w:trPr>
          <w:trHeight w:hRule="exact" w:val="1418"/>
        </w:trPr>
        <w:tc>
          <w:tcPr>
            <w:tcW w:w="6804" w:type="dxa"/>
            <w:shd w:val="clear" w:color="auto" w:fill="auto"/>
            <w:vAlign w:val="center"/>
          </w:tcPr>
          <w:p w14:paraId="2119F9FD" w14:textId="77777777" w:rsidR="00751A4A" w:rsidRPr="00576B31" w:rsidRDefault="009B6329" w:rsidP="0010095E">
            <w:pPr>
              <w:pStyle w:val="EPName"/>
            </w:pPr>
            <w:bookmarkStart w:id="0" w:name="_GoBack"/>
            <w:bookmarkEnd w:id="0"/>
            <w:r w:rsidRPr="00576B31">
              <w:t>Ευρωπαϊκό Κοινοβούλιο</w:t>
            </w:r>
          </w:p>
          <w:p w14:paraId="7C9824D1" w14:textId="77777777" w:rsidR="00751A4A" w:rsidRPr="00576B31" w:rsidRDefault="005F1B17" w:rsidP="005F1B17">
            <w:pPr>
              <w:pStyle w:val="EPTerm"/>
              <w:rPr>
                <w:rStyle w:val="HideTWBExt"/>
                <w:noProof w:val="0"/>
                <w:vanish w:val="0"/>
                <w:color w:val="auto"/>
              </w:rPr>
            </w:pPr>
            <w:r w:rsidRPr="00576B31">
              <w:t>2024</w:t>
            </w:r>
            <w:r w:rsidR="00817416" w:rsidRPr="00576B31">
              <w:t>-202</w:t>
            </w:r>
            <w:r w:rsidRPr="00576B31">
              <w:t>9</w:t>
            </w:r>
          </w:p>
        </w:tc>
        <w:tc>
          <w:tcPr>
            <w:tcW w:w="2268" w:type="dxa"/>
            <w:shd w:val="clear" w:color="auto" w:fill="auto"/>
          </w:tcPr>
          <w:p w14:paraId="73C951D2" w14:textId="77777777" w:rsidR="00751A4A" w:rsidRPr="00576B31" w:rsidRDefault="00187494" w:rsidP="0010095E">
            <w:pPr>
              <w:pStyle w:val="EPLogo"/>
            </w:pPr>
            <w:r w:rsidRPr="00576B31">
              <w:rPr>
                <w:noProof/>
                <w:lang w:val="en-GB"/>
              </w:rPr>
              <w:drawing>
                <wp:inline distT="0" distB="0" distL="0" distR="0" wp14:anchorId="051EFEE4" wp14:editId="11252B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71017E" w14:textId="77777777" w:rsidR="00D058B8" w:rsidRPr="00576B31" w:rsidRDefault="00D058B8" w:rsidP="004C5D52">
      <w:pPr>
        <w:pStyle w:val="LineTop"/>
      </w:pPr>
    </w:p>
    <w:p w14:paraId="2C52FB2B" w14:textId="77777777" w:rsidR="00680577" w:rsidRPr="00576B31" w:rsidRDefault="009B6329" w:rsidP="00680577">
      <w:pPr>
        <w:pStyle w:val="EPBodyTA1"/>
      </w:pPr>
      <w:r w:rsidRPr="00576B31">
        <w:t>ΚΕΙΜΕΝΑ ΠΟΥ ΕΓΚΡΙΘΗΚΑΝ</w:t>
      </w:r>
    </w:p>
    <w:p w14:paraId="067A6389" w14:textId="77777777" w:rsidR="00D058B8" w:rsidRPr="00576B31" w:rsidRDefault="00D058B8" w:rsidP="00D058B8">
      <w:pPr>
        <w:pStyle w:val="LineBottom"/>
      </w:pPr>
    </w:p>
    <w:p w14:paraId="20493A1D" w14:textId="4C666851" w:rsidR="009B6329" w:rsidRPr="00576B31" w:rsidRDefault="009B6329" w:rsidP="009B6329">
      <w:pPr>
        <w:pStyle w:val="ATHeading1"/>
      </w:pPr>
      <w:bookmarkStart w:id="1" w:name="TANumber"/>
      <w:r w:rsidRPr="00576B31">
        <w:t>P10_TA(2025)0</w:t>
      </w:r>
      <w:r w:rsidR="00576B31" w:rsidRPr="00576B31">
        <w:t>198</w:t>
      </w:r>
      <w:bookmarkEnd w:id="1"/>
    </w:p>
    <w:p w14:paraId="34473EFB" w14:textId="77777777" w:rsidR="009B6329" w:rsidRPr="00576B31" w:rsidRDefault="009B6329" w:rsidP="009B6329">
      <w:pPr>
        <w:pStyle w:val="ATHeading2"/>
      </w:pPr>
      <w:bookmarkStart w:id="2" w:name="title"/>
      <w:r w:rsidRPr="00576B31">
        <w:t>Απολογισμός των ευρωπαϊκών εκλογών του 2024</w:t>
      </w:r>
      <w:bookmarkEnd w:id="2"/>
    </w:p>
    <w:p w14:paraId="2C47F1DC" w14:textId="77777777" w:rsidR="009B6329" w:rsidRPr="00576B31" w:rsidRDefault="009B6329" w:rsidP="009B6329">
      <w:pPr>
        <w:rPr>
          <w:i/>
          <w:vanish/>
        </w:rPr>
      </w:pPr>
      <w:r w:rsidRPr="00576B31">
        <w:rPr>
          <w:i/>
        </w:rPr>
        <w:fldChar w:fldCharType="begin"/>
      </w:r>
      <w:r w:rsidRPr="00576B31">
        <w:rPr>
          <w:i/>
        </w:rPr>
        <w:instrText xml:space="preserve"> TC"(</w:instrText>
      </w:r>
      <w:bookmarkStart w:id="3" w:name="DocNumber"/>
      <w:r w:rsidRPr="00576B31">
        <w:rPr>
          <w:i/>
        </w:rPr>
        <w:instrText>A10-0156/2025</w:instrText>
      </w:r>
      <w:bookmarkEnd w:id="3"/>
      <w:r w:rsidRPr="00576B31">
        <w:rPr>
          <w:i/>
        </w:rPr>
        <w:instrText xml:space="preserve"> - Εισηγήτρια: Ľubica Karvašová)"\l3 \n&gt; \* MERGEFORMAT </w:instrText>
      </w:r>
      <w:r w:rsidRPr="00576B31">
        <w:rPr>
          <w:i/>
        </w:rPr>
        <w:fldChar w:fldCharType="end"/>
      </w:r>
    </w:p>
    <w:p w14:paraId="5F16541F" w14:textId="77777777" w:rsidR="009B6329" w:rsidRPr="00576B31" w:rsidRDefault="009B6329" w:rsidP="009B6329">
      <w:pPr>
        <w:rPr>
          <w:vanish/>
        </w:rPr>
      </w:pPr>
      <w:bookmarkStart w:id="4" w:name="Commission"/>
      <w:r w:rsidRPr="00576B31">
        <w:rPr>
          <w:vanish/>
        </w:rPr>
        <w:t>Επιτροπή Συνταγματικών Υποθέσεων</w:t>
      </w:r>
      <w:bookmarkEnd w:id="4"/>
    </w:p>
    <w:p w14:paraId="76A602DF" w14:textId="77777777" w:rsidR="009B6329" w:rsidRPr="00576B31" w:rsidRDefault="009B6329" w:rsidP="009B6329">
      <w:pPr>
        <w:rPr>
          <w:vanish/>
        </w:rPr>
      </w:pPr>
      <w:bookmarkStart w:id="5" w:name="PE"/>
      <w:r w:rsidRPr="00576B31">
        <w:rPr>
          <w:vanish/>
        </w:rPr>
        <w:t>PE768.033</w:t>
      </w:r>
      <w:bookmarkEnd w:id="5"/>
    </w:p>
    <w:p w14:paraId="59C92E81" w14:textId="44E35B28" w:rsidR="009B6329" w:rsidRPr="00576B31" w:rsidRDefault="009B6329" w:rsidP="009B6329">
      <w:pPr>
        <w:pStyle w:val="ATHeading3"/>
      </w:pPr>
      <w:bookmarkStart w:id="6" w:name="Sujet"/>
      <w:r w:rsidRPr="00576B31">
        <w:t xml:space="preserve">Ψήφισμα του Ευρωπαϊκού Κοινοβουλίου </w:t>
      </w:r>
      <w:r w:rsidR="000D5BD1" w:rsidRPr="00576B31">
        <w:t xml:space="preserve">της 11ης Σεπτεμβρίου 2025 </w:t>
      </w:r>
      <w:r w:rsidRPr="00576B31">
        <w:t>σχετικά με τον απολογισμό των ευρωπαϊκών εκλογών του 2024</w:t>
      </w:r>
      <w:bookmarkEnd w:id="6"/>
      <w:r w:rsidRPr="00576B31">
        <w:t xml:space="preserve"> </w:t>
      </w:r>
      <w:bookmarkStart w:id="7" w:name="References"/>
      <w:r w:rsidRPr="00576B31">
        <w:t>(2025/2012(INI))</w:t>
      </w:r>
      <w:bookmarkEnd w:id="7"/>
    </w:p>
    <w:p w14:paraId="535BB6F7" w14:textId="77777777" w:rsidR="00035F4F" w:rsidRPr="00576B31" w:rsidRDefault="00035F4F" w:rsidP="00035F4F">
      <w:pPr>
        <w:pStyle w:val="EPComma"/>
      </w:pPr>
      <w:r w:rsidRPr="00576B31">
        <w:rPr>
          <w:rStyle w:val="Italic"/>
        </w:rPr>
        <w:t>Το Ευρωπαϊκό Κοινοβούλιο</w:t>
      </w:r>
      <w:r w:rsidRPr="00576B31">
        <w:t>,</w:t>
      </w:r>
    </w:p>
    <w:p w14:paraId="00870936" w14:textId="77777777" w:rsidR="00035F4F" w:rsidRPr="00576B31" w:rsidRDefault="00035F4F" w:rsidP="00035F4F">
      <w:pPr>
        <w:pStyle w:val="NormalHanging12a"/>
      </w:pPr>
      <w:r w:rsidRPr="00576B31">
        <w:t>–</w:t>
      </w:r>
      <w:r w:rsidRPr="00576B31">
        <w:tab/>
        <w:t>έχοντας υπόψη τη Συνθήκη για την Ευρωπαϊκή Ένωση (ΣΕΕ), και ιδίως τα άρθρα 10, 14 και 17 παράγραφος 7,</w:t>
      </w:r>
    </w:p>
    <w:p w14:paraId="57790A2C" w14:textId="77777777" w:rsidR="00035F4F" w:rsidRPr="00576B31" w:rsidRDefault="00035F4F" w:rsidP="00035F4F">
      <w:pPr>
        <w:pStyle w:val="NormalHanging12a"/>
      </w:pPr>
      <w:r w:rsidRPr="00576B31">
        <w:t>–</w:t>
      </w:r>
      <w:r w:rsidRPr="00576B31">
        <w:tab/>
        <w:t>έχοντας υπόψη τη Συνθήκη για τη λειτουργία της Ευρωπαϊκής Ένωσης (ΣΛΕΕ), και ιδίως τα άρθρα 20 και 22,</w:t>
      </w:r>
    </w:p>
    <w:p w14:paraId="5988249B" w14:textId="77777777" w:rsidR="00035F4F" w:rsidRPr="00576B31" w:rsidRDefault="00035F4F" w:rsidP="00035F4F">
      <w:pPr>
        <w:pStyle w:val="NormalHanging12a"/>
      </w:pPr>
      <w:r w:rsidRPr="00576B31">
        <w:t>–</w:t>
      </w:r>
      <w:r w:rsidRPr="00576B31">
        <w:tab/>
        <w:t>έχοντας υπόψη τον Χάρτη των Θεμελιωδών Δικαιωμάτων της Ευρωπαϊκής Ένωσης, και ιδίως τα άρθρα 21, 39 και 52 παράγραφος 1,</w:t>
      </w:r>
    </w:p>
    <w:p w14:paraId="56F145D1" w14:textId="77777777" w:rsidR="00035F4F" w:rsidRPr="00576B31" w:rsidRDefault="00035F4F" w:rsidP="00035F4F">
      <w:pPr>
        <w:pStyle w:val="NormalHanging12a"/>
      </w:pPr>
      <w:r w:rsidRPr="00576B31">
        <w:t>–</w:t>
      </w:r>
      <w:r w:rsidRPr="00576B31">
        <w:tab/>
        <w:t>έχοντας υπόψη τη δήλωση όσον αφορά το άρθρο 17 παράγραφοι 6 και 7 της Συνθήκης για την Ευρωπαϊκή Ένωση, που προσαρτάται στην Τελική Πράξη της Διακυβερνητικής Διάσκεψης η οποία υιοθέτησε τη Συνθήκη της Λισαβόνας,</w:t>
      </w:r>
    </w:p>
    <w:p w14:paraId="01105845" w14:textId="77777777" w:rsidR="00035F4F" w:rsidRPr="00576B31" w:rsidRDefault="00035F4F" w:rsidP="00035F4F">
      <w:pPr>
        <w:pStyle w:val="NormalHanging12a"/>
      </w:pPr>
      <w:r w:rsidRPr="00576B31">
        <w:t>–</w:t>
      </w:r>
      <w:r w:rsidRPr="00576B31">
        <w:tab/>
        <w:t>έχοντας υπόψη το Διεθνές Σύμφωνο για τα ατομικά και πολιτικά δικαιώματα, και ιδίως το άρθρο 25,</w:t>
      </w:r>
    </w:p>
    <w:p w14:paraId="6B16ED69" w14:textId="77777777" w:rsidR="00035F4F" w:rsidRPr="00576B31" w:rsidRDefault="00035F4F" w:rsidP="00035F4F">
      <w:pPr>
        <w:pStyle w:val="NormalHanging12a"/>
      </w:pPr>
      <w:r w:rsidRPr="00576B31">
        <w:t>–</w:t>
      </w:r>
      <w:r w:rsidRPr="00576B31">
        <w:tab/>
        <w:t>έχοντας υπόψη τη Σύμβαση των Ηνωμένων Εθνών για τα Δικαιώματα των Ατόμων με Αναπηρία (ΣΗΕΔΑΑ), και ιδίως το άρθρο 29,</w:t>
      </w:r>
    </w:p>
    <w:p w14:paraId="699EC4A3" w14:textId="77777777" w:rsidR="00035F4F" w:rsidRPr="00576B31" w:rsidRDefault="00035F4F" w:rsidP="00035F4F">
      <w:pPr>
        <w:pStyle w:val="NormalHanging12a"/>
      </w:pPr>
      <w:r w:rsidRPr="00576B31">
        <w:t>–</w:t>
      </w:r>
      <w:r w:rsidRPr="00576B31">
        <w:tab/>
        <w:t>έχοντας υπόψη την οδηγία 93/109/ΕΚ του Συμβουλίου, της 6ης Δεκεμβρίου 1993, για τις λεπτομέρειες άσκησης του δικαιώματος του εκλέγειν και του εκλέγεσθαι κατά τις εκλογές του Ευρωπαϊκού Κοινοβουλίου από τους πολίτες της Ένωσης που κατοικούν σε ένα κράτος μέλος του οποίου δεν είναι υπήκοοι</w:t>
      </w:r>
      <w:r w:rsidRPr="00576B31">
        <w:rPr>
          <w:rStyle w:val="FootnoteReference"/>
          <w:color w:val="000000"/>
        </w:rPr>
        <w:footnoteReference w:id="1"/>
      </w:r>
      <w:r w:rsidRPr="00576B31">
        <w:t>,</w:t>
      </w:r>
    </w:p>
    <w:p w14:paraId="0AEA9163" w14:textId="77777777" w:rsidR="00035F4F" w:rsidRPr="00576B31" w:rsidRDefault="00035F4F" w:rsidP="00035F4F">
      <w:pPr>
        <w:pStyle w:val="NormalHanging12a"/>
      </w:pPr>
      <w:r w:rsidRPr="00576B31">
        <w:t>–</w:t>
      </w:r>
      <w:r w:rsidRPr="00576B31">
        <w:tab/>
        <w:t>έχοντας υπόψη την απόφαση (ΕΕ, Ευρατόμ) 2018/994 του Συμβουλίου, της 13ης Ιουλίου 2018, για την τροποποίηση της πράξης περί εκλογής των μελών του Ευρωπαϊκού Κοινοβουλίου με άμεση και καθολική ψηφοφορία, που προσαρτάται στην απόφαση 76/787/ΕΚΑΧ, ΕΟΚ, Ευρατόμ της 20ής Σεπτεμβρίου 1976 του Συμβουλίου</w:t>
      </w:r>
      <w:r w:rsidRPr="00576B31">
        <w:rPr>
          <w:rStyle w:val="FootnoteReference"/>
          <w:color w:val="000000"/>
        </w:rPr>
        <w:footnoteReference w:id="2"/>
      </w:r>
      <w:r w:rsidRPr="00576B31">
        <w:t>,</w:t>
      </w:r>
    </w:p>
    <w:p w14:paraId="63D83338" w14:textId="77777777" w:rsidR="00035F4F" w:rsidRPr="00576B31" w:rsidRDefault="00035F4F" w:rsidP="00035F4F">
      <w:pPr>
        <w:pStyle w:val="NormalHanging12a"/>
      </w:pPr>
      <w:r w:rsidRPr="00576B31">
        <w:lastRenderedPageBreak/>
        <w:t>–</w:t>
      </w:r>
      <w:r w:rsidRPr="00576B31">
        <w:tab/>
        <w:t>έχοντας υπόψη τον κανονισμό (EE, Ευρατόμ) αριθ. 1141/2014 του Ευρωπαϊκού Κοινοβουλίου και του Συμβουλίου, της 22ας Οκτωβρίου 2014, σχετικά με το καθεστώς και τη χρηματοδότηση των ευρωπαϊκών πολιτικών κομμάτων και των ευρωπαϊκών πολιτικών ιδρυμάτων</w:t>
      </w:r>
      <w:r w:rsidRPr="00576B31">
        <w:rPr>
          <w:rStyle w:val="FootnoteReference"/>
          <w:color w:val="000000"/>
        </w:rPr>
        <w:footnoteReference w:id="3"/>
      </w:r>
      <w:r w:rsidRPr="00576B31">
        <w:t>,</w:t>
      </w:r>
    </w:p>
    <w:p w14:paraId="7831C448" w14:textId="77777777" w:rsidR="00035F4F" w:rsidRPr="00576B31" w:rsidRDefault="00035F4F" w:rsidP="00035F4F">
      <w:pPr>
        <w:pStyle w:val="NormalHanging12a"/>
      </w:pPr>
      <w:r w:rsidRPr="00576B31">
        <w:t>–</w:t>
      </w:r>
      <w:r w:rsidRPr="00576B31">
        <w:tab/>
        <w:t>έχοντας υπόψη τις τροπολογίες που ενέκρινε στις 15 Σεπτεμβρίου 2022, στην πρόταση κανονισμού του Ευρωπαϊκού Κοινοβουλίου και του Συμβουλίου που αφορά το καθεστώς και τη χρηματοδότηση των ευρωπαϊκών πολιτικών κομμάτων και των ευρωπαϊκών πολιτικών ιδρυμάτων</w:t>
      </w:r>
      <w:r w:rsidRPr="00576B31">
        <w:rPr>
          <w:rStyle w:val="FootnoteReference"/>
          <w:color w:val="000000"/>
        </w:rPr>
        <w:footnoteReference w:id="4"/>
      </w:r>
      <w:r w:rsidRPr="00576B31">
        <w:t>,</w:t>
      </w:r>
    </w:p>
    <w:p w14:paraId="2843EF4D" w14:textId="0365DB08" w:rsidR="00035F4F" w:rsidRPr="00576B31" w:rsidRDefault="00035F4F" w:rsidP="00035F4F">
      <w:pPr>
        <w:pStyle w:val="NormalHanging12a"/>
      </w:pPr>
      <w:r w:rsidRPr="00576B31">
        <w:t>–</w:t>
      </w:r>
      <w:r w:rsidRPr="00576B31">
        <w:tab/>
        <w:t xml:space="preserve">έχοντας υπόψη την πρόταση της Επιτροπής, της 25ης Νοεμβρίου 2021, σχετικά με την πρόταση οδηγίας του Συμβουλίου για τις λεπτομέρειες άσκησης του δικαιώματος του εκλέγειν και του εκλέγεσθαι κατά τις εκλογές του Ευρωπαϊκού Κοινοβουλίου από τους πολίτες της Ένωσης που κατοικούν σε ένα κράτος μέλος του οποίου δεν είναι υπήκοοι </w:t>
      </w:r>
      <w:r w:rsidR="00D573B3" w:rsidRPr="00576B31">
        <w:t>(</w:t>
      </w:r>
      <w:r w:rsidRPr="00576B31">
        <w:t>COM(2021)0732)</w:t>
      </w:r>
      <w:r w:rsidRPr="00576B31">
        <w:rPr>
          <w:shd w:val="clear" w:color="auto" w:fill="FFFFFF"/>
        </w:rPr>
        <w:t>,</w:t>
      </w:r>
    </w:p>
    <w:p w14:paraId="51401B3D" w14:textId="77777777" w:rsidR="00035F4F" w:rsidRPr="00576B31" w:rsidRDefault="00035F4F" w:rsidP="00035F4F">
      <w:pPr>
        <w:pStyle w:val="NormalHanging12a"/>
      </w:pPr>
      <w:r w:rsidRPr="00576B31">
        <w:t>–</w:t>
      </w:r>
      <w:r w:rsidRPr="00576B31">
        <w:tab/>
        <w:t>έχοντας υπόψη τον κανονισμό (ΕΕ) 2024/900 του Ευρωπαϊκού Κοινοβουλίου και του Συμβουλίου, της 13ης Μαρτίου 2024, σχετικά με τη διαφάνεια και τη στόχευση της πολιτικής διαφημιστικής προβολής</w:t>
      </w:r>
      <w:r w:rsidRPr="00576B31">
        <w:rPr>
          <w:rStyle w:val="FootnoteReference"/>
          <w:color w:val="000000"/>
        </w:rPr>
        <w:footnoteReference w:id="5"/>
      </w:r>
      <w:r w:rsidRPr="00576B31">
        <w:t>,</w:t>
      </w:r>
    </w:p>
    <w:p w14:paraId="2361CAD4" w14:textId="77777777" w:rsidR="00035F4F" w:rsidRPr="00576B31" w:rsidRDefault="00035F4F" w:rsidP="00035F4F">
      <w:pPr>
        <w:pStyle w:val="NormalHanging12a"/>
      </w:pPr>
      <w:r w:rsidRPr="00576B31">
        <w:t>–</w:t>
      </w:r>
      <w:r w:rsidRPr="00576B31">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576B31">
        <w:rPr>
          <w:rStyle w:val="FootnoteReference"/>
          <w:color w:val="000000"/>
        </w:rPr>
        <w:footnoteReference w:id="6"/>
      </w:r>
      <w:r w:rsidRPr="00576B31">
        <w:t>,</w:t>
      </w:r>
    </w:p>
    <w:p w14:paraId="79AEEE6B" w14:textId="77777777" w:rsidR="00035F4F" w:rsidRPr="00576B31" w:rsidRDefault="00035F4F" w:rsidP="00035F4F">
      <w:pPr>
        <w:pStyle w:val="NormalHanging12a"/>
      </w:pPr>
      <w:r w:rsidRPr="00576B31">
        <w:t>–</w:t>
      </w:r>
      <w:r w:rsidRPr="00576B31">
        <w:tab/>
        <w:t>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w:t>
      </w:r>
      <w:r w:rsidRPr="00576B31">
        <w:rPr>
          <w:rStyle w:val="FootnoteReference"/>
          <w:color w:val="000000"/>
        </w:rPr>
        <w:footnoteReference w:id="7"/>
      </w:r>
      <w:r w:rsidRPr="00576B31">
        <w:t>,</w:t>
      </w:r>
    </w:p>
    <w:p w14:paraId="46FD830B" w14:textId="77777777" w:rsidR="00035F4F" w:rsidRPr="00576B31" w:rsidRDefault="00035F4F" w:rsidP="00035F4F">
      <w:pPr>
        <w:pStyle w:val="NormalHanging12a"/>
      </w:pPr>
      <w:r w:rsidRPr="00576B31">
        <w:t>–</w:t>
      </w:r>
      <w:r w:rsidRPr="00576B31">
        <w:tab/>
        <w:t>έχοντας υπόψη τη συμφωνία συνεργασίας μεταξύ του Ευρωπαϊκού Κοινοβουλίου και της Ευρωπαϊκής Επιτροπής των Περιφερειών, της 13ης Μαΐου 2024,</w:t>
      </w:r>
    </w:p>
    <w:p w14:paraId="069926B9" w14:textId="77777777" w:rsidR="00035F4F" w:rsidRPr="00576B31" w:rsidRDefault="00035F4F" w:rsidP="00035F4F">
      <w:pPr>
        <w:pStyle w:val="NormalHanging12a"/>
      </w:pPr>
      <w:r w:rsidRPr="00576B31">
        <w:t>–</w:t>
      </w:r>
      <w:r w:rsidRPr="00576B31">
        <w:tab/>
        <w:t>έχοντας υπόψη το μνημόνιο συμφωνίας μεταξύ του Ευρωπαϊκού Κοινοβουλίου και της Ευρωπαϊκής Επιτροπής των Περιφερειών, της 28ης Φεβρουαρίου 2024, για τη συνεργασία ενόψει των εκλογών του 2024,</w:t>
      </w:r>
    </w:p>
    <w:p w14:paraId="3C6F45FF" w14:textId="77777777" w:rsidR="00035F4F" w:rsidRPr="00576B31" w:rsidRDefault="00035F4F" w:rsidP="00035F4F">
      <w:pPr>
        <w:pStyle w:val="NormalHanging12a"/>
      </w:pPr>
      <w:r w:rsidRPr="00576B31">
        <w:t>–</w:t>
      </w:r>
      <w:r w:rsidRPr="00576B31">
        <w:tab/>
        <w:t xml:space="preserve">έχοντας υπόψη τη θέση του, της 3ης Μαΐου 2022, σχετικά με την πρόταση κανονισμού του Συμβουλίου για την εκλογή των μελών του Ευρωπαϊκού Κοινοβουλίου με άμεση καθολική ψηφοφορία, την κατάργηση της απόφασης 76/787/ΕΚΑΧ, ΕΟΚ, Ευρατόμ του Συμβουλίου και της πράξης περί εκλογής των μελών του Ευρωπαϊκού </w:t>
      </w:r>
      <w:r w:rsidRPr="00576B31">
        <w:lastRenderedPageBreak/>
        <w:t>Κοινοβουλίου με άμεση και καθολική ψηφοφορία, που προσαρτάται σε αυτήν την απόφαση</w:t>
      </w:r>
      <w:r w:rsidRPr="00576B31">
        <w:rPr>
          <w:rStyle w:val="FootnoteReference"/>
        </w:rPr>
        <w:footnoteReference w:id="8"/>
      </w:r>
      <w:r w:rsidRPr="00576B31">
        <w:t>,</w:t>
      </w:r>
    </w:p>
    <w:p w14:paraId="13DD29B9" w14:textId="77777777" w:rsidR="00035F4F" w:rsidRPr="00576B31" w:rsidRDefault="00035F4F" w:rsidP="00035F4F">
      <w:pPr>
        <w:pStyle w:val="NormalHanging12a"/>
      </w:pPr>
      <w:r w:rsidRPr="00576B31">
        <w:t>–</w:t>
      </w:r>
      <w:r w:rsidRPr="00576B31">
        <w:tab/>
        <w:t>έχοντας υπόψη το ψήφισμά του της 26ης Νοεμβρίου 2020 σχετικά με τον απολογισμό των ευρωπαϊκών εκλογών</w:t>
      </w:r>
      <w:r w:rsidRPr="00576B31">
        <w:rPr>
          <w:rStyle w:val="FootnoteReference"/>
          <w:color w:val="000000"/>
        </w:rPr>
        <w:footnoteReference w:id="9"/>
      </w:r>
      <w:r w:rsidRPr="00576B31">
        <w:t>,</w:t>
      </w:r>
    </w:p>
    <w:p w14:paraId="269648C5" w14:textId="77777777" w:rsidR="00035F4F" w:rsidRPr="00576B31" w:rsidRDefault="00035F4F" w:rsidP="00035F4F">
      <w:pPr>
        <w:pStyle w:val="NormalHanging12a"/>
      </w:pPr>
      <w:r w:rsidRPr="00576B31">
        <w:t>–</w:t>
      </w:r>
      <w:r w:rsidRPr="00576B31">
        <w:tab/>
        <w:t>έχοντας υπόψη το ψήφισμά του της 12ης Δεκεμβρίου 2023 σχετικά με τις ευρωπαϊκές εκλογές του 2024</w:t>
      </w:r>
      <w:r w:rsidRPr="00576B31">
        <w:rPr>
          <w:rStyle w:val="FootnoteReference"/>
          <w:color w:val="000000"/>
        </w:rPr>
        <w:footnoteReference w:id="10"/>
      </w:r>
      <w:r w:rsidRPr="00576B31">
        <w:t>,</w:t>
      </w:r>
    </w:p>
    <w:p w14:paraId="6E7267A2" w14:textId="77777777" w:rsidR="00035F4F" w:rsidRPr="00576B31" w:rsidRDefault="00035F4F" w:rsidP="00035F4F">
      <w:pPr>
        <w:pStyle w:val="NormalHanging12a"/>
      </w:pPr>
      <w:r w:rsidRPr="00576B31">
        <w:t>–</w:t>
      </w:r>
      <w:r w:rsidRPr="00576B31">
        <w:tab/>
        <w:t>έχοντας υπόψη την απόφασή του της 27ης Νοεμβρίου 2024 σχετικά με την εκλογή της Επιτροπής</w:t>
      </w:r>
      <w:r w:rsidRPr="00576B31">
        <w:rPr>
          <w:rStyle w:val="FootnoteReference"/>
        </w:rPr>
        <w:footnoteReference w:id="11"/>
      </w:r>
      <w:r w:rsidRPr="00576B31">
        <w:t>,</w:t>
      </w:r>
    </w:p>
    <w:p w14:paraId="35FEA94A" w14:textId="76806BFB" w:rsidR="00035F4F" w:rsidRPr="00576B31" w:rsidRDefault="00035F4F" w:rsidP="00035F4F">
      <w:pPr>
        <w:pStyle w:val="NormalHanging12a"/>
      </w:pPr>
      <w:r w:rsidRPr="00576B31">
        <w:t>–</w:t>
      </w:r>
      <w:r w:rsidRPr="00576B31">
        <w:tab/>
        <w:t>έχοντας υπόψη την ανακοίνωση της Επιτροπής, της 3ης Δεκεμβρίου 2020, με τίτλο «Ευρωπαϊκό σχέδιο δράσης για τη δημοκρατία» (</w:t>
      </w:r>
      <w:hyperlink r:id="rId9" w:history="1">
        <w:r w:rsidRPr="00576B31">
          <w:rPr>
            <w:rStyle w:val="Hyperlink"/>
            <w:color w:val="000000"/>
            <w:u w:val="none"/>
          </w:rPr>
          <w:t>COM(2020)0790</w:t>
        </w:r>
      </w:hyperlink>
      <w:r w:rsidRPr="00576B31">
        <w:t>) και την επακόλουθη δέσμη μέτρων για την προάσπιση της δημοκρατίας, του Δεκεμβρίου</w:t>
      </w:r>
      <w:r w:rsidR="00D573B3" w:rsidRPr="00576B31">
        <w:t xml:space="preserve"> του</w:t>
      </w:r>
      <w:r w:rsidRPr="00576B31">
        <w:t xml:space="preserve"> 2023,</w:t>
      </w:r>
    </w:p>
    <w:p w14:paraId="05B1440B" w14:textId="77777777" w:rsidR="00035F4F" w:rsidRPr="00576B31" w:rsidRDefault="00035F4F" w:rsidP="00035F4F">
      <w:pPr>
        <w:pStyle w:val="NormalHanging12a"/>
      </w:pPr>
      <w:r w:rsidRPr="00576B31">
        <w:t>–</w:t>
      </w:r>
      <w:r w:rsidRPr="00576B31">
        <w:tab/>
        <w:t>έχοντας υπόψη την απόφασή του της 18ης Δεκεμβρίου 2024 για τη σύσταση ειδικής επιτροπής για την Ευρωπαϊκή Ασπίδα Δημοκρατίας και τον καθορισμό των αρμοδιοτήτων, της αριθμητικής σύνθεσης και της διάρκειας της θητείας της</w:t>
      </w:r>
      <w:r w:rsidRPr="00576B31">
        <w:rPr>
          <w:rStyle w:val="FootnoteReference"/>
        </w:rPr>
        <w:footnoteReference w:id="12"/>
      </w:r>
      <w:r w:rsidRPr="00576B31">
        <w:t>,</w:t>
      </w:r>
    </w:p>
    <w:p w14:paraId="7C8C0A65" w14:textId="77777777" w:rsidR="00035F4F" w:rsidRPr="00576B31" w:rsidRDefault="00035F4F" w:rsidP="00035F4F">
      <w:pPr>
        <w:pStyle w:val="NormalHanging12a"/>
      </w:pPr>
      <w:r w:rsidRPr="00576B31">
        <w:t>–</w:t>
      </w:r>
      <w:r w:rsidRPr="00576B31">
        <w:tab/>
        <w:t>έχοντας υπόψη το ψήφισμά του της 22ας Νοεμβρίου 2023 σχετικά με σχέδιο του Ευρωπαϊκού Κοινοβουλίου για την τροποποίηση των Συνθηκών</w:t>
      </w:r>
      <w:r w:rsidRPr="00576B31">
        <w:rPr>
          <w:rStyle w:val="FootnoteReference"/>
          <w:color w:val="000000"/>
        </w:rPr>
        <w:footnoteReference w:id="13"/>
      </w:r>
      <w:r w:rsidRPr="00576B31">
        <w:t>,</w:t>
      </w:r>
    </w:p>
    <w:p w14:paraId="2377D1EF" w14:textId="1F0E912D" w:rsidR="00035F4F" w:rsidRPr="00576B31" w:rsidRDefault="00035F4F" w:rsidP="00035F4F">
      <w:pPr>
        <w:pStyle w:val="NormalHanging12a"/>
      </w:pPr>
      <w:r w:rsidRPr="00576B31">
        <w:t>–</w:t>
      </w:r>
      <w:r w:rsidRPr="00576B31">
        <w:tab/>
        <w:t xml:space="preserve">έχοντας υπόψη την έκθεση σχετικά με το τελικό αποτέλεσμα της Διάσκεψης για το Μέλλον της Ευρώπης, του Μαΐου </w:t>
      </w:r>
      <w:r w:rsidR="00D573B3" w:rsidRPr="00576B31">
        <w:t xml:space="preserve">του </w:t>
      </w:r>
      <w:r w:rsidRPr="00576B31">
        <w:t>2022,</w:t>
      </w:r>
    </w:p>
    <w:p w14:paraId="46BD806F" w14:textId="77777777" w:rsidR="00035F4F" w:rsidRPr="00576B31" w:rsidRDefault="00035F4F" w:rsidP="00035F4F">
      <w:pPr>
        <w:pStyle w:val="NormalHanging12a"/>
      </w:pPr>
      <w:r w:rsidRPr="00576B31">
        <w:t>–</w:t>
      </w:r>
      <w:r w:rsidRPr="00576B31">
        <w:tab/>
        <w:t>έχοντας υπόψη τη δέσμη μέτρων της Επιτροπής για τη διεύρυνση, της 30ής Οκτωβρίου 2024,</w:t>
      </w:r>
    </w:p>
    <w:p w14:paraId="6EF50E85" w14:textId="77777777" w:rsidR="00035F4F" w:rsidRPr="00576B31" w:rsidRDefault="00035F4F" w:rsidP="00035F4F">
      <w:pPr>
        <w:pStyle w:val="NormalHanging12a"/>
      </w:pPr>
      <w:r w:rsidRPr="00576B31">
        <w:t>–</w:t>
      </w:r>
      <w:r w:rsidRPr="00576B31">
        <w:tab/>
        <w:t>έχοντας υπόψη το άρθρο 55 του Κανονισμού του,</w:t>
      </w:r>
    </w:p>
    <w:p w14:paraId="4A3AE93F" w14:textId="77777777" w:rsidR="00035F4F" w:rsidRPr="00576B31" w:rsidRDefault="00035F4F" w:rsidP="00035F4F">
      <w:pPr>
        <w:pStyle w:val="NormalHanging12a"/>
      </w:pPr>
      <w:r w:rsidRPr="00576B31">
        <w:t>–</w:t>
      </w:r>
      <w:r w:rsidRPr="00576B31">
        <w:tab/>
        <w:t>έχοντας υπόψη την έκθεση της Επιτροπής Συνταγματικών Υποθέσεων (A10-0156/2025),</w:t>
      </w:r>
    </w:p>
    <w:p w14:paraId="5112E323" w14:textId="77777777" w:rsidR="00035F4F" w:rsidRPr="00576B31" w:rsidRDefault="00035F4F" w:rsidP="000D5BD1">
      <w:pPr>
        <w:pStyle w:val="NormalHanging12a"/>
        <w:ind w:hanging="566"/>
      </w:pPr>
      <w:r w:rsidRPr="00576B31">
        <w:t>Α.</w:t>
      </w:r>
      <w:r w:rsidRPr="00576B31">
        <w:tab/>
        <w:t>λαμβάνοντας υπόψη ότι οι ευρωπαϊκές εκλογές του 2024 κατέγραψαν το υψηλότερο ποσοστό εκλογικής συμμετοχής των τελευταίων 25 ετών για το Ευρωπαϊκό Κοινοβούλιο, στο 50,74 % του εκλογικού σώματος (ελαφρά αύξηση σε σύγκριση με το 2019 με 50,66 %), στέλνοντας θετικό και σημαντικό μήνυμα σχετικά με το ενδιαφέρον των ευρωπαίων πολιτών για τα ενωσιακά θέματα· λαμβάνοντας υπόψη ότι τα ποσοστά συμμετοχής διέφεραν σε μεγάλο βαθμό μεταξύ των κρατών μελών και κυμαίνονταν από 89,01 % έως 21,35 %,</w:t>
      </w:r>
      <w:r w:rsidRPr="00576B31">
        <w:rPr>
          <w:color w:val="00B050"/>
        </w:rPr>
        <w:t xml:space="preserve"> </w:t>
      </w:r>
      <w:r w:rsidRPr="00576B31">
        <w:t>γεγονός που υπογραμμίζει την ανάγκη για συνεχή πολιτική επένδυση στην εκλογική συμμετοχή σε ολόκληρη την ΕΕ·</w:t>
      </w:r>
    </w:p>
    <w:p w14:paraId="5CA099F8" w14:textId="77777777" w:rsidR="00035F4F" w:rsidRPr="00576B31" w:rsidRDefault="00035F4F" w:rsidP="000D5BD1">
      <w:pPr>
        <w:pStyle w:val="NormalHanging12a"/>
      </w:pPr>
      <w:r w:rsidRPr="00576B31">
        <w:lastRenderedPageBreak/>
        <w:t>Β.</w:t>
      </w:r>
      <w:r w:rsidRPr="00576B31">
        <w:tab/>
        <w:t>λαμβάνοντας υπόψη ότι οι εκλογές για το Ευρωπαϊκό Κοινοβούλιο του 2024 διεξήχθησαν ταυτόχρονα με βουλευτικές εκλογές σε δύο κράτη μέλη, με τοπικές και περιφερειακές εκλογές σε οκτώ κράτη μέλη και δημοψήφισμα σε ένα κράτος μέλος·</w:t>
      </w:r>
    </w:p>
    <w:p w14:paraId="183F9A49" w14:textId="77777777" w:rsidR="00035F4F" w:rsidRPr="00576B31" w:rsidRDefault="00035F4F" w:rsidP="000D5BD1">
      <w:pPr>
        <w:pStyle w:val="NormalHanging12a"/>
      </w:pPr>
      <w:r w:rsidRPr="00576B31">
        <w:t>Γ.</w:t>
      </w:r>
      <w:r w:rsidRPr="00576B31">
        <w:tab/>
        <w:t>λαμβάνοντας υπόψη ότι στα περισσότερα κράτη μέλη καταγράφηκε υψηλότερο ποσοστό εκλογικής συμμετοχής σε σύγκριση με τις προηγούμενες ευρωπαϊκές εκλογές·</w:t>
      </w:r>
    </w:p>
    <w:p w14:paraId="5B0E982B" w14:textId="77777777" w:rsidR="00035F4F" w:rsidRPr="00576B31" w:rsidRDefault="00035F4F" w:rsidP="000D5BD1">
      <w:pPr>
        <w:pStyle w:val="NormalHanging12a"/>
      </w:pPr>
      <w:r w:rsidRPr="00576B31">
        <w:t>Δ.</w:t>
      </w:r>
      <w:r w:rsidRPr="00576B31">
        <w:tab/>
        <w:t>λαμβάνοντας υπόψη ότι τα δικαιώματα ψήφου διευρύνθηκαν σε λίγα κράτη μέλη, μειώνοντας την ηλικία ψήφου στα 16 έτη, με αποτέλεσμα να προστεθούν συνολικά δύο εκατομμύρια άτομα με δικαίωμα ψήφου κάτω των 18 ετών· λαμβάνοντας υπόψη ότι ορισμένα κράτη μέλη μείωσαν το όριο ηλικίας για τους υποψηφίους στα 18 έτη, ενώ σε άλλα το όριο αυτό παρέμεινε στα 25 έτη· λαμβάνοντας υπόψη ότι συνολικά έως και 25 εκατομμύρια νέοι ψήφισαν για πρώτη φορά·</w:t>
      </w:r>
    </w:p>
    <w:p w14:paraId="59F0858F" w14:textId="77777777" w:rsidR="00035F4F" w:rsidRPr="00576B31" w:rsidRDefault="00035F4F" w:rsidP="000D5BD1">
      <w:pPr>
        <w:spacing w:after="240"/>
        <w:ind w:left="567" w:hanging="567"/>
      </w:pPr>
      <w:r w:rsidRPr="00576B31">
        <w:t>Ε.</w:t>
      </w:r>
      <w:r w:rsidRPr="00576B31">
        <w:tab/>
        <w:t>λαμβάνοντας υπόψη ότι, σύμφωνα με την μετεκλογική έρευνα του Ευρωβαρόμετρου, η συμμετοχή των νέων στις ευρωπαϊκές εκλογές (κάτω των 25 ετών) μειώθηκε κατά 6 % σε σύγκριση με τις εκλογές του 2019, σημειώνοντας πτώση από 42 % το 2019 σε 36 % το 2024· λαμβάνοντας υπόψη ότι η συμμετοχή των νέων θα πρέπει να παραμείνει κομβικό σημείο των πολιτικών προσπαθειών κατά τα επόμενα έτη·</w:t>
      </w:r>
    </w:p>
    <w:p w14:paraId="77777775" w14:textId="77777777" w:rsidR="00035F4F" w:rsidRPr="00576B31" w:rsidRDefault="00035F4F" w:rsidP="000D5BD1">
      <w:pPr>
        <w:spacing w:after="240"/>
        <w:ind w:left="567" w:hanging="567"/>
      </w:pPr>
      <w:r w:rsidRPr="00576B31">
        <w:t>ΣΤ.</w:t>
      </w:r>
      <w:r w:rsidRPr="00576B31">
        <w:tab/>
        <w:t>λαμβάνοντας υπόψη ότι δεν υπάρχουν επαρκή ενιαία και αναλυτικά δεδομένα σχετικά με τη συμμετοχή ευάλωτων ομάδων ή τη χρήση εναλλακτικών μεθόδων ψηφοφορίας· λαμβάνοντας υπόψη ότι τα εθνικά πλαίσια για τη συλλογή δεδομένων σχετικά με τις ευρωπαϊκές εκλογές θα πρέπει να εναρμονιστούν περαιτέρω για την υποστήριξη τεκμηριωμένων λύσεων πολιτικής σε επίπεδο ΕΕ·</w:t>
      </w:r>
    </w:p>
    <w:p w14:paraId="45EE8A50" w14:textId="19BF1F71" w:rsidR="00035F4F" w:rsidRPr="00576B31" w:rsidRDefault="00035F4F" w:rsidP="000D5BD1">
      <w:pPr>
        <w:spacing w:after="240"/>
        <w:ind w:left="567" w:hanging="567"/>
      </w:pPr>
      <w:r w:rsidRPr="00576B31">
        <w:t>Ζ.</w:t>
      </w:r>
      <w:r w:rsidRPr="00576B31">
        <w:tab/>
        <w:t>λαμβάνοντας υπόψη ότι περίπου 18</w:t>
      </w:r>
      <w:r w:rsidR="00D573B3" w:rsidRPr="00576B31">
        <w:t> </w:t>
      </w:r>
      <w:r w:rsidRPr="00576B31">
        <w:t xml:space="preserve">400 υποψήφιοι και 490 κατάλογοι υποψηφίων υπήρχαν στα ψηφοδέλτια, οι οποίοι διεξήγαγαν εκστρατείες με διαφορετικές εκλογικές ρυθμίσεις που </w:t>
      </w:r>
      <w:proofErr w:type="spellStart"/>
      <w:r w:rsidRPr="00576B31">
        <w:t>διέπονταν</w:t>
      </w:r>
      <w:proofErr w:type="spellEnd"/>
      <w:r w:rsidRPr="00576B31">
        <w:t xml:space="preserve"> σε μεγάλο βαθμό από εθνικές διατάξεις σε όλα τα κράτη μέλη· λαμβάνοντας υπόψη ότι οι περίοδοι εγγραφής και εκστρατείας των υποψηφίων κυμαίνονταν από αρκετούς μήνες έως λίγες εβδομάδες· λαμβάνοντας υπόψη ότι δεν ήταν δυνατή η ανεξάρτητη ατομική θέση υποψηφιότητας σε εννέα κράτη μέλη·</w:t>
      </w:r>
    </w:p>
    <w:p w14:paraId="1B457D31" w14:textId="77777777" w:rsidR="00035F4F" w:rsidRPr="00576B31" w:rsidRDefault="00035F4F" w:rsidP="000D5BD1">
      <w:pPr>
        <w:pStyle w:val="NormalHanging12a"/>
      </w:pPr>
      <w:r w:rsidRPr="00576B31">
        <w:t>Η.</w:t>
      </w:r>
      <w:r w:rsidRPr="00576B31">
        <w:tab/>
        <w:t>λαμβάνοντας υπόψη ότι εξακολουθούν να υπάρχουν σημαντικές διαφορές στις ρυθμιστικές προσεγγίσεις και στους περιορισμούς μεταξύ των κρατών μελών όσον αφορά τα δικαιώματα ψήφου και υποψηφιότητας· λαμβάνοντας υπόψη ότι δεν έχουν ακόμη ολοκληρωθεί σημαντικές μεταρρυθμίσεις που αποσκοπούν στην ευθυγράμμιση των εκλογικών κανόνων και διαδικασιών σε ολόκληρη την Ένωση·</w:t>
      </w:r>
    </w:p>
    <w:p w14:paraId="53E07194" w14:textId="77777777" w:rsidR="00035F4F" w:rsidRPr="00576B31" w:rsidRDefault="00035F4F" w:rsidP="000D5BD1">
      <w:pPr>
        <w:pStyle w:val="NormalHanging12a"/>
      </w:pPr>
      <w:r w:rsidRPr="00576B31">
        <w:t>Θ.</w:t>
      </w:r>
      <w:r w:rsidRPr="00576B31">
        <w:tab/>
        <w:t>λαμβάνοντας υπόψη ότι, σύμφωνα με το πιο πρόσφατο Ευρωβαρόμετρο, στις ευρωπαϊκές εκλογές του 2024 οι πολίτες είχαν κίνητρο να ψηφίσουν για λόγους που αφορούσαν κοινά ευρωπαϊκά ζητήματα, όπως το κόστος ζωής, η οικονομία, η μετανάστευση, το κράτος δικαίου και η κλιματική αλλαγή· λαμβάνοντας υπόψη ότι στις εθνικές συζητήσεις τα ζητήματα αυτά συχνά προσεγγίζονται αποκλειστικά από τη σκοπιά της εθνικής πολιτικής· λαμβάνοντας υπόψη ότι τα πολιτικά κόμματα και οι υποψήφιοι έχουν την ευθύνη να ενημερώνουν επαρκώς τους πολίτες σχετικά με την πολιτική αντίδραση και διακυβέρνηση σε επίπεδο ΕΕ, συμπεριλαμβανομένης της ενημέρωσης των πολιτών σχετικά με τα ευρωπαϊκά πολιτικά κόμματα και τις πολιτικές ομάδες με τις οποίες συνδέονται στο Κοινοβούλιο·</w:t>
      </w:r>
    </w:p>
    <w:p w14:paraId="64721E1E" w14:textId="77777777" w:rsidR="00035F4F" w:rsidRPr="00576B31" w:rsidRDefault="00035F4F" w:rsidP="000D5BD1">
      <w:pPr>
        <w:pStyle w:val="NormalHanging12a"/>
      </w:pPr>
      <w:r w:rsidRPr="00576B31">
        <w:t>Ι.</w:t>
      </w:r>
      <w:r w:rsidRPr="00576B31">
        <w:tab/>
        <w:t>λαμβάνοντας υπόψη ότι, ελλείψει κεντρικού ευρωπαϊκού εκλογικού μητρώου, η ανταλλαγή δεδομένων μεταξύ των κρατών μελών σχετικά με πιθανές πολλαπλές καταχωρίσεις εξακολουθεί να αποτελεί πρόκληση, μεταξύ άλλων επειδή δεν υπάρχουν διαθέσιμα δεδομένα σχετικά με τη διπλή ιθαγένεια·</w:t>
      </w:r>
    </w:p>
    <w:p w14:paraId="08FA5F8F" w14:textId="77777777" w:rsidR="00035F4F" w:rsidRPr="00576B31" w:rsidRDefault="00035F4F" w:rsidP="000D5BD1">
      <w:pPr>
        <w:pStyle w:val="NormalHanging12a"/>
      </w:pPr>
      <w:r w:rsidRPr="00576B31">
        <w:t>ΙΑ.</w:t>
      </w:r>
      <w:r w:rsidRPr="00576B31">
        <w:tab/>
        <w:t>λαμβάνοντας υπόψη ότι ειδικά μέτρα προωθούν τη συμμετοχή στις εκλογές και την εκπροσώπηση υποεκπροσωπούμενων και ευάλωτων ομάδων· λαμβάνοντας υπόψη ότι 11 κράτη μέλη έχουν νομοθετήσει ποσόστωση για τις γυναίκες·</w:t>
      </w:r>
    </w:p>
    <w:p w14:paraId="0830B1B1" w14:textId="5851996A" w:rsidR="00035F4F" w:rsidRPr="00576B31" w:rsidRDefault="00035F4F" w:rsidP="000D5BD1">
      <w:pPr>
        <w:spacing w:after="240"/>
        <w:ind w:left="567" w:hanging="567"/>
      </w:pPr>
      <w:r w:rsidRPr="00576B31">
        <w:t>ΙΒ.</w:t>
      </w:r>
      <w:r w:rsidRPr="00576B31">
        <w:tab/>
        <w:t>λαμβάνοντας υπόψη ότι περίπου 11 εκατομμύρια πολίτες της ΕΕ που ζούσαν σε άλλο κράτος μέλος είχαν δικαίωμα ψήφου στη χώρα διαμονής τους· λαμβάνοντας υπόψη ότι εξακολουθούν να αντιμετωπίζουν διοικητικά εμπόδια στη συμμετοχή τους στη χώρα διαμονής τους· λαμβάνοντας υπόψη ότι η θέση του Κοινοβουλίου, της 14ης</w:t>
      </w:r>
      <w:r w:rsidR="00D573B3" w:rsidRPr="00576B31">
        <w:t> </w:t>
      </w:r>
      <w:r w:rsidRPr="00576B31">
        <w:t>Φεβρουαρίου 2023, η οποία αποσκοπούσε στην αντιμετώπιση αυτών των εμποδίων, αγνοήθηκε από το Συμβούλιο·</w:t>
      </w:r>
    </w:p>
    <w:p w14:paraId="3A6C561B" w14:textId="77777777" w:rsidR="00035F4F" w:rsidRPr="00576B31" w:rsidRDefault="00035F4F" w:rsidP="000D5BD1">
      <w:pPr>
        <w:pStyle w:val="NormalHanging12a"/>
      </w:pPr>
      <w:r w:rsidRPr="00576B31">
        <w:t>ΙΓ.</w:t>
      </w:r>
      <w:r w:rsidRPr="00576B31">
        <w:tab/>
        <w:t>λαμβάνοντας υπόψη ότι μια υγιής δημοκρατία βασίζεται στην πρόσβαση των ψηφοφόρων σε ευρύ φάσμα ιδεών, προοπτικών και πληροφοριών· λαμβάνοντας υπόψη ότι η ελευθερία του λόγου διασφαλίζει ότι οι υποψήφιοι, τα κόμματα, τα μέσα ενημέρωσης και οι πολίτες μπορούν να εκφράζουν απόψεις, να συζητούν πολιτικές και να μοιράζονται ελεύθερα πληροφορίες, βοηθώντας έτσι τους ψηφοφόρους να προβαίνουν σε τεκμηριωμένες επιλογές·</w:t>
      </w:r>
    </w:p>
    <w:p w14:paraId="69300D9E" w14:textId="77777777" w:rsidR="00035F4F" w:rsidRPr="00576B31" w:rsidRDefault="00035F4F" w:rsidP="000D5BD1">
      <w:pPr>
        <w:spacing w:after="240"/>
        <w:ind w:left="567" w:hanging="567"/>
      </w:pPr>
      <w:r w:rsidRPr="00576B31">
        <w:t>ΙΔ.</w:t>
      </w:r>
      <w:r w:rsidRPr="00576B31">
        <w:tab/>
        <w:t>λαμβάνοντας υπόψη ότι μια υγιής πολιτική συζήτηση επηρεάζεται αρνητικά από την παραπληροφόρηση·</w:t>
      </w:r>
      <w:r w:rsidRPr="00576B31">
        <w:rPr>
          <w:color w:val="00B050"/>
        </w:rPr>
        <w:t xml:space="preserve"> </w:t>
      </w:r>
      <w:r w:rsidRPr="00576B31">
        <w:t xml:space="preserve">λαμβάνοντας υπόψη ότι η διάδοση της παραπληροφόρησης, συμπεριλαμβανομένων, μεταξύ άλλων, των μέσων κοινωνικής δικτύωσης, εξακολουθεί να συνιστά αυξανόμενη συστημική απειλή για τις ευρωπαϊκές εκλογικές και δημοκρατικές διαδικασίες· λαμβάνοντας υπόψη ότι η Επιτροπή κίνησε διαδικασίες επί </w:t>
      </w:r>
      <w:proofErr w:type="spellStart"/>
      <w:r w:rsidRPr="00576B31">
        <w:t>παραβάσει</w:t>
      </w:r>
      <w:proofErr w:type="spellEnd"/>
      <w:r w:rsidRPr="00576B31">
        <w:t xml:space="preserve"> και ξεκίνησε έρευνες κατά ορισμένων μεγάλων επιγραμμικών πλατφορμών, μεταξύ άλλων για παραπλανητική πολιτική διαφήμιση και έλλειψη παρακολούθησης και ελέγχου περιεχομένου, λόγω της έλλειψης διορισμού εθνικών συντονιστών ψηφιακών υπηρεσιών ή της έλλειψης εξουσιοδότησης των αρμόδιων φορέων για την εκτέλεση των καθηκόντων που απαιτούνται από την πράξη για τις ψηφιακές υπηρεσίες· λαμβάνοντας υπόψη ότι, ειδικότερα, η πλατφόρμα μέσων κοινωνικής δικτύωσης X (πρώην Twitter) και ο ιδιοκτήτης της </w:t>
      </w:r>
      <w:proofErr w:type="spellStart"/>
      <w:r w:rsidRPr="00576B31">
        <w:t>Elon</w:t>
      </w:r>
      <w:proofErr w:type="spellEnd"/>
      <w:r w:rsidRPr="00576B31">
        <w:t xml:space="preserve"> </w:t>
      </w:r>
      <w:proofErr w:type="spellStart"/>
      <w:r w:rsidRPr="00576B31">
        <w:t>Musk</w:t>
      </w:r>
      <w:proofErr w:type="spellEnd"/>
      <w:r w:rsidRPr="00576B31">
        <w:t xml:space="preserve"> εξακολουθούν να αψηφούν ανοιχτά τις ρυθμιστικές αρχές της ΕΕ μέσω της εταιρικής πολιτικής και επικοινωνίας τους· </w:t>
      </w:r>
    </w:p>
    <w:p w14:paraId="73874EFF" w14:textId="77777777" w:rsidR="00035F4F" w:rsidRPr="00576B31" w:rsidRDefault="00035F4F" w:rsidP="000D5BD1">
      <w:pPr>
        <w:pStyle w:val="NormalHanging12a"/>
      </w:pPr>
      <w:r w:rsidRPr="00576B31">
        <w:t>ΙΕ.</w:t>
      </w:r>
      <w:r w:rsidRPr="00576B31">
        <w:tab/>
        <w:t>λαμβάνοντας υπόψη ότι οι περισσότερες από τις διατάξεις του νέου κανονισμού (ΕΕ) 2024/900 σχετικά με τη διαφάνεια και τη στόχευση της πολιτικής διαφήμισης δεν είχαν ακόμη τεθεί σε ισχύ όταν πραγματοποιήθηκαν οι ευρωπαϊκές εκλογές· λαμβάνοντας υπόψη ότι ο κανονισμός αυτός αναμένεται να συμπληρώσει την πράξη για τις ψηφιακές υπηρεσίες και θα ενισχύσει την ανθεκτικότητα της ΕΕ στις εκλογικές παρεμβάσεις·</w:t>
      </w:r>
    </w:p>
    <w:p w14:paraId="28EE7C5B" w14:textId="77777777" w:rsidR="00035F4F" w:rsidRPr="00576B31" w:rsidRDefault="00035F4F" w:rsidP="000D5BD1">
      <w:pPr>
        <w:spacing w:after="240"/>
        <w:ind w:left="567" w:hanging="567"/>
        <w:rPr>
          <w:sz w:val="22"/>
        </w:rPr>
      </w:pPr>
      <w:r w:rsidRPr="00576B31">
        <w:t>ΙΣΤ.</w:t>
      </w:r>
      <w:r w:rsidRPr="00576B31">
        <w:tab/>
        <w:t>λαμβάνοντας υπόψη ότι η βελτίωση της εκπροσώπησης των ατόμων με αναπηρία στο Κοινοβούλιο είναι ζωτικής σημασίας για την προώθηση ενός πραγματικά συμπεριληπτικού και ποικιλόμορφου νομοθετικού σώματος·</w:t>
      </w:r>
    </w:p>
    <w:p w14:paraId="1A04BC9C" w14:textId="77777777" w:rsidR="00035F4F" w:rsidRPr="00576B31" w:rsidRDefault="00035F4F" w:rsidP="000D5BD1">
      <w:pPr>
        <w:spacing w:after="240"/>
        <w:ind w:left="567" w:hanging="567"/>
      </w:pPr>
      <w:r w:rsidRPr="00576B31">
        <w:t xml:space="preserve">ΙΖ. </w:t>
      </w:r>
      <w:r w:rsidRPr="00576B31">
        <w:tab/>
        <w:t>λαμβάνοντας υπόψη ότι οι νέοι Ευρωπαίοι αποτελούν το 25 % του συνολικού πληθυσμού της ΕΕ, ενώ μόνο το 10 % των εδρών στο Κοινοβούλιο καταλαμβάνονται από εκλεγμένους βουλευτές ηλικίας κάτω των 30 ετών·</w:t>
      </w:r>
    </w:p>
    <w:p w14:paraId="05330641" w14:textId="77777777" w:rsidR="00035F4F" w:rsidRPr="00576B31" w:rsidRDefault="00035F4F" w:rsidP="000D5BD1">
      <w:pPr>
        <w:spacing w:after="240"/>
        <w:ind w:left="567" w:hanging="567"/>
      </w:pPr>
      <w:r w:rsidRPr="00576B31">
        <w:t>ΙΗ.</w:t>
      </w:r>
      <w:r w:rsidRPr="00576B31">
        <w:tab/>
        <w:t>λαμβάνοντας υπόψη ότι οι εκλογές του 2024 καταδεικνύουν συνολική μείωση της εκπροσώπησης των γυναικών σε ολόκληρο το Κοινοβούλιο, με τις γυναίκες να κατέχουν σήμερα περίπου το 38,6 % των εδρών σε σχέση με το 40 % το 2019·</w:t>
      </w:r>
    </w:p>
    <w:p w14:paraId="7FD19A2A" w14:textId="0A876014" w:rsidR="00035F4F" w:rsidRPr="00576B31" w:rsidRDefault="00035F4F" w:rsidP="00035F4F">
      <w:pPr>
        <w:pStyle w:val="NormalHanging12a"/>
      </w:pPr>
      <w:r w:rsidRPr="00576B31">
        <w:t>ΙΘ.</w:t>
      </w:r>
      <w:r w:rsidRPr="00576B31">
        <w:tab/>
        <w:t xml:space="preserve">λαμβάνοντας υπόψη ότι η πρόσφατη γεωπολιτική αναταραχή, συμπεριλαμβανομένης της πανδημίας </w:t>
      </w:r>
      <w:r w:rsidR="000D5BD1" w:rsidRPr="00576B31">
        <w:t xml:space="preserve">της </w:t>
      </w:r>
      <w:r w:rsidRPr="00576B31">
        <w:t>COVID-19, ο απρόκλητος και αδικαιολόγητος επιθετικός πόλεμος πλήρους κλίμακας της Ρωσίας κατά της Ουκρανίας και η ανησυχητική αλλαγή στις διατλαντικές σχέσεις αποτέλεσαν καταλύτη για αφηγήματα παραπληροφόρησης·</w:t>
      </w:r>
    </w:p>
    <w:p w14:paraId="2714391E" w14:textId="5360DA53" w:rsidR="00035F4F" w:rsidRPr="00576B31" w:rsidRDefault="00035F4F" w:rsidP="00035F4F">
      <w:pPr>
        <w:pStyle w:val="NormalHanging12a"/>
      </w:pPr>
      <w:r w:rsidRPr="00576B31">
        <w:t>Κ.</w:t>
      </w:r>
      <w:r w:rsidRPr="00576B31">
        <w:tab/>
        <w:t xml:space="preserve">λαμβάνοντας υπόψη ότι η επικείμενη διεύρυνση θα απαιτήσει ριζική μεταρρύθμιση του θεσμικού πλαισίου της Ένωσης, ενδεχομένως επεκτεινόμενη και στο εκλογικό της πλαίσιο· λαμβάνοντας υπόψη ότι μια Ένωση με περισσότερα από 30 κράτη μέλη μπορεί να αποτελέσει σημαντικό και ανεξάρτητο παγκόσμιο παίκτη και μπορεί να λειτουργήσει σωστά μόνο εάν η διαδικασία λήψης αποφάσεων καταστεί λιγότερο γραφειοκρατική και πιο αποτελεσματική και βασίζεται σε μια πραγματικά ευρωπαϊκή, διακρατική και κοινή δημοκρατική σφαίρα· </w:t>
      </w:r>
    </w:p>
    <w:p w14:paraId="4DDFF11D" w14:textId="77777777" w:rsidR="00035F4F" w:rsidRPr="00576B31" w:rsidRDefault="00035F4F" w:rsidP="00035F4F">
      <w:pPr>
        <w:pStyle w:val="NormalHanging12a"/>
      </w:pPr>
      <w:r w:rsidRPr="00576B31">
        <w:rPr>
          <w:rStyle w:val="BoldItalic"/>
          <w:color w:val="000000"/>
        </w:rPr>
        <w:t>Η ευρωπαϊκή δημοκρατία μετά τις ευρωπαϊκές εκλογές του 2024</w:t>
      </w:r>
    </w:p>
    <w:p w14:paraId="48D4DD09" w14:textId="2193E818" w:rsidR="00035F4F" w:rsidRPr="00576B31" w:rsidRDefault="00576B31" w:rsidP="00576B31">
      <w:pPr>
        <w:pStyle w:val="NormalHanging12a"/>
        <w:ind w:hanging="573"/>
      </w:pPr>
      <w:r w:rsidRPr="00576B31">
        <w:rPr>
          <w:szCs w:val="24"/>
        </w:rPr>
        <w:t>1.</w:t>
      </w:r>
      <w:r w:rsidRPr="00576B31">
        <w:rPr>
          <w:szCs w:val="24"/>
        </w:rPr>
        <w:tab/>
      </w:r>
      <w:r w:rsidR="00035F4F" w:rsidRPr="00576B31">
        <w:t xml:space="preserve">υπενθυμίζει ότι η καταλληλότητα και η ικανότητα της ΕΕ να αντιμετωπίσει τις προκλήσεις του 21ου αιώνα εξ ονόματος των πολιτών της εξαρτάται σε μεγάλο βαθμό από την ικανότητα να διατηρεί και να προωθεί υγιείς δημοκρατικές συζητήσεις, διασφαλίζοντας παράλληλα την ανθεκτικότητα και την ακεραιότητα των εκλογών και των δημοκρατικών διαδικασιών της· τονίζει ότι αυτές δεν μπορούν να θεωρηθούν δεδομένες και πρέπει να ενισχυθούν και να προστατευθούν μέσω ενός συνεκτικού πλαισίου πολιτικής· είναι πεπεισμένο ότι το έργο αυτό απέχει πολύ από το να ολοκληρωθεί και ότι πρέπει να ενταθούν οι προσπάθειες πολιτικής για την ενίσχυση της συμμετοχής στις εκλογές και για να καταστεί η Ένωση λιγότερο γραφειοκρατική, πιο δημοκρατική και αποτελεσματική στη λήψη αποφάσεων· </w:t>
      </w:r>
    </w:p>
    <w:p w14:paraId="29307AD6" w14:textId="347C59F5" w:rsidR="00035F4F" w:rsidRPr="00576B31" w:rsidRDefault="00576B31" w:rsidP="00576B31">
      <w:pPr>
        <w:pStyle w:val="NormalHanging12a"/>
        <w:ind w:hanging="573"/>
      </w:pPr>
      <w:r w:rsidRPr="00576B31">
        <w:rPr>
          <w:szCs w:val="24"/>
        </w:rPr>
        <w:t>2.</w:t>
      </w:r>
      <w:r w:rsidRPr="00576B31">
        <w:rPr>
          <w:szCs w:val="24"/>
        </w:rPr>
        <w:tab/>
      </w:r>
      <w:r w:rsidR="00035F4F" w:rsidRPr="00576B31">
        <w:t>εκφράζει την ικανοποίησή του για το σχετικά υψηλό ποσοστό συμμετοχής στις δέκατες ευρωπαϊκές εκλογές του, οι οποίες, με συνολικό ποσοστό συμμετοχής 50,74 %, σημείωσαν ελαφρά αύξηση σε σύγκριση με τις εκλογές του 2019· είναι πεπεισμένο ότι τα στοιχεία αυτά αντικατοπτρίζουν την ισχυρότερη συμμετοχή του κοινού στο ευρωπαϊκό εγχείρημα και την αυξανόμενη σημασία του Κοινοβουλίου και τον αντίκτυπό του στην καθημερινή ζωή των πολιτών· εκφράζει, ωστόσο, την ανησυχία του για τα ευρέως αποκλίνοντα ποσοστά συμμετοχής μεταξύ των κρατών μελών και παραμένει αποφασισμένο να ενισχύσει τις προσπάθειες πολιτικής για τη γεφύρωση του χάσματος και την αύξηση της συμμετοχής μεταξύ όλων των ομάδων σε ολόκληρη την ΕΕ·</w:t>
      </w:r>
    </w:p>
    <w:p w14:paraId="43E5320B" w14:textId="05735479" w:rsidR="00035F4F" w:rsidRPr="00576B31" w:rsidRDefault="00576B31" w:rsidP="00576B31">
      <w:pPr>
        <w:pStyle w:val="NormalHanging12a"/>
        <w:ind w:hanging="573"/>
      </w:pPr>
      <w:r w:rsidRPr="00576B31">
        <w:rPr>
          <w:szCs w:val="24"/>
        </w:rPr>
        <w:t>3.</w:t>
      </w:r>
      <w:r w:rsidRPr="00576B31">
        <w:rPr>
          <w:szCs w:val="24"/>
        </w:rPr>
        <w:tab/>
      </w:r>
      <w:r w:rsidR="00035F4F" w:rsidRPr="00576B31">
        <w:t>επικροτεί τις προσπάθειες των ευρωπαϊκών θεσμικών οργάνων και της Ευρωπαϊκής Ένωσης Ραδιοτηλεόρασης για την αύξηση της προβολής των υποψηφίων σε ολόκληρη την ήπειρο στις ευρωπαϊκές εκλογές, μεταξύ άλλων μέσω μιας σειράς συζητήσεων μεγάλης προβολής σε πανευρωπαϊκό επίπεδο, που φέρνουν σε επαφή κορυφαίους υποψηφίους από τις διάφορες πολιτικές οικογένειες, καθώς και μέσω των συζητήσεων για την κινητοποίηση των ψηφοφόρων, αυξάνοντας την ευαισθητοποίηση των Ευρωπαίων νέων· εκφράζει την ικανοποίησή του για τον θετικό αντίκτυπο της δικής της θεσμικής επικοινωνιακής στρατηγικής, η οποία επιδίωξε να αυξήσει την ευαισθητοποίηση σχετικά με τις εκλογές, τονίζοντας τη σημασία τους μέσω του συνθήματος «Αξιοποίησε την ψήφο σου, για να μην αποφασίσουν άλλοι για σένα»· πιστεύει ότι η συνεργασία μεταξύ των θεσμικών οργάνων και με τις εκλογικές αρχές των κρατών μελών με σκοπό την αύξηση της συμμετοχής των ψηφοφόρων έχει βελτιωθεί και δεσμεύεται να ενισχύσει τις προσπάθειες συντονισμού στον τομέα αυτό· ζητεί περαιτέρω σημαντικές επενδύσεις για την επέκταση της εμβέλειας αυτών των εκστρατειών και εκπομπών για τις εκλογές του 2029· υπογραμμίζει τον σημαντικό και θετικό ρόλο των Γραφείων Συνδέσμου του Ευρωπαϊκού Κοινοβουλίου στις ευρωπαϊκές εκλογές·</w:t>
      </w:r>
    </w:p>
    <w:p w14:paraId="4ABDA2B7" w14:textId="3572855F" w:rsidR="00035F4F" w:rsidRPr="00576B31" w:rsidRDefault="00576B31" w:rsidP="00576B31">
      <w:pPr>
        <w:pStyle w:val="NormalHanging12a"/>
        <w:ind w:hanging="573"/>
      </w:pPr>
      <w:r w:rsidRPr="00576B31">
        <w:rPr>
          <w:szCs w:val="24"/>
        </w:rPr>
        <w:t>4.</w:t>
      </w:r>
      <w:r w:rsidRPr="00576B31">
        <w:rPr>
          <w:szCs w:val="24"/>
        </w:rPr>
        <w:tab/>
      </w:r>
      <w:r w:rsidR="00035F4F" w:rsidRPr="00576B31">
        <w:t>υπογραμμίζει ότι η δημιουργία ενός ευρωπαϊκού «δήμου» και ενός κοινού δημοκρατικού χώρου απαιτεί πρωτίστως μια αλλαγή νοοτροπίας με βάση μια μακροπρόθεσμη στρατηγική και επαρκείς πόρους για την ενίσχυση της ευρωπαϊκής ευαισθητοποίησης και της ιδιότητας του Ευρωπαίου πολίτη, σε στενή συνεργασία με την κοινωνία των πολιτών και τους κοινωνικούς φορείς· εκφράζει τη λύπη του για το γεγονός ότι οι εκστρατείες που διεξάγονται στα κράτη μέλη για τις ευρωπαϊκές εκλογές πολύ συχνά προσεγγίζονται από αμιγώς εθνική πολιτική, ακόμη και όταν οι εκστρατείες αυτές αφορούν κοινά ευρωπαϊκά ζητήματα· καλεί τα εθνικά πολιτικά κόμματα και τους υποψηφίους στις ευρωπαϊκές εκλογές, καθώς και τα εθνικά μέσα ενημέρωσης, να ενημερώνουν επαρκώς και με ειλικρίνεια τους πολίτες σχετικά με τη διακυβέρνηση σε επίπεδο ΕΕ, μεταξύ άλλων σχετικά με τα ευρωπαϊκά πολιτικά κόμματα και τις ευρωπαϊκές πολιτικές ομάδες του Κοινοβουλίου με τα οποία συνδέονται τα εθνικά κόμματα· ενθαρρύνει τα εθνικά κόμματα να εντείνουν τη συνεργασία με τους Ευρωπαίους ομολόγους τους στο πλαίσιο αυτό και να βελτιώσουν την ευρωπαϊκή προβολή τους· δεσμεύεται να δημιουργήσει ένα ευνοϊκό ρυθμιστικό περιβάλλον για τον σκοπό αυτό·</w:t>
      </w:r>
    </w:p>
    <w:p w14:paraId="681834B3" w14:textId="782819CB" w:rsidR="00035F4F" w:rsidRPr="00576B31" w:rsidRDefault="00576B31" w:rsidP="00576B31">
      <w:pPr>
        <w:spacing w:after="240"/>
        <w:ind w:left="567" w:hanging="573"/>
        <w:rPr>
          <w:color w:val="00B050"/>
          <w:sz w:val="22"/>
        </w:rPr>
      </w:pPr>
      <w:r w:rsidRPr="00576B31">
        <w:rPr>
          <w:color w:val="00B050"/>
          <w:szCs w:val="24"/>
        </w:rPr>
        <w:t>5.</w:t>
      </w:r>
      <w:r w:rsidRPr="00576B31">
        <w:rPr>
          <w:color w:val="00B050"/>
          <w:szCs w:val="24"/>
        </w:rPr>
        <w:tab/>
      </w:r>
      <w:r w:rsidR="00035F4F" w:rsidRPr="00576B31">
        <w:t>τονίζει ότι πρέπει να καταβληθούν περισσότερες προσπάθειες για την αύξηση της συμμετοχής υποεκπροσωπούμενων ομάδων στις ευρωπαϊκές εκλογές· εκφράζει την ανησυχία του για τη μείωση της συμμετοχής των νέων και δεσμεύεται να εντείνει τις προσπάθειες πολιτικής για την αύξηση της απήχησης της προεκλογικής εκστρατείας σε αυτό το βασικό δημογραφικό στοιχείο· σημειώνει ότι η συμμετοχή των νέων στο μέλλον της ΕΕ είναι ζωτικής σημασίας· ενθαρρύνει τα κράτη μέλη να εγκρίνουν ειδικά πλαίσια πολιτικής που θα καλύπτουν τόσο τις δυνατότητες ψηφοφορίας όσο και τις δυνατότητες υποβολής υποψηφιοτήτων, μεταξύ άλλων μέσω ειδικών ενημερωτικών εκστρατειών, και εναλλακτικών μεθόδων ψηφοφορίας, όπως η επιστολική ψηφοφορία και η ψηφοφορία δια πληρεξουσίου· αναγνωρίζει την ανάγκη να συνεχιστεί η πρόοδος προς μια εκλογική διαδικασία χωρίς αποκλεισμούς, ώστε να διασφαλιστεί ότι κάθε πολίτης έχει ίσες ευκαιρίες συμμετοχής στη δημοκρατική διαδικασία·</w:t>
      </w:r>
      <w:r w:rsidR="00035F4F" w:rsidRPr="00576B31">
        <w:rPr>
          <w:color w:val="00B050"/>
        </w:rPr>
        <w:t xml:space="preserve"> </w:t>
      </w:r>
      <w:r w:rsidR="00035F4F" w:rsidRPr="00576B31">
        <w:t>σημειώνει ότι λίγα μόνο μέλη του Ευρωπαϊκού Κοινοβουλίου ανήκουν σε εθνικές και εθνοτικές μειονότητες που αναγνωρίζονται επίσημα ως μειονότητες στα κράτη μέλη σύμφωνα με το συνταγματικό ή νομικό τους πλαίσιο και τις σχετικές πράξεις του Συμβουλίου της Ευρώπης· υπογραμμίζει ότι η καταπολέμηση του ρατσισμού, των διακρίσεων και του αποκλεισμού αποτελεί καθήκον που απορρέει από τις θεμελιώδεις αξίες της ΕΕ και τον Χάρτη των Θεμελιωδών Δικαιωμάτων της ΕΕ· καλεί τα κράτη μέλη και τα εθνικά πολιτικά κόμματα να εγκρίνουν προορατικά και αναλογικά μέτρα για την προώθηση της αποτελεσματικής ένταξης και εκπροσώπησης των μειονοτήτων αυτών, συμπεριλαμβανομένων των κοινοτήτων Ρομά, στις ευρωπαϊκές εκλογές, με πλήρη σεβασμό των εθνικών συνταγματικών τάξεων·</w:t>
      </w:r>
    </w:p>
    <w:p w14:paraId="42A0F984" w14:textId="0905732C" w:rsidR="00035F4F" w:rsidRPr="00576B31" w:rsidRDefault="00576B31" w:rsidP="00576B31">
      <w:pPr>
        <w:spacing w:after="240"/>
        <w:ind w:left="567" w:hanging="573"/>
        <w:rPr>
          <w:bCs/>
          <w:iCs/>
        </w:rPr>
      </w:pPr>
      <w:r w:rsidRPr="00576B31">
        <w:rPr>
          <w:bCs/>
          <w:iCs/>
          <w:szCs w:val="24"/>
        </w:rPr>
        <w:t>6.</w:t>
      </w:r>
      <w:r w:rsidRPr="00576B31">
        <w:rPr>
          <w:bCs/>
          <w:iCs/>
          <w:szCs w:val="24"/>
        </w:rPr>
        <w:tab/>
      </w:r>
      <w:r w:rsidR="00035F4F" w:rsidRPr="00576B31">
        <w:t>επισημαίνει ότι οι εκλογές για το Κοινοβούλιο ενδέχεται να μην ήταν δίκαιες στην Ουγγαρία· τονίζει, στο πλαίσιο αυτό, ότι η τελική έκθεση της αποστολής εκλογικών παρατηρητών του Γραφείου Δημοκρατικών Θεσμών και Ανθρωπίνων Δικαιωμάτων του ΟΑΣΕ</w:t>
      </w:r>
      <w:r w:rsidR="00035F4F" w:rsidRPr="00576B31">
        <w:rPr>
          <w:rStyle w:val="FootnoteReference"/>
          <w:bCs/>
          <w:iCs/>
        </w:rPr>
        <w:footnoteReference w:id="14"/>
      </w:r>
      <w:r w:rsidR="00035F4F" w:rsidRPr="00576B31">
        <w:t xml:space="preserve"> για τις βουλευτικές εκλογές και το δημοψήφισμα στην Ουγγαρία στις 3</w:t>
      </w:r>
      <w:r w:rsidR="00D573B3" w:rsidRPr="00576B31">
        <w:t> </w:t>
      </w:r>
      <w:r w:rsidR="00035F4F" w:rsidRPr="00576B31">
        <w:t>Απριλίου 2022 διαπίστωσε την «απουσία ίσων όρων ανταγωνισμού»· τονίζει ότι η ουγγρική κυβέρνηση φέρει την ευθύνη για την αποκατάσταση της συμμόρφωσης με το δίκαιο της ΕΕ και τις αξίες που κατοχυρώνονται στο άρθρο 2 ΣΕΕ· εκφράζει τη βαθιά του λύπη για το γεγονός ότι η έλλειψη αποφασιστικής δράσης της ΕΕ συνέβαλε στην κατάρρευση της δημοκρατίας, του κράτους δικαίου και των θεμελιωδών δικαιωμάτων στην Ουγγαρία, μετατρέποντας τη χώρα σε ένα υβριδικό καθεστώς εκλογικής απολυταρχίας, σύμφωνα με τις σχετικές ενδείξεις· εκφράζει την ανησυχία του για διάφορα αιτήματα του Ούγγρου Κεντρικού Εισαγγελέα για άρση της ασυλίας των βουλευτών του ΕΚ·</w:t>
      </w:r>
    </w:p>
    <w:p w14:paraId="3F2C8403" w14:textId="4DEC3466" w:rsidR="00035F4F" w:rsidRPr="00576B31" w:rsidRDefault="00576B31" w:rsidP="00576B31">
      <w:pPr>
        <w:spacing w:after="240"/>
        <w:ind w:left="567" w:hanging="573"/>
      </w:pPr>
      <w:r w:rsidRPr="00576B31">
        <w:rPr>
          <w:szCs w:val="24"/>
        </w:rPr>
        <w:t>7.</w:t>
      </w:r>
      <w:r w:rsidRPr="00576B31">
        <w:rPr>
          <w:szCs w:val="24"/>
        </w:rPr>
        <w:tab/>
      </w:r>
      <w:r w:rsidR="00035F4F" w:rsidRPr="00576B31">
        <w:t>επαναλαμβάνει την πάγια άποψή του ότι απαιτούνται περαιτέρω μεταρρυθμίσεις και προσαρμογές του εκλογικού πλαισίου της ΕΕ προκειμένου να καταστούν οι ευρωπαϊκές εκλογές πιο δημοκρατικές, ανθεκτικές, χωρίς αποκλεισμούς και πραγματικά ευρωπαϊκές· στο πλαίσιο αυτό, επισημαίνει τις διάφορες εκκρεμούσες πρωτοβουλίες πολιτικής και επαναλαμβάνει τις εκκλήσεις του προς το Συμβούλιο της ΕΕ και το Ευρωπαϊκό Συμβούλιο να συνεργαστούν εποικοδομητικά για την εξεύρεση λύσεων πολιτικής που θα είναι προς το συμφέρον των Ευρωπαίων πολιτών·</w:t>
      </w:r>
    </w:p>
    <w:p w14:paraId="5916FA44" w14:textId="77777777" w:rsidR="00035F4F" w:rsidRPr="00576B31" w:rsidRDefault="00035F4F" w:rsidP="00035F4F">
      <w:pPr>
        <w:pStyle w:val="NormalHanging12a"/>
      </w:pPr>
      <w:r w:rsidRPr="00576B31">
        <w:rPr>
          <w:rStyle w:val="BoldItalic"/>
          <w:color w:val="000000"/>
        </w:rPr>
        <w:t>Θεσμική και εκλογική μεταρρύθμιση</w:t>
      </w:r>
    </w:p>
    <w:p w14:paraId="00E5186F" w14:textId="78D495AB" w:rsidR="000D5BD1" w:rsidRPr="00576B31" w:rsidRDefault="00576B31" w:rsidP="00576B31">
      <w:pPr>
        <w:spacing w:after="240"/>
        <w:ind w:left="567" w:hanging="573"/>
      </w:pPr>
      <w:r w:rsidRPr="00576B31">
        <w:rPr>
          <w:szCs w:val="24"/>
        </w:rPr>
        <w:t>8.</w:t>
      </w:r>
      <w:r w:rsidRPr="00576B31">
        <w:rPr>
          <w:szCs w:val="24"/>
        </w:rPr>
        <w:tab/>
      </w:r>
      <w:r w:rsidR="00035F4F" w:rsidRPr="00576B31">
        <w:t>είναι πεπεισμένο ότι το κανονιστικό πλαίσιο για τις ευρωπαϊκές εκλογές πρέπει να αναθεωρηθεί και να εκσυγχρονιστεί ώστε να αυξηθεί το εκλογικό αποτύπωμα των πολιτών και να μειωθεί ο κανονιστικός κατακερματισμός μεταξύ των 27 κρατών μελών, μεταξύ άλλων μέσω μιας ενιαίας κοινής ημέρας ψηφοφορίας, καθώς και μιας ενιαίας ελάχιστης ηλικίας ψήφου· υπενθυμίζει ότι η απόφαση (ΕΕ, Ευρατόμ) 2018/994 του Συμβουλίου αναμένεται να επιφέρει σημαντική πρόοδο προς την κατεύθυνση αυτή, όπως και ορισμένες παρατηρήσεις από την εκκρεμούσα πρόταση της 3ης Μαΐου 2022 για νέο εκλογικό νόμο· επαναλαμβάνει την έκκλησή του προς το Συμβούλιο να συνεργαστεί εποικοδομητικά με το Κοινοβούλιο ώστε να καταστεί δυνατή η ταχεία έγκριση· υπενθυμίζει ότι 26 από τα 27 κράτη μέλη έχουν ήδη κυρώσει την αναθεώρηση του 2018 και αναλαμβάνουν να αξιολογήσουν με κριτικό πνεύμα τους λόγους για τους οποίους η εφαρμογή της καθυστέρησε σε διάφορα κράτη μέλη·</w:t>
      </w:r>
    </w:p>
    <w:p w14:paraId="4DB27101" w14:textId="7A38D0F2" w:rsidR="00035F4F" w:rsidRPr="00576B31" w:rsidRDefault="00576B31" w:rsidP="00576B31">
      <w:pPr>
        <w:spacing w:after="240"/>
        <w:ind w:left="567" w:hanging="573"/>
      </w:pPr>
      <w:r w:rsidRPr="00576B31">
        <w:rPr>
          <w:szCs w:val="24"/>
        </w:rPr>
        <w:t>9.</w:t>
      </w:r>
      <w:r w:rsidRPr="00576B31">
        <w:rPr>
          <w:szCs w:val="24"/>
        </w:rPr>
        <w:tab/>
      </w:r>
      <w:r w:rsidR="00035F4F" w:rsidRPr="00576B31">
        <w:t xml:space="preserve">εκφράζει τη λύπη του για το γεγονός ότι οι νέοι προτεινόμενοι κανόνες σχετικά με το δικαίωμα του εκλέγειν και εκλέγεσθαι στις εκλογές του Κοινοβουλίου για τους «μετακινούμενους πολίτες» δεν εγκρίθηκαν από το Συμβούλιο εγκαίρως για τις εκλογές του 2024· επισημαίνει ότι η πλήρης άσκηση των εκλογικών δικαιωμάτων που παρέχουν οι Συνθήκες στους μετακινούμενους πολίτες στις εκλογές για το Κοινοβούλιο εξακολουθεί να παρεμποδίζεται από αδικαιολόγητα εμπόδια στη δημοκρατική συμμετοχή, συμπεριλαμβανομένης της έλλειψης ευαισθητοποίησης σχετικά με τις ισχύουσες προϋποθέσεις και τους κανόνες· αναγνωρίζει ότι το εκκρεμές σχέδιο οδηγίας του Συμβουλίου θα αντιμετωπίσει ορισμένα από αυτά τα εμπόδια· εκφράζει, ωστόσο, τη λύπη του για το γεγονός ότι το Συμβούλιο συμμορφώνεται μεν </w:t>
      </w:r>
      <w:proofErr w:type="spellStart"/>
      <w:r w:rsidR="00035F4F" w:rsidRPr="00576B31">
        <w:t>τύποις</w:t>
      </w:r>
      <w:proofErr w:type="spellEnd"/>
      <w:r w:rsidR="00035F4F" w:rsidRPr="00576B31">
        <w:t xml:space="preserve"> με το άρθρο 22 παράγραφος 2 ΣΛΕΕ, πλην όμως δεν έχει ασχοληθεί πραγματικά με την ουσία της γνώμης του Κοινοβουλίου· επαναλαμβάνει ιδίως τις προτάσεις του να καταστεί δυνατή η εγγραφή στους εκλογικούς καταλόγους αμέσως αφότου οι ψηφοφόροι δηλώσουν τον τόπο κατοικίας τους και να ενισχυθούν οι γλωσσικές απαιτήσεις και οι απαιτήσεις πληροφόρησης για τις τοπικές αρχές, καθώς και να διευκολυνθεί η άσκηση του δικαιώματος ψήφου από </w:t>
      </w:r>
      <w:proofErr w:type="spellStart"/>
      <w:r w:rsidR="00035F4F" w:rsidRPr="00576B31">
        <w:t>υποεκπροσωπούμενες</w:t>
      </w:r>
      <w:proofErr w:type="spellEnd"/>
      <w:r w:rsidR="00035F4F" w:rsidRPr="00576B31">
        <w:t xml:space="preserve"> ομάδες ψηφοφόρων, και να ενισχυθούν οι εκστρατείες ευαισθητοποίησης από τα κράτη μέλη με την ενεργό συμμετοχή της κοινωνίας των πολιτών· καλεί τα κράτη μέλη να διασφαλίσουν ότι οι πολίτες τους που ζουν στο εξωτερικό μπορούν να συμμετέχουν στις ευρωπαϊκές εκλογές, μεταξύ άλλων ενισχύοντας τις προξενικές υπηρεσίες και επιτρέποντας την επιστολική ψηφοφορία· τονίζει ότι είναι σημαντικό όλα τα κράτη μέλη να διασφαλίζουν την απρόσκοπτη πρόσβαση των ηλικιωμένων και των ατόμων με αναπηρία στα εκλογικά κέντρα·</w:t>
      </w:r>
    </w:p>
    <w:p w14:paraId="6A74F423" w14:textId="0BA9D4A3" w:rsidR="00035F4F" w:rsidRPr="00576B31" w:rsidRDefault="00576B31" w:rsidP="00576B31">
      <w:pPr>
        <w:spacing w:after="240"/>
        <w:ind w:left="567" w:hanging="573"/>
      </w:pPr>
      <w:r w:rsidRPr="00576B31">
        <w:rPr>
          <w:szCs w:val="24"/>
        </w:rPr>
        <w:t>10.</w:t>
      </w:r>
      <w:r w:rsidRPr="00576B31">
        <w:rPr>
          <w:szCs w:val="24"/>
        </w:rPr>
        <w:tab/>
      </w:r>
      <w:r w:rsidR="00035F4F" w:rsidRPr="00576B31">
        <w:t>υποστηρίζει σθεναρά τις προσπάθειες των πολιτικών κομμάτων να αναπτύξουν περαιτέρω την εφαρμογή της διαδικασίας των κορυφαίων υποψηφίων (</w:t>
      </w:r>
      <w:proofErr w:type="spellStart"/>
      <w:r w:rsidR="00035F4F" w:rsidRPr="00576B31">
        <w:t>Spitzenkandidaten</w:t>
      </w:r>
      <w:proofErr w:type="spellEnd"/>
      <w:r w:rsidR="00035F4F" w:rsidRPr="00576B31">
        <w:t>) για τη δημιουργία συνδέσμου μεταξύ της εκλογής, της σύνθεσης του Κοινοβουλίου και του διορισμού του Προέδρου της Επιτροπής, ώστε να καταστεί ο διορισμός της εκτελεστικής εξουσίας της ΕΕ πιο διαφανής για τους πολίτες· υπογραμμίζει ότι η διαδικασία αυτή επέτρεψε στους πολίτες να επηρεάσουν αποτελεσματικά την επιλογή του Προέδρου της Επιτροπής, σηματοδοτώντας ένα σημαντικό βήμα προόδου, με τους πολίτες να διαδραματίζουν άμεσο ρόλο· συγχαίρει τα ευρωπαϊκά πολιτικά κόμματα για τον ορισμό των υποψηφίων τους πολύ πριν από τις εκλογές· σημειώνει ότι αυτήν τη φορά η διαδικασία ήταν σχετικά επιτυχής, καθώς η Πρόεδρος της Επιτροπής, αν και δεν ήταν άμεσα εκλεγμένη μέσω ψηφοφορίας, λειτούργησε ως η κορυφαία υποψήφια για την πολιτική ομάδα που έλαβε τις περισσότερες ψήφους· επισημαίνει ότι η εκλογή του Προέδρου της Επιτροπής μέσω των ευρωπαϊκών εκλογών θα αύξανε τη λογοδοσία και τη δημοκρατική νομιμότητά του· παραμένει, ωστόσο, πεπεισμένο ότι αρκετοί βασικοί παράγοντες επιτυχίας —όπως η συνεχής ανάπτυξη και εδραίωση της ευρωπαϊκής δημοκρατικής σφαίρας— εξακολουθούν να απουσιάζουν, γεγονός που εμποδίζει την πλήρη αξιοποίηση του δυναμικού αυτής της άτυπης και ανεξέλεγκτης πολιτικής διαδικασίας·</w:t>
      </w:r>
    </w:p>
    <w:p w14:paraId="1EDF8FD9" w14:textId="0F3EDF05" w:rsidR="00035F4F" w:rsidRPr="00576B31" w:rsidRDefault="00576B31" w:rsidP="00576B31">
      <w:pPr>
        <w:spacing w:after="240"/>
        <w:ind w:left="567" w:hanging="573"/>
        <w:rPr>
          <w:sz w:val="22"/>
        </w:rPr>
      </w:pPr>
      <w:r w:rsidRPr="00576B31">
        <w:rPr>
          <w:szCs w:val="24"/>
        </w:rPr>
        <w:t>11.</w:t>
      </w:r>
      <w:r w:rsidRPr="00576B31">
        <w:rPr>
          <w:szCs w:val="24"/>
        </w:rPr>
        <w:tab/>
      </w:r>
      <w:r w:rsidR="00035F4F" w:rsidRPr="00576B31">
        <w:t>τονίζει τον σημαντικό ρόλο που διαδραματίζουν τα ευρωπαϊκά πολιτικά κόμματα, καθώς συμβάλλουν στη συζήτηση για θέματα ευρωπαϊκών δημόσιων πολιτικών και διαμορφώνουν την ευρωπαϊκή πολιτική συνείδηση· πιστεύει ότι τα εν λόγω κόμματα μπορούν να προσφέρουν ένα απολύτως αναγκαίο αντίβαρο στη διάδοση της παραπληροφόρησης και της εσφαλμένης πληροφόρησης κατά την περίοδο πριν από τις εκλογές· εκφράζει την ικανοποίησή του για τη συμφωνία σχετικά με την αναδιατύπωση του κανονισμού (ΕΕ, Ευρατόμ) αριθ. 1141/2014 σχετικά με το καθεστώς και τη χρηματοδότηση των ευρωπαϊκών πολιτικών κομμάτων και των ευρωπαϊκών πολιτικών ιδρυμάτων, ο οποίος καλύπτει τα εναπομείναντα κενά, προσφέρει νομική σαφήνεια και συμβάλει στην αποδέσμευση των ευρωπαϊκών πολιτικών κομμάτων και τους δίνει τη δυνατότητα να αναλάβουν τον ρόλο που τους αναθέτουν οι Συνθήκες, μεταξύ άλλων ενισχύοντας την προβολή τους στα κράτη μέλη κατά τη διάρκεια της προεκλογικής εκστρατείας και στην προώθηση κορυφαίων υποψηφίων·</w:t>
      </w:r>
    </w:p>
    <w:p w14:paraId="2F853E1E" w14:textId="4ED9D911" w:rsidR="00035F4F" w:rsidRPr="00576B31" w:rsidRDefault="00576B31" w:rsidP="00576B31">
      <w:pPr>
        <w:spacing w:after="240"/>
        <w:ind w:left="567" w:hanging="573"/>
        <w:rPr>
          <w:sz w:val="22"/>
        </w:rPr>
      </w:pPr>
      <w:r w:rsidRPr="00576B31">
        <w:rPr>
          <w:szCs w:val="24"/>
        </w:rPr>
        <w:t>12.</w:t>
      </w:r>
      <w:r w:rsidRPr="00576B31">
        <w:rPr>
          <w:szCs w:val="24"/>
        </w:rPr>
        <w:tab/>
      </w:r>
      <w:r w:rsidR="00035F4F" w:rsidRPr="00576B31">
        <w:t>καλεί τα κράτη μέλη να εφαρμόσουν απαγόρευση των ξένων δωρεών, συμπεριλαμβανομένων τόσο των εισφορών ή παροχών σε είδος όσο και σε χρήμα, και περιορισμό των δωρεών σε πολιτικά κόμματα και υποψηφίους· θεωρεί ότι οι πολιτικοί παράγοντες στους οποίους έχει προσφερθεί και/ή που έχουν αποδεχτεί μια οικονομική συνεισφορά ή συνεισφορά σε είδος από ξένο παράγοντα πρέπει να έχουν την υποχρέωση να το αναφέρουν στις αρμόδιες αρχές, οι δε πληροφορίες αυτές πρέπει με τη σειρά τους να αναφέρονται σε επίπεδο ΕΕ ώστε να καθίσταται δυνατή η παρακολούθηση σε κλίμακα ΕΕ·</w:t>
      </w:r>
    </w:p>
    <w:p w14:paraId="724EC853" w14:textId="68307993" w:rsidR="00035F4F" w:rsidRPr="00576B31" w:rsidRDefault="00576B31" w:rsidP="00576B31">
      <w:pPr>
        <w:pStyle w:val="NormalHanging12a"/>
        <w:ind w:hanging="573"/>
      </w:pPr>
      <w:r w:rsidRPr="00576B31">
        <w:rPr>
          <w:szCs w:val="24"/>
        </w:rPr>
        <w:t>13.</w:t>
      </w:r>
      <w:r w:rsidRPr="00576B31">
        <w:rPr>
          <w:szCs w:val="24"/>
        </w:rPr>
        <w:tab/>
      </w:r>
      <w:r w:rsidR="00035F4F" w:rsidRPr="00576B31">
        <w:t xml:space="preserve">τονίζει την ανάγκη ενίσχυσης του ρόλου και της προβολής των ευρωπαϊκών πολιτικών ιδρυμάτων στην ευρωπαϊκή δημοκρατική σφαίρα· υπενθυμίζει ότι τα ιδρύματα αυτά διαδραματίζουν καίριο ρόλο στην ανάπτυξη του πολιτικού διαλόγου, της πολιτικής έρευνας και της αγωγής του πολίτη σε διασυνοριακό επίπεδο, συμβάλλοντας έτσι στη διαμόρφωση μιας πραγματικά ευρωπαϊκής κοινής γνώμης· ζητεί την παροχή επαρκών εργαλείων και πόρων που θα τους επιτρέψουν να στηρίξουν τα ευρωπαϊκά πολιτικά κόμματα στην προσπάθειά τους να εξασφαλίσουν τη συμμετοχή των πολιτών, να προωθήσουν τις ευρωπαϊκές αξίες και να συμμετάσχουν ουσιαστικά σε μελλοντικές προεκλογικές εκστρατείες· υπενθυμίζει ότι η επικείμενη έκθεση της Επιτροπής σχετικά με την εφαρμογή του κανονισμού (ΕΕ, Ευρατόμ) αριθ. 1141/2014 σχετικά με το καθεστώς και τη χρηματοδότηση των ευρωπαϊκών πολιτικών κομμάτων και των ευρωπαϊκών πολιτικών ιδρυμάτων (εν αναμονή της αναδιατύπωσης) θα πρέπει να δίνει ιδιαίτερη προσοχή στους κανόνες που διέπουν τη χρηματοδότηση των ευρωπαϊκών πολιτικών ιδρυμάτων και θα πρέπει να προτείνει τροποποιήσεις του κανονισμού, εάν χρειαστεί· </w:t>
      </w:r>
    </w:p>
    <w:p w14:paraId="53680E0D" w14:textId="0D7BF9F2" w:rsidR="00035F4F" w:rsidRPr="00576B31" w:rsidRDefault="00576B31" w:rsidP="00576B31">
      <w:pPr>
        <w:pStyle w:val="NormalHanging12a"/>
        <w:ind w:hanging="573"/>
      </w:pPr>
      <w:r w:rsidRPr="00576B31">
        <w:rPr>
          <w:szCs w:val="24"/>
        </w:rPr>
        <w:t>14.</w:t>
      </w:r>
      <w:r w:rsidRPr="00576B31">
        <w:rPr>
          <w:szCs w:val="24"/>
        </w:rPr>
        <w:tab/>
      </w:r>
      <w:r w:rsidR="00035F4F" w:rsidRPr="00576B31">
        <w:t>υπογραμμίζει ότι πρέπει να καταβληθούν περαιτέρω θεσμικές προσπάθειες για την ενίσχυση του αντικτύπου των Ευρωπαίων ψηφοφόρων στη διακυβέρνηση της ΕΕ· επισημαίνει, στο πλαίσιο αυτό, την εκκρεμούσα διαδικασία τροποποίησης των Συνθηκών, η οποία ενεργοποιήθηκε στον απόηχο της Διάσκεψης για το Μέλλον της Ευρώπης· επισημαίνει την πρότασή του για αντιστροφή των ρόλων του Συμβουλίου και του Κοινοβουλίου στον διορισμό και την επιβεβαίωση του διορισμού του Προέδρου της Επιτροπής, ώστε να αντικατοπτρίζονται με μεγαλύτερη ακρίβεια τα αποτελέσματα των ευρωπαϊκών εκλογών· επισημαίνει επίσης την πρότασή του να παραχωρηθεί στο Κοινοβούλιο το δικαίωμα νομοθετικής πρωτοβουλίας, η εφαρμογή της οποίας θα δημιουργούσε άμεση σύνδεση μεταξύ των ψήφων των πολιτών για τους κοινοβουλευτικούς εκπροσώπους και των αποτελεσμάτων πολιτικής σε επίπεδο ΕΕ· επισημαίνει επίσης την πρότασή του για τον εκσυγχρονισμό του δικαιώματος εξέτασης των πραγμάτων από το Κοινοβούλιο, ώστε να ενισχυθεί ο δημοκρατικός έλεγχος επί της εκτελεστικής εξουσίας της ΕΕ· καλεί το Ευρωπαϊκό Συμβούλιο να συμμορφωθεί με τις Συνθήκες και να διεξαγάγει ψηφοφορία σχετικά με τη σύγκληση της Συνέλευσης χωρίς αδικαιολόγητη καθυστέρηση για να συζητηθούν οι προτάσεις αυτές·</w:t>
      </w:r>
    </w:p>
    <w:p w14:paraId="59EFEE8D" w14:textId="77777777" w:rsidR="00035F4F" w:rsidRPr="00576B31" w:rsidRDefault="00035F4F" w:rsidP="00035F4F">
      <w:pPr>
        <w:pStyle w:val="NormalHanging12a"/>
        <w:rPr>
          <w:bCs/>
        </w:rPr>
      </w:pPr>
      <w:r w:rsidRPr="00576B31">
        <w:rPr>
          <w:rStyle w:val="BoldItalic"/>
          <w:color w:val="000000"/>
        </w:rPr>
        <w:t>Θεσμική ανθεκτικότητα</w:t>
      </w:r>
    </w:p>
    <w:p w14:paraId="649F6B4A" w14:textId="77478310" w:rsidR="00035F4F" w:rsidRPr="00576B31" w:rsidRDefault="00576B31" w:rsidP="00576B31">
      <w:pPr>
        <w:pStyle w:val="NormalHanging12a"/>
        <w:ind w:hanging="573"/>
      </w:pPr>
      <w:r w:rsidRPr="00576B31">
        <w:rPr>
          <w:szCs w:val="24"/>
        </w:rPr>
        <w:t>15.</w:t>
      </w:r>
      <w:r w:rsidRPr="00576B31">
        <w:rPr>
          <w:szCs w:val="24"/>
        </w:rPr>
        <w:tab/>
      </w:r>
      <w:r w:rsidR="00035F4F" w:rsidRPr="00576B31">
        <w:t>υπογραμμίζει τη σημασία της ενίσχυσης της σύνδεσης μεταξύ τοπικών, περιφερειακών, εθνικών και ευρωπαϊκών ζητημάτων· επικροτεί, στο πλαίσιο αυτό, την ενεργό και θετική συμμετοχή των τοπικών και περιφερειακών ηγετών σε ευρωπαϊκά θέματα και συζητήσεις, ιδίως κατά την προεκλογική περίοδο, μεταξύ άλλων μέσω του έργου της Επιτροπής των Περιφερειών και των δικτύων και εκστρατειών της·</w:t>
      </w:r>
    </w:p>
    <w:p w14:paraId="265B85E2" w14:textId="495905FC" w:rsidR="000D5BD1" w:rsidRPr="00576B31" w:rsidRDefault="00576B31" w:rsidP="00576B31">
      <w:pPr>
        <w:spacing w:after="240"/>
        <w:ind w:left="567" w:hanging="573"/>
      </w:pPr>
      <w:r w:rsidRPr="00576B31">
        <w:rPr>
          <w:szCs w:val="24"/>
        </w:rPr>
        <w:t>16.</w:t>
      </w:r>
      <w:r w:rsidRPr="00576B31">
        <w:rPr>
          <w:szCs w:val="24"/>
        </w:rPr>
        <w:tab/>
      </w:r>
      <w:r w:rsidR="00035F4F" w:rsidRPr="00576B31">
        <w:t xml:space="preserve">υπενθυμίζει ότι η καταπολέμηση της αντιδημοκρατικής ρητορικής είναι πιο αποτελεσματική στο επίπεδο που βρίσκεται πλησιέστερα στους πολίτες, μεταξύ άλλων μέσω της ενεργού συμμετοχής των τοπικών και περιφερειακών ηγετών· στο πλαίσιο αυτό, ιδίως στις περιφέρειες που αντιμετωπίζουν οικονομική στασιμότητα, όπου οι μακροπρόθεσμες ανισότητες εντείνουν τη στήριξη των </w:t>
      </w:r>
      <w:proofErr w:type="spellStart"/>
      <w:r w:rsidR="00035F4F" w:rsidRPr="00576B31">
        <w:t>ευρωσκεπτικιστικών</w:t>
      </w:r>
      <w:proofErr w:type="spellEnd"/>
      <w:r w:rsidR="00035F4F" w:rsidRPr="00576B31">
        <w:t xml:space="preserve"> κομμάτων, υπογραμμίζει τον θετικό ρόλο της πολιτικής συνοχής της ΕΕ, η οποία πρέπει να δίνει προτεραιότητα στις βασικές περιφερειακές ανάγκες, διασφαλίζοντας ότι κανείς δεν θα μείνει στο περιθώριο·</w:t>
      </w:r>
    </w:p>
    <w:p w14:paraId="4FDAD14D" w14:textId="55B0B240" w:rsidR="00035F4F" w:rsidRPr="00576B31" w:rsidRDefault="00576B31" w:rsidP="00576B31">
      <w:pPr>
        <w:spacing w:after="240"/>
        <w:ind w:left="567" w:hanging="573"/>
      </w:pPr>
      <w:r w:rsidRPr="00576B31">
        <w:rPr>
          <w:szCs w:val="24"/>
        </w:rPr>
        <w:t>17.</w:t>
      </w:r>
      <w:r w:rsidRPr="00576B31">
        <w:rPr>
          <w:szCs w:val="24"/>
        </w:rPr>
        <w:tab/>
      </w:r>
      <w:r w:rsidR="00035F4F" w:rsidRPr="00576B31">
        <w:t>εκφράζει τη βαθιά του ανησυχία για τον αυξανόμενο αριθμό εσωτερικών και εξωτερικών απειλών που διαβρώνουν τον ιστό της ευρωπαϊκής δημοκρατίας· καταδικάζει το γεγονός ότι ορισμένοι υποψήφιοι, συμπεριλαμβανομένων εκείνων που προέρχονται από κυβερνώντα κόμματα σε κράτη μέλη, αγωνίστηκαν ανοιχτά για ψευδή και χρηματοδοτούμενα από το εξωτερικό αφηγήματα σχετικά με την ΕΕ, ενδυναμώνοντας παράλληλα το αντιευρωπαϊκό αίσθημα·</w:t>
      </w:r>
    </w:p>
    <w:p w14:paraId="3E1D4106" w14:textId="5D774180" w:rsidR="00035F4F" w:rsidRPr="00576B31" w:rsidRDefault="00576B31" w:rsidP="00576B31">
      <w:pPr>
        <w:spacing w:after="240"/>
        <w:ind w:left="567" w:hanging="573"/>
      </w:pPr>
      <w:r w:rsidRPr="00576B31">
        <w:rPr>
          <w:szCs w:val="24"/>
        </w:rPr>
        <w:t>18.</w:t>
      </w:r>
      <w:r w:rsidRPr="00576B31">
        <w:rPr>
          <w:szCs w:val="24"/>
        </w:rPr>
        <w:tab/>
      </w:r>
      <w:r w:rsidR="00035F4F" w:rsidRPr="00576B31">
        <w:t>επαναλαμβάνει τη βαθιά και μακροχρόνια ανησυχία του για τη συνεχιζόμενη τάση κακόβουλων εξωτερικών παρεμβάσεων στις ευρωπαϊκές δημοκρατικές διαδικασίες, συμπεριλαμβανομένης της παραπληροφόρησης· εκφράζει τη βαθιά του ανησυχία για το γεγονός ότι οι κυβερνήσεις ορισμένων κρατών μελών συμβάλλουν ενεργά στη διάδοση της παραπληροφόρησης· καταδικάζει ειδικότερα τις διαδικτυακές εκστρατείες παραπληροφόρησης που χρηματοδοτούνται από ρωσικούς και άλλους κρατικούς και μη κρατικούς φορείς τρίτων χωρών, οι οποίες αποσκοπούν στην πόλωση και τη διάνοιξη δυσπιστίας μεταξύ του ευρωπαϊκού εκλογικού σώματος· σημειώνει ότι οι εξωτερικές παρεμβάσεις πραγματοποιούνται πριν από τις εκλογές και κορυφώνονται κατά την προεκλογική περίοδο· καταγγέλλει ορισμένους βουλευτές του Ευρωπαϊκού Κοινοβουλίου, οι οποίοι συνεργάστηκαν οικειοθελώς με την πλατφόρμα μέσων ενημέρωσης «</w:t>
      </w:r>
      <w:proofErr w:type="spellStart"/>
      <w:r w:rsidR="00035F4F" w:rsidRPr="00576B31">
        <w:t>Voice</w:t>
      </w:r>
      <w:proofErr w:type="spellEnd"/>
      <w:r w:rsidR="00035F4F" w:rsidRPr="00576B31">
        <w:t xml:space="preserve"> of Europe», η οποία αποτελεί αντικείμενο ποινικής έρευνας, για την προώθηση αφηγημάτων που χρηματοδοτούνται από το Κρεμλίνο σχετικά με τον επιθετικό πόλεμο στην Ουκρανία·</w:t>
      </w:r>
    </w:p>
    <w:p w14:paraId="533160A3" w14:textId="4456873C" w:rsidR="00035F4F" w:rsidRPr="00576B31" w:rsidRDefault="00576B31" w:rsidP="00576B31">
      <w:pPr>
        <w:spacing w:after="240"/>
        <w:ind w:left="567" w:hanging="573"/>
      </w:pPr>
      <w:r w:rsidRPr="00576B31">
        <w:rPr>
          <w:szCs w:val="24"/>
        </w:rPr>
        <w:t>19.</w:t>
      </w:r>
      <w:r w:rsidRPr="00576B31">
        <w:rPr>
          <w:szCs w:val="24"/>
        </w:rPr>
        <w:tab/>
      </w:r>
      <w:r w:rsidR="00035F4F" w:rsidRPr="00576B31">
        <w:t xml:space="preserve">επαναλαμβάνει την έκκλησή του προς την Επιτροπή και τα κράτη μέλη να εντείνουν τις προσπάθειες για την καταπολέμηση των εξωτερικών παρεμβάσεων και της παραπληροφόρησης μέσω μιας πολυεπίπεδης, συντονισμένης και διατομεακής στρατηγικής, η οποία θα υποστηρίζεται από επαρκείς χρηματοδοτικούς πόρους, ώστε να εξοπλιστούν η ΕΕ και τα κράτη μέλη της με κατάλληλες πολιτικές πρόβλεψης και ανθεκτικότητας και εργαλεία αποτροπής· στο πλαίσιο αυτό, καλεί την Επιτροπή, την Ευρωπαϊκή Υπηρεσία Εξωτερικής Δράσης και τα κράτη μέλη να ενισχύσουν περαιτέρω τη στρατηγική απάντηση της Ένωσης στην παραπληροφόρηση και τη χειραγώγηση των πληροφοριών και τις παρεμβάσεις από το εξωτερικό και επισημαίνει τις πολυάριθμες προσπάθειες πολιτικής της ΕΕ που έχουν αναληφθεί τα τελευταία χρόνια, συμπεριλαμβανομένων της πράξης για τις ψηφιακές υπηρεσίες, του ενισχυμένου κώδικα δεοντολογίας για την παραπληροφόρηση και των πρωτοβουλιών στο πλαίσιο του σχεδίου δράσης για τη δημοκρατία· αναγνωρίζει με ανησυχία ότι οι επιγραμμικές πλατφόρμες ασκούν δυσανάλογη επιρροή στον δημόσιο διάλογο· σημειώνει με ανησυχία τις αναφορές για πολιτικά υποκινούμενες αποφάσεις ορισμένων πλατφορμών που ενδέχεται να απειλούν την ελευθερία της έκφρασης και τον δημοκρατικό πλουραλισμό· </w:t>
      </w:r>
    </w:p>
    <w:p w14:paraId="69AD9FE2" w14:textId="2ABED66C" w:rsidR="00035F4F" w:rsidRPr="00576B31" w:rsidRDefault="00576B31" w:rsidP="00576B31">
      <w:pPr>
        <w:spacing w:after="240"/>
        <w:ind w:left="567" w:hanging="573"/>
      </w:pPr>
      <w:r w:rsidRPr="00576B31">
        <w:rPr>
          <w:szCs w:val="24"/>
        </w:rPr>
        <w:t>20.</w:t>
      </w:r>
      <w:r w:rsidRPr="00576B31">
        <w:rPr>
          <w:szCs w:val="24"/>
        </w:rPr>
        <w:tab/>
      </w:r>
      <w:r w:rsidR="00035F4F" w:rsidRPr="00576B31">
        <w:t>υπογραμμίζει τη σημασία ενός ισορροπημένου και ελεύθερου περιβάλλοντος των μέσων ενημέρωσης στα κράτη μέλη ως βασικού πυλώνα της ευρωπαϊκής δημοκρατίας, ιδίως στους εκλογικούς κύκλους· αναγνωρίζει ότι, ενώ η ΕΕ κατέχει ηγετική θέση παγκοσμίως στην ελευθερία των μέσων ενημέρωσης και το 2024 εγκρίθηκε ο ευρωπαϊκός κανονισμός για την ελευθερία των μέσων ενημέρωσης και τέθηκε σε ισχύ η οδηγία κατά των στρατηγικών αγωγών προς αποθάρρυνση της συμμετοχής του κοινού</w:t>
      </w:r>
      <w:r w:rsidR="00035F4F" w:rsidRPr="00576B31">
        <w:rPr>
          <w:rStyle w:val="FootnoteReference"/>
        </w:rPr>
        <w:footnoteReference w:id="15"/>
      </w:r>
      <w:r w:rsidR="00035F4F" w:rsidRPr="00576B31">
        <w:t xml:space="preserve">, η αυξανόμενη εσωτερική και εξωτερική πίεση στο περιβάλλον των μέσων ενημέρωσης της ΕΕ απαιτεί περαιτέρω ενίσχυση της ελευθερίας των μέσων ενημέρωσης στην ΕΕ, μεταξύ άλλων ενόψει των ευρωπαϊκών εκλογών· υπενθυμίζει ότι σε ορισμένα κράτη μέλη, το 2024 σημειώθηκε αύξηση των επιθέσεων κατά δημοσιογράφων· </w:t>
      </w:r>
    </w:p>
    <w:p w14:paraId="35C5A1AB" w14:textId="18BADC04" w:rsidR="00035F4F" w:rsidRPr="00576B31" w:rsidRDefault="00576B31" w:rsidP="00576B31">
      <w:pPr>
        <w:spacing w:after="240"/>
        <w:ind w:left="567" w:hanging="573"/>
      </w:pPr>
      <w:r w:rsidRPr="00576B31">
        <w:rPr>
          <w:szCs w:val="24"/>
        </w:rPr>
        <w:t>21.</w:t>
      </w:r>
      <w:r w:rsidRPr="00576B31">
        <w:rPr>
          <w:szCs w:val="24"/>
        </w:rPr>
        <w:tab/>
      </w:r>
      <w:r w:rsidR="00035F4F" w:rsidRPr="00576B31">
        <w:t>καταδικάζει απερίφραστα όλες τις μορφές πολιτικής βίας· εκφράζει τη βαθιά του ανησυχία για μια σειρά περιστατικών που σημειώθηκαν κατά την περίοδο πριν από τις εκλογές του 2024· ενθαρρύνει την Επιτροπή και τα κράτη μέλη να δώσουν προτεραιότητα στην πρόληψη της πολιτικής βίας ενισχύοντας τους νόμους, τα πλαίσια και τις πολιτικές που προστατεύουν τους πολιτικούς, τους πολιτικούς υποψηφίους, τους ακτιβιστές, τους δημοσιογράφους και τους πολίτες από τη βία και την παρενόχληση κατά τη διάρκεια της εκλογικής περιόδου· υπογραμμίζει τη σημασία μιας ολοκληρωμένης προσέγγισης που θα περιλαμβάνει την πρόληψη, την προστασία και την εκπαίδευση προκειμένου να μειωθεί η συχνότητα της πολιτικής βίας, ιδίως με την προώθηση της ευαισθητοποίησης σχετικά με τους κινδύνους της πολιτικής βίας και την προώθηση μιας νοοτροπίας ανοχής και σεβασμού των διαφορετικών πολιτικών απόψεων· επισημαίνει ότι η εκλογική νοθεία δεν ξεκινά την ημέρα των εκλογών, αλλά με την εξάρθρωση του κράτους δικαίου, των δημοκρατικών αρχών, της ελευθερίας του Τύπου, της ελευθερίας της έκφρασης και με τη διάδοσης ξένης παραπληροφόρησης και προπαγάνδας· σημειώνει με ανησυχία ότι οι συστημικές προκλήσεις ενδέχεται να επηρεάσουν το κατά πόσο διεξάγονται με συνέπεια ελεύθερες και δίκαιες εκλογές σε όλα τα κράτη μέλη·</w:t>
      </w:r>
    </w:p>
    <w:p w14:paraId="6BE25BC8" w14:textId="56446910" w:rsidR="00035F4F" w:rsidRPr="00576B31" w:rsidRDefault="00576B31" w:rsidP="00576B31">
      <w:pPr>
        <w:spacing w:after="240"/>
        <w:ind w:left="567" w:hanging="573"/>
      </w:pPr>
      <w:r w:rsidRPr="00576B31">
        <w:rPr>
          <w:szCs w:val="24"/>
        </w:rPr>
        <w:t>22.</w:t>
      </w:r>
      <w:r w:rsidRPr="00576B31">
        <w:rPr>
          <w:szCs w:val="24"/>
        </w:rPr>
        <w:tab/>
      </w:r>
      <w:r w:rsidR="00035F4F" w:rsidRPr="00576B31">
        <w:t xml:space="preserve">εκφράζει τη βαθιά του ανησυχία για την άνοδο και την εκλογική επιτυχία των </w:t>
      </w:r>
      <w:proofErr w:type="spellStart"/>
      <w:r w:rsidR="00035F4F" w:rsidRPr="00576B31">
        <w:t>αντισυστημικών</w:t>
      </w:r>
      <w:proofErr w:type="spellEnd"/>
      <w:r w:rsidR="00035F4F" w:rsidRPr="00576B31">
        <w:t xml:space="preserve"> και ανοιχτά αντιευρωπαϊκών κομμάτων κατά τη διάρκεια των εκλογών του 2024· επισημαίνει ότι η αλλαγή αυτή οδηγεί στη ριζοσπαστικοποίηση του πολιτικού λόγου και στην περαιτέρω πόλωση του Κοινοβουλίου· επιπλέον, παρέχει μια ευρύτερη πλατφόρμα για τη διάδοση της παραπληροφόρησης και της προπαγάνδας από το εξωτερικό·</w:t>
      </w:r>
      <w:r w:rsidR="00035F4F" w:rsidRPr="00576B31">
        <w:rPr>
          <w:color w:val="00B050"/>
        </w:rPr>
        <w:t xml:space="preserve"> </w:t>
      </w:r>
      <w:r w:rsidR="00035F4F" w:rsidRPr="00576B31">
        <w:t>καταδικάζει κάθε μορφή πολιτικής ρητορικής που προωθεί τη ρητορική μίσους, τις διακρίσεις, την ξενοφοβία ή τη βία και παροτρύνει όλους τους πολιτικούς παράγοντες να συμμετάσχουν σε εποικοδομητικό, τεκμηριωμένο διάλογο που σέβεται τις δημοκρατικές αξίες, τα ανθρώπινα δικαιώματα και το κράτος δικαίου· δεσμεύεται να προβεί σε περαιτέρω μεταρρυθμίσεις και να βελτιώσει τη λειτουργία της Ένωσης ώστε να ανταποκριθεί καλύτερα στις προσδοκίες των πολιτών· καλεί όλους τους σχετικούς παράγοντες να επικοινωνούν πιο προορατικά σχετικά με τη θετική συμβολή της ΕΕ στην καθημερινή ζωή και ασφάλεια όλων των Ευρωπαίων πολιτών μέσω των πολιτικών της·</w:t>
      </w:r>
    </w:p>
    <w:p w14:paraId="65E7EA7C" w14:textId="7703DBDE" w:rsidR="00035F4F" w:rsidRPr="00576B31" w:rsidRDefault="00576B31" w:rsidP="00576B31">
      <w:pPr>
        <w:spacing w:after="240"/>
        <w:ind w:left="567" w:hanging="573"/>
        <w:rPr>
          <w:sz w:val="22"/>
        </w:rPr>
      </w:pPr>
      <w:r w:rsidRPr="00576B31">
        <w:rPr>
          <w:szCs w:val="24"/>
        </w:rPr>
        <w:t>23.</w:t>
      </w:r>
      <w:r w:rsidRPr="00576B31">
        <w:rPr>
          <w:szCs w:val="24"/>
        </w:rPr>
        <w:tab/>
      </w:r>
      <w:r w:rsidR="00035F4F" w:rsidRPr="00576B31">
        <w:t>δεσμεύεται να αξιολογήσει τα πλαίσια αυτά μέσω της ειδικής επιτροπής του για την Ευρωπαϊκή Ασπίδα Δημοκρατίας, η εντολή της οποίας, που ελήφθη από την Ολομέλεια, περιλαμβάνει την αντιμετώπιση της παρέμβασης στις πολιτικές δημοκρατικών διαδικασιών και την εφαρμογή μέτρων για τη διατήρηση της δικαιοσύνης και της ακεραιότητας των εκλογών, καθώς και πολιτικών που συμβάλλουν στις δημοκρατικές διαδικασίες της ΕΕ· επισημαίνει ότι, ως εκ τούτου, η επιτροπή λειτουργεί ως βασικό εργαλείο για την πρόληψη κακόβουλης παρέμβασης εντοπίζοντας πιθανά κενά, κενά και αλληλεπικαλύψεις που θα μπορούσαν να αξιοποιηθούν· καλεί παράλληλα την Επιτροπή να επιβάλει πλήρως και χωρίς αδικαιολόγητη καθυστέρηση τα εν λόγω ρυθμιστικά πλαίσια, ιδίως στην περίπτωση των πλατφορμών που εξακολουθούν να καθυστερούν ανοιχτά τις ρυθμιστικές αρχές της ΕΕ·</w:t>
      </w:r>
    </w:p>
    <w:p w14:paraId="7424DF56" w14:textId="5F8B5B80" w:rsidR="00035F4F" w:rsidRPr="00576B31" w:rsidRDefault="00576B31" w:rsidP="00576B31">
      <w:pPr>
        <w:pStyle w:val="NormalHanging12a"/>
        <w:ind w:hanging="573"/>
      </w:pPr>
      <w:r w:rsidRPr="00576B31">
        <w:rPr>
          <w:szCs w:val="24"/>
        </w:rPr>
        <w:t>24.</w:t>
      </w:r>
      <w:r w:rsidRPr="00576B31">
        <w:rPr>
          <w:szCs w:val="24"/>
        </w:rPr>
        <w:tab/>
      </w:r>
      <w:r w:rsidR="00035F4F" w:rsidRPr="00576B31">
        <w:t>αναγνωρίζει τη σημασία της κυβερνοασφάλειας και των υποδομών στον κυβερνοχώρο για την προστασία της ακεραιότητας των ευρωπαϊκών εκλογών· προειδοποιεί για τους δυνητικούς κινδύνους των επιχειρήσεων επιρροής που βασίζονται στην τεχνητή νοημοσύνη·</w:t>
      </w:r>
    </w:p>
    <w:p w14:paraId="4598DD4E" w14:textId="3A51648D" w:rsidR="00035F4F" w:rsidRPr="00576B31" w:rsidRDefault="00576B31" w:rsidP="00576B31">
      <w:pPr>
        <w:spacing w:after="240"/>
        <w:ind w:left="567" w:hanging="573"/>
      </w:pPr>
      <w:r w:rsidRPr="00576B31">
        <w:rPr>
          <w:szCs w:val="24"/>
        </w:rPr>
        <w:t>25.</w:t>
      </w:r>
      <w:r w:rsidRPr="00576B31">
        <w:rPr>
          <w:szCs w:val="24"/>
        </w:rPr>
        <w:tab/>
      </w:r>
      <w:r w:rsidR="00035F4F" w:rsidRPr="00576B31">
        <w:t>επισημαίνει ότι τα αποτελέσματα των εθνικών εκλογών επηρεάζουν επίσης έμμεσα τη σύνθεση των ευρωπαϊκών θεσμικών οργάνων, π.χ. μέσω του διορισμού των ορισθέντων Επιτρόπων ή της συμμετοχής των εν ενεργεία εθνικών πολιτικών πλειοψηφιών στις συνεδριάσεις του Συμβουλίου· στο πλαίσιο αυτό, τονίζει τη σημασία του δημοκρατικού χαρακτήρα των γενικών εκλογών σε κάθε κράτος μέλος·</w:t>
      </w:r>
    </w:p>
    <w:p w14:paraId="78860F97" w14:textId="2F16780E" w:rsidR="00035F4F" w:rsidRPr="00576B31" w:rsidRDefault="00576B31" w:rsidP="00576B31">
      <w:pPr>
        <w:spacing w:after="240"/>
        <w:ind w:left="567" w:hanging="573"/>
        <w:rPr>
          <w:sz w:val="32"/>
          <w:szCs w:val="32"/>
        </w:rPr>
      </w:pPr>
      <w:r w:rsidRPr="00576B31">
        <w:rPr>
          <w:szCs w:val="24"/>
        </w:rPr>
        <w:t>26.</w:t>
      </w:r>
      <w:r w:rsidRPr="00576B31">
        <w:rPr>
          <w:szCs w:val="24"/>
        </w:rPr>
        <w:tab/>
      </w:r>
      <w:r w:rsidR="00035F4F" w:rsidRPr="00576B31">
        <w:t xml:space="preserve">καταλήγει στο συμπέρασμα ότι η ευρωπαϊκή δημοκρατία μπορεί να ευδοκιμήσει μόνο για όσο διάστημα ενισχύονται και υποστηρίζονται οι ευρωπαϊκές δημοκρατικές και εκλογικές διαδικασίες· στο πλαίσιο αυτό, υπογραμμίζει τη σημασία της προώθησης ελεύθερων και δίκαιων εκλογών, προστατεύοντας παράλληλα την ακεραιότητά τους τόσο από εσωτερικές όσο και από εξωτερικές απειλές κατά της δημοκρατίας της ΕΕ· σημειώνει με ανησυχία ότι η διάδοση της παραπληροφόρησης και η επιρροή ορισμένων πλατφορμών μέσων κοινωνικής δικτύωσης παραμένει ανεξέλεγκτη· υπογραμμίζει την ύψιστη σημασία της επιβολής ολόκληρου του ισχύοντος νομικού πλαισίου προκειμένου να διασφαλιστεί η ακεραιότητα ολόκληρης της εκλογικής διαδικασίας· </w:t>
      </w:r>
    </w:p>
    <w:p w14:paraId="08C5FD08" w14:textId="77777777" w:rsidR="00035F4F" w:rsidRPr="00576B31" w:rsidRDefault="00035F4F" w:rsidP="000D5BD1">
      <w:pPr>
        <w:pStyle w:val="NormalHanging12a"/>
        <w:spacing w:before="240"/>
        <w:jc w:val="center"/>
      </w:pPr>
      <w:r w:rsidRPr="00576B31">
        <w:t>°</w:t>
      </w:r>
    </w:p>
    <w:p w14:paraId="2E88D933" w14:textId="77777777" w:rsidR="00035F4F" w:rsidRPr="00576B31" w:rsidRDefault="00035F4F" w:rsidP="00035F4F">
      <w:pPr>
        <w:pStyle w:val="NormalHanging12a"/>
        <w:jc w:val="center"/>
      </w:pPr>
      <w:r w:rsidRPr="00576B31">
        <w:t>°</w:t>
      </w:r>
      <w:r w:rsidRPr="00576B31">
        <w:tab/>
        <w:t>°</w:t>
      </w:r>
    </w:p>
    <w:p w14:paraId="53014355" w14:textId="182ABDEA" w:rsidR="00A61512" w:rsidRPr="00576B31" w:rsidRDefault="00576B31" w:rsidP="00576B31">
      <w:pPr>
        <w:pStyle w:val="NormalHanging12a"/>
        <w:ind w:hanging="570"/>
      </w:pPr>
      <w:r w:rsidRPr="00576B31">
        <w:rPr>
          <w:szCs w:val="24"/>
        </w:rPr>
        <w:t>27.</w:t>
      </w:r>
      <w:r w:rsidRPr="00576B31">
        <w:rPr>
          <w:szCs w:val="24"/>
        </w:rPr>
        <w:tab/>
      </w:r>
      <w:r w:rsidR="00035F4F" w:rsidRPr="00576B31">
        <w:t>αναθέτει στην Πρόεδρό του να διαβιβάσει το παρόν ψήφισμα στο Συμβούλιο και στην Επιτροπή.</w:t>
      </w:r>
    </w:p>
    <w:p w14:paraId="03C030B6" w14:textId="10E8F483" w:rsidR="00E365E1" w:rsidRPr="00576B31" w:rsidRDefault="00E365E1" w:rsidP="009B6329"/>
    <w:sectPr w:rsidR="00E365E1" w:rsidRPr="00576B31" w:rsidSect="00A61512">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F01BC" w14:textId="77777777" w:rsidR="009B6329" w:rsidRPr="00A61512" w:rsidRDefault="009B6329">
      <w:r w:rsidRPr="00A61512">
        <w:separator/>
      </w:r>
    </w:p>
  </w:endnote>
  <w:endnote w:type="continuationSeparator" w:id="0">
    <w:p w14:paraId="3C0B2361" w14:textId="77777777" w:rsidR="009B6329" w:rsidRPr="00A61512" w:rsidRDefault="009B6329">
      <w:r w:rsidRPr="00A615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FC09E" w14:textId="77777777" w:rsidR="00064002" w:rsidRPr="00A615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8B07C" w14:textId="77777777" w:rsidR="00064002" w:rsidRPr="00A615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B6521" w14:textId="77777777" w:rsidR="00064002" w:rsidRPr="00A615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5482C" w14:textId="77777777" w:rsidR="009B6329" w:rsidRPr="00A61512" w:rsidRDefault="009B6329">
      <w:r w:rsidRPr="00A61512">
        <w:separator/>
      </w:r>
    </w:p>
  </w:footnote>
  <w:footnote w:type="continuationSeparator" w:id="0">
    <w:p w14:paraId="6D2EE2F4" w14:textId="77777777" w:rsidR="009B6329" w:rsidRPr="00A61512" w:rsidRDefault="009B6329">
      <w:r w:rsidRPr="00A61512">
        <w:continuationSeparator/>
      </w:r>
    </w:p>
  </w:footnote>
  <w:footnote w:id="1">
    <w:p w14:paraId="56B0E313" w14:textId="0B3C98F3"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r w:rsidRPr="00A61512">
        <w:rPr>
          <w:sz w:val="24"/>
          <w:lang w:val="el-GR"/>
        </w:rPr>
        <w:t xml:space="preserve">ΕΕ L 329 της 30.12.1993, σ. 34, ELI: </w:t>
      </w:r>
      <w:r w:rsidRPr="00A61512">
        <w:rPr>
          <w:rStyle w:val="Hyperlink"/>
          <w:sz w:val="24"/>
          <w:lang w:val="el-GR"/>
        </w:rPr>
        <w:t>http://data.europa.eu/eli/dir/1993/109/oj</w:t>
      </w:r>
      <w:r w:rsidRPr="00A61512">
        <w:rPr>
          <w:sz w:val="24"/>
          <w:lang w:val="el-GR"/>
        </w:rPr>
        <w:t>.</w:t>
      </w:r>
    </w:p>
  </w:footnote>
  <w:footnote w:id="2">
    <w:p w14:paraId="5B04411E" w14:textId="3FDDBEF9"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r w:rsidRPr="00A61512">
        <w:rPr>
          <w:sz w:val="24"/>
          <w:lang w:val="el-GR"/>
        </w:rPr>
        <w:t xml:space="preserve">ΕΕ L 178 της 16.7.2018, σ. 1, ELI: </w:t>
      </w:r>
      <w:hyperlink r:id="rId1" w:history="1">
        <w:r w:rsidRPr="00A61512">
          <w:rPr>
            <w:rStyle w:val="Hyperlink"/>
            <w:sz w:val="24"/>
            <w:lang w:val="el-GR"/>
          </w:rPr>
          <w:t>http://data.europa.eu/eli/dec/2018/994/oj</w:t>
        </w:r>
      </w:hyperlink>
      <w:r w:rsidRPr="00A61512">
        <w:rPr>
          <w:sz w:val="24"/>
          <w:lang w:val="el-GR"/>
        </w:rPr>
        <w:t>.</w:t>
      </w:r>
    </w:p>
  </w:footnote>
  <w:footnote w:id="3">
    <w:p w14:paraId="4D430758" w14:textId="0869C241"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r w:rsidRPr="00A61512">
        <w:rPr>
          <w:sz w:val="24"/>
          <w:lang w:val="el-GR"/>
        </w:rPr>
        <w:t xml:space="preserve">ΕΕ L 317 της 4.11.2014, σ. 1, ELI: </w:t>
      </w:r>
      <w:hyperlink r:id="rId2" w:history="1">
        <w:r w:rsidRPr="00A61512">
          <w:rPr>
            <w:rStyle w:val="Hyperlink"/>
            <w:sz w:val="24"/>
            <w:lang w:val="el-GR"/>
          </w:rPr>
          <w:t>http://data.europa.eu/eli/reg/2014/1141/oj</w:t>
        </w:r>
      </w:hyperlink>
      <w:r w:rsidRPr="00A61512">
        <w:rPr>
          <w:color w:val="0000FF"/>
          <w:sz w:val="24"/>
          <w:u w:val="single" w:color="0000FF"/>
          <w:lang w:val="el-GR"/>
        </w:rPr>
        <w:t xml:space="preserve">. </w:t>
      </w:r>
    </w:p>
  </w:footnote>
  <w:footnote w:id="4">
    <w:p w14:paraId="1F7DA6F1" w14:textId="348B5FAA" w:rsidR="00035F4F" w:rsidRPr="00576B31" w:rsidRDefault="00035F4F" w:rsidP="00576B31">
      <w:pPr>
        <w:pStyle w:val="FootnoteText"/>
        <w:spacing w:line="240" w:lineRule="auto"/>
        <w:ind w:left="567" w:hanging="567"/>
        <w:rPr>
          <w:sz w:val="24"/>
          <w:lang w:val="fi-FI"/>
        </w:rPr>
      </w:pPr>
      <w:r w:rsidRPr="00A61512">
        <w:rPr>
          <w:rStyle w:val="FootnoteReference"/>
          <w:sz w:val="24"/>
          <w:lang w:val="el-GR"/>
        </w:rPr>
        <w:footnoteRef/>
      </w:r>
      <w:r w:rsidR="00A61512" w:rsidRPr="00576B31">
        <w:rPr>
          <w:sz w:val="24"/>
          <w:lang w:val="fi-FI"/>
        </w:rPr>
        <w:t xml:space="preserve"> </w:t>
      </w:r>
      <w:r w:rsidR="00A61512" w:rsidRPr="00576B31">
        <w:rPr>
          <w:sz w:val="24"/>
          <w:lang w:val="fi-FI"/>
        </w:rPr>
        <w:tab/>
      </w:r>
      <w:r w:rsidRPr="00576B31">
        <w:rPr>
          <w:rStyle w:val="FootnoteReference"/>
          <w:sz w:val="24"/>
          <w:vertAlign w:val="baseline"/>
          <w:lang w:val="el-GR"/>
        </w:rPr>
        <w:t>ΕΕ</w:t>
      </w:r>
      <w:r w:rsidRPr="00576B31">
        <w:rPr>
          <w:rStyle w:val="FootnoteReference"/>
          <w:sz w:val="24"/>
          <w:vertAlign w:val="baseline"/>
          <w:lang w:val="fi-FI"/>
        </w:rPr>
        <w:t xml:space="preserve"> C 125 </w:t>
      </w:r>
      <w:r w:rsidRPr="00576B31">
        <w:rPr>
          <w:rStyle w:val="FootnoteReference"/>
          <w:sz w:val="24"/>
          <w:vertAlign w:val="baseline"/>
          <w:lang w:val="el-GR"/>
        </w:rPr>
        <w:t>της</w:t>
      </w:r>
      <w:r w:rsidRPr="00576B31">
        <w:rPr>
          <w:rStyle w:val="FootnoteReference"/>
          <w:sz w:val="24"/>
          <w:vertAlign w:val="baseline"/>
          <w:lang w:val="fi-FI"/>
        </w:rPr>
        <w:t xml:space="preserve"> 5.4.2023, </w:t>
      </w:r>
      <w:r w:rsidRPr="00576B31">
        <w:rPr>
          <w:rStyle w:val="FootnoteReference"/>
          <w:sz w:val="24"/>
          <w:vertAlign w:val="baseline"/>
          <w:lang w:val="el-GR"/>
        </w:rPr>
        <w:t>σ</w:t>
      </w:r>
      <w:r w:rsidRPr="00576B31">
        <w:rPr>
          <w:rStyle w:val="FootnoteReference"/>
          <w:sz w:val="24"/>
          <w:vertAlign w:val="baseline"/>
          <w:lang w:val="fi-FI"/>
        </w:rPr>
        <w:t>. 485</w:t>
      </w:r>
      <w:r w:rsidRPr="00576B31">
        <w:rPr>
          <w:sz w:val="24"/>
          <w:lang w:val="fi-FI"/>
        </w:rPr>
        <w:t>.</w:t>
      </w:r>
    </w:p>
  </w:footnote>
  <w:footnote w:id="5">
    <w:p w14:paraId="327A3B93" w14:textId="3111F053" w:rsidR="00035F4F" w:rsidRPr="00576B31" w:rsidRDefault="00035F4F" w:rsidP="00576B31">
      <w:pPr>
        <w:pStyle w:val="FootnoteText"/>
        <w:spacing w:line="240" w:lineRule="auto"/>
        <w:ind w:left="567" w:hanging="567"/>
        <w:rPr>
          <w:sz w:val="24"/>
          <w:lang w:val="fi-FI"/>
        </w:rPr>
      </w:pPr>
      <w:r w:rsidRPr="00A61512">
        <w:rPr>
          <w:rStyle w:val="FootnoteReference"/>
          <w:sz w:val="24"/>
          <w:lang w:val="el-GR"/>
        </w:rPr>
        <w:footnoteRef/>
      </w:r>
      <w:r w:rsidR="00A61512" w:rsidRPr="00576B31">
        <w:rPr>
          <w:sz w:val="24"/>
          <w:lang w:val="fi-FI"/>
        </w:rPr>
        <w:t xml:space="preserve"> </w:t>
      </w:r>
      <w:r w:rsidR="00A61512" w:rsidRPr="00576B31">
        <w:rPr>
          <w:sz w:val="24"/>
          <w:lang w:val="fi-FI"/>
        </w:rPr>
        <w:tab/>
      </w:r>
      <w:r w:rsidRPr="00A61512">
        <w:rPr>
          <w:sz w:val="24"/>
          <w:lang w:val="el-GR"/>
        </w:rPr>
        <w:t>ΕΕ</w:t>
      </w:r>
      <w:r w:rsidRPr="00576B31">
        <w:rPr>
          <w:sz w:val="24"/>
          <w:lang w:val="fi-FI"/>
        </w:rPr>
        <w:t xml:space="preserve"> L, 2024/900, 20.3.2024, ELI: </w:t>
      </w:r>
      <w:hyperlink r:id="rId3" w:history="1">
        <w:r w:rsidRPr="00576B31">
          <w:rPr>
            <w:rStyle w:val="Hyperlink"/>
            <w:sz w:val="24"/>
            <w:lang w:val="fi-FI"/>
          </w:rPr>
          <w:t>http://data.europa.eu/eli/reg/2024/900/oj</w:t>
        </w:r>
      </w:hyperlink>
      <w:r w:rsidRPr="00576B31">
        <w:rPr>
          <w:sz w:val="24"/>
          <w:lang w:val="fi-FI"/>
        </w:rPr>
        <w:t>.</w:t>
      </w:r>
    </w:p>
  </w:footnote>
  <w:footnote w:id="6">
    <w:p w14:paraId="164C4FF2" w14:textId="052848DE"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r w:rsidRPr="00A61512">
        <w:rPr>
          <w:sz w:val="24"/>
          <w:lang w:val="el-GR"/>
        </w:rPr>
        <w:t xml:space="preserve">ΕΕ L 277 της 27.10.2022, σ. 1, ELI: </w:t>
      </w:r>
      <w:hyperlink r:id="rId4" w:history="1">
        <w:r w:rsidRPr="00A61512">
          <w:rPr>
            <w:rStyle w:val="Hyperlink"/>
            <w:sz w:val="24"/>
            <w:lang w:val="el-GR"/>
          </w:rPr>
          <w:t>http://data.europa.eu/eli/reg/2022/2065/oj</w:t>
        </w:r>
      </w:hyperlink>
      <w:r w:rsidRPr="00A61512">
        <w:rPr>
          <w:sz w:val="24"/>
          <w:lang w:val="el-GR"/>
        </w:rPr>
        <w:t>.</w:t>
      </w:r>
    </w:p>
  </w:footnote>
  <w:footnote w:id="7">
    <w:p w14:paraId="08A3ACB7" w14:textId="51F81F4B" w:rsidR="00035F4F" w:rsidRPr="00576B31" w:rsidRDefault="00035F4F" w:rsidP="00576B31">
      <w:pPr>
        <w:pStyle w:val="FootnoteText"/>
        <w:spacing w:line="240" w:lineRule="auto"/>
        <w:ind w:left="567" w:hanging="567"/>
        <w:rPr>
          <w:sz w:val="24"/>
          <w:lang w:val="fi-FI"/>
        </w:rPr>
      </w:pPr>
      <w:r w:rsidRPr="00A61512">
        <w:rPr>
          <w:rStyle w:val="FootnoteReference"/>
          <w:sz w:val="24"/>
          <w:lang w:val="el-GR"/>
        </w:rPr>
        <w:footnoteRef/>
      </w:r>
      <w:r w:rsidR="00A61512" w:rsidRPr="00576B31">
        <w:rPr>
          <w:sz w:val="24"/>
          <w:lang w:val="fi-FI"/>
        </w:rPr>
        <w:t xml:space="preserve"> </w:t>
      </w:r>
      <w:r w:rsidR="00A61512" w:rsidRPr="00576B31">
        <w:rPr>
          <w:sz w:val="24"/>
          <w:lang w:val="fi-FI"/>
        </w:rPr>
        <w:tab/>
      </w:r>
      <w:r w:rsidRPr="00A61512">
        <w:rPr>
          <w:sz w:val="24"/>
          <w:lang w:val="el-GR"/>
        </w:rPr>
        <w:t>ΕΕ</w:t>
      </w:r>
      <w:r w:rsidRPr="00576B31">
        <w:rPr>
          <w:sz w:val="24"/>
          <w:lang w:val="fi-FI"/>
        </w:rPr>
        <w:t xml:space="preserve"> L, 2024/1689, 12.7.2024, ELI: </w:t>
      </w:r>
      <w:hyperlink r:id="rId5" w:history="1">
        <w:r w:rsidRPr="00576B31">
          <w:rPr>
            <w:rStyle w:val="Hyperlink"/>
            <w:sz w:val="24"/>
            <w:lang w:val="fi-FI"/>
          </w:rPr>
          <w:t>http://data.europa.eu/eli/reg/2024/1689/oj</w:t>
        </w:r>
      </w:hyperlink>
      <w:r w:rsidRPr="00576B31">
        <w:rPr>
          <w:sz w:val="24"/>
          <w:lang w:val="fi-FI"/>
        </w:rPr>
        <w:t>.</w:t>
      </w:r>
    </w:p>
  </w:footnote>
  <w:footnote w:id="8">
    <w:p w14:paraId="0A25ABFF" w14:textId="32554B02"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r w:rsidRPr="00A61512">
        <w:rPr>
          <w:sz w:val="24"/>
          <w:lang w:val="el-GR"/>
        </w:rPr>
        <w:t>ΕΕ C 465 της 6.12.2022, σ. 171.</w:t>
      </w:r>
    </w:p>
  </w:footnote>
  <w:footnote w:id="9">
    <w:p w14:paraId="6243FC00" w14:textId="55967554"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r w:rsidRPr="00A61512">
        <w:rPr>
          <w:sz w:val="24"/>
          <w:lang w:val="el-GR"/>
        </w:rPr>
        <w:t>ΕΕ C 425 της 20.10.2021, σ. 98.</w:t>
      </w:r>
    </w:p>
  </w:footnote>
  <w:footnote w:id="10">
    <w:p w14:paraId="652765D6" w14:textId="4E5DEC01" w:rsidR="00035F4F" w:rsidRPr="00576B31" w:rsidRDefault="00035F4F" w:rsidP="00576B31">
      <w:pPr>
        <w:pStyle w:val="FootnoteText"/>
        <w:spacing w:line="240" w:lineRule="auto"/>
        <w:ind w:left="567" w:hanging="567"/>
        <w:rPr>
          <w:sz w:val="24"/>
          <w:lang w:val="fi-FI"/>
        </w:rPr>
      </w:pPr>
      <w:r w:rsidRPr="00A61512">
        <w:rPr>
          <w:rStyle w:val="FootnoteReference"/>
          <w:sz w:val="24"/>
          <w:lang w:val="el-GR"/>
        </w:rPr>
        <w:footnoteRef/>
      </w:r>
      <w:r w:rsidR="00A61512" w:rsidRPr="00576B31">
        <w:rPr>
          <w:sz w:val="24"/>
          <w:lang w:val="fi-FI"/>
        </w:rPr>
        <w:t xml:space="preserve"> </w:t>
      </w:r>
      <w:r w:rsidR="00A61512" w:rsidRPr="00576B31">
        <w:rPr>
          <w:sz w:val="24"/>
          <w:lang w:val="fi-FI"/>
        </w:rPr>
        <w:tab/>
      </w:r>
      <w:r w:rsidRPr="00A61512">
        <w:rPr>
          <w:sz w:val="24"/>
          <w:lang w:val="el-GR"/>
        </w:rPr>
        <w:t>ΕΕ</w:t>
      </w:r>
      <w:r w:rsidRPr="00576B31">
        <w:rPr>
          <w:sz w:val="24"/>
          <w:lang w:val="fi-FI"/>
        </w:rPr>
        <w:t xml:space="preserve"> C, C/2024/4160, 2.8.2024, ELI: </w:t>
      </w:r>
      <w:hyperlink r:id="rId6" w:history="1">
        <w:r w:rsidRPr="00576B31">
          <w:rPr>
            <w:rStyle w:val="Hyperlink"/>
            <w:sz w:val="24"/>
            <w:lang w:val="fi-FI"/>
          </w:rPr>
          <w:t>http://data.europa.eu/eli/C/2024/4160/oj</w:t>
        </w:r>
      </w:hyperlink>
      <w:r w:rsidRPr="00576B31">
        <w:rPr>
          <w:sz w:val="24"/>
          <w:lang w:val="fi-FI"/>
        </w:rPr>
        <w:t>.</w:t>
      </w:r>
    </w:p>
  </w:footnote>
  <w:footnote w:id="11">
    <w:p w14:paraId="337ABAC7" w14:textId="4F71AC71" w:rsidR="00035F4F" w:rsidRPr="00576B31" w:rsidRDefault="00035F4F" w:rsidP="00576B31">
      <w:pPr>
        <w:pStyle w:val="FootnoteText"/>
        <w:spacing w:line="240" w:lineRule="auto"/>
        <w:ind w:left="567" w:hanging="567"/>
        <w:rPr>
          <w:sz w:val="24"/>
          <w:lang w:val="fi-FI"/>
        </w:rPr>
      </w:pPr>
      <w:r w:rsidRPr="00A61512">
        <w:rPr>
          <w:rStyle w:val="FootnoteReference"/>
          <w:sz w:val="24"/>
          <w:lang w:val="el-GR"/>
        </w:rPr>
        <w:footnoteRef/>
      </w:r>
      <w:r w:rsidR="00A61512" w:rsidRPr="00576B31">
        <w:rPr>
          <w:sz w:val="24"/>
          <w:lang w:val="fi-FI"/>
        </w:rPr>
        <w:t xml:space="preserve"> </w:t>
      </w:r>
      <w:r w:rsidR="00A61512" w:rsidRPr="00576B31">
        <w:rPr>
          <w:sz w:val="24"/>
          <w:lang w:val="fi-FI"/>
        </w:rPr>
        <w:tab/>
      </w:r>
      <w:r w:rsidRPr="00A61512">
        <w:rPr>
          <w:sz w:val="24"/>
          <w:lang w:val="el-GR"/>
        </w:rPr>
        <w:t>ΕΕ</w:t>
      </w:r>
      <w:r w:rsidRPr="00576B31">
        <w:rPr>
          <w:sz w:val="24"/>
          <w:lang w:val="fi-FI"/>
        </w:rPr>
        <w:t xml:space="preserve"> C, C/2025/1811, 4.4.2025, ELI: </w:t>
      </w:r>
      <w:hyperlink r:id="rId7" w:history="1">
        <w:r w:rsidRPr="00576B31">
          <w:rPr>
            <w:rStyle w:val="Hyperlink"/>
            <w:sz w:val="24"/>
            <w:lang w:val="fi-FI"/>
          </w:rPr>
          <w:t>http://data.europa.eu/eli/C/2025/1811/oj</w:t>
        </w:r>
      </w:hyperlink>
      <w:r w:rsidRPr="00576B31">
        <w:rPr>
          <w:sz w:val="24"/>
          <w:lang w:val="fi-FI"/>
        </w:rPr>
        <w:t xml:space="preserve">. </w:t>
      </w:r>
    </w:p>
  </w:footnote>
  <w:footnote w:id="12">
    <w:p w14:paraId="065C3DB0" w14:textId="02232289" w:rsidR="00035F4F" w:rsidRPr="00576B31" w:rsidRDefault="00035F4F" w:rsidP="00576B31">
      <w:pPr>
        <w:pStyle w:val="FootnoteText"/>
        <w:spacing w:line="240" w:lineRule="auto"/>
        <w:ind w:left="567" w:hanging="567"/>
        <w:rPr>
          <w:sz w:val="24"/>
          <w:lang w:val="fi-FI"/>
        </w:rPr>
      </w:pPr>
      <w:r w:rsidRPr="00A61512">
        <w:rPr>
          <w:rStyle w:val="FootnoteReference"/>
          <w:sz w:val="24"/>
          <w:lang w:val="el-GR"/>
        </w:rPr>
        <w:footnoteRef/>
      </w:r>
      <w:r w:rsidR="00A61512" w:rsidRPr="00576B31">
        <w:rPr>
          <w:sz w:val="24"/>
          <w:lang w:val="fi-FI"/>
        </w:rPr>
        <w:t xml:space="preserve"> </w:t>
      </w:r>
      <w:r w:rsidR="00A61512" w:rsidRPr="00576B31">
        <w:rPr>
          <w:sz w:val="24"/>
          <w:lang w:val="fi-FI"/>
        </w:rPr>
        <w:tab/>
      </w:r>
      <w:r w:rsidRPr="00A61512">
        <w:rPr>
          <w:sz w:val="24"/>
          <w:lang w:val="el-GR"/>
        </w:rPr>
        <w:t>ΕΕ</w:t>
      </w:r>
      <w:r w:rsidRPr="00576B31">
        <w:rPr>
          <w:sz w:val="24"/>
          <w:lang w:val="fi-FI"/>
        </w:rPr>
        <w:t xml:space="preserve"> C, C/2025/1981, 11.4.2025, ELI: </w:t>
      </w:r>
      <w:hyperlink r:id="rId8" w:history="1">
        <w:r w:rsidRPr="00576B31">
          <w:rPr>
            <w:rStyle w:val="Hyperlink"/>
            <w:sz w:val="24"/>
            <w:lang w:val="fi-FI"/>
          </w:rPr>
          <w:t>http://data.europa.eu/eli/C/2025/1981/oj</w:t>
        </w:r>
      </w:hyperlink>
      <w:r w:rsidRPr="00576B31">
        <w:rPr>
          <w:sz w:val="24"/>
          <w:lang w:val="fi-FI"/>
        </w:rPr>
        <w:t xml:space="preserve">. </w:t>
      </w:r>
    </w:p>
  </w:footnote>
  <w:footnote w:id="13">
    <w:p w14:paraId="1BB730CD" w14:textId="62D389F4" w:rsidR="00035F4F" w:rsidRPr="00576B31" w:rsidRDefault="00035F4F" w:rsidP="00576B31">
      <w:pPr>
        <w:pStyle w:val="FootnoteText"/>
        <w:spacing w:line="240" w:lineRule="auto"/>
        <w:ind w:left="567" w:hanging="567"/>
        <w:rPr>
          <w:sz w:val="24"/>
          <w:lang w:val="fi-FI"/>
        </w:rPr>
      </w:pPr>
      <w:r w:rsidRPr="00A61512">
        <w:rPr>
          <w:rStyle w:val="FootnoteReference"/>
          <w:sz w:val="24"/>
          <w:lang w:val="el-GR"/>
        </w:rPr>
        <w:footnoteRef/>
      </w:r>
      <w:r w:rsidR="00A61512" w:rsidRPr="00576B31">
        <w:rPr>
          <w:sz w:val="24"/>
          <w:lang w:val="fi-FI"/>
        </w:rPr>
        <w:t xml:space="preserve"> </w:t>
      </w:r>
      <w:r w:rsidR="00A61512" w:rsidRPr="00576B31">
        <w:rPr>
          <w:sz w:val="24"/>
          <w:lang w:val="fi-FI"/>
        </w:rPr>
        <w:tab/>
      </w:r>
      <w:r w:rsidRPr="00A61512">
        <w:rPr>
          <w:sz w:val="24"/>
          <w:lang w:val="el-GR"/>
        </w:rPr>
        <w:t>ΕΕ</w:t>
      </w:r>
      <w:r w:rsidRPr="00576B31">
        <w:rPr>
          <w:sz w:val="24"/>
          <w:lang w:val="fi-FI"/>
        </w:rPr>
        <w:t xml:space="preserve"> C, C/2024/4216, 24.7.2024, ELI: </w:t>
      </w:r>
      <w:hyperlink r:id="rId9" w:history="1">
        <w:r w:rsidRPr="00576B31">
          <w:rPr>
            <w:rStyle w:val="Hyperlink"/>
            <w:sz w:val="24"/>
            <w:lang w:val="fi-FI"/>
          </w:rPr>
          <w:t>http://data.europa.eu/eli/C/2024/4216/oj</w:t>
        </w:r>
      </w:hyperlink>
      <w:r w:rsidRPr="00576B31">
        <w:rPr>
          <w:sz w:val="24"/>
          <w:lang w:val="fi-FI"/>
        </w:rPr>
        <w:t>.</w:t>
      </w:r>
    </w:p>
  </w:footnote>
  <w:footnote w:id="14">
    <w:p w14:paraId="5DD7F439" w14:textId="4EDEDE46"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hyperlink r:id="rId10" w:history="1">
        <w:r w:rsidRPr="00A61512">
          <w:rPr>
            <w:rStyle w:val="Hyperlink"/>
            <w:sz w:val="24"/>
            <w:lang w:val="el-GR"/>
          </w:rPr>
          <w:t>Τελική έκθεση της αποστολής παρακολούθησης εκλογών του Γραφείου Δημοκρατικών Θεσμών και Ανθρωπίνων Δικαιωμάτων – Ουγγαρία, 2022</w:t>
        </w:r>
      </w:hyperlink>
      <w:r w:rsidRPr="00A61512">
        <w:rPr>
          <w:sz w:val="24"/>
          <w:lang w:val="el-GR"/>
        </w:rPr>
        <w:t>.</w:t>
      </w:r>
    </w:p>
  </w:footnote>
  <w:footnote w:id="15">
    <w:p w14:paraId="40C1210C" w14:textId="051E520F" w:rsidR="00035F4F" w:rsidRPr="00A61512" w:rsidRDefault="00035F4F" w:rsidP="00576B31">
      <w:pPr>
        <w:pStyle w:val="FootnoteText"/>
        <w:spacing w:line="240" w:lineRule="auto"/>
        <w:ind w:left="567" w:hanging="567"/>
        <w:rPr>
          <w:sz w:val="24"/>
          <w:lang w:val="el-GR"/>
        </w:rPr>
      </w:pPr>
      <w:r w:rsidRPr="00A61512">
        <w:rPr>
          <w:rStyle w:val="FootnoteReference"/>
          <w:sz w:val="24"/>
          <w:lang w:val="el-GR"/>
        </w:rPr>
        <w:footnoteRef/>
      </w:r>
      <w:r w:rsidR="00A61512" w:rsidRPr="00A61512">
        <w:rPr>
          <w:sz w:val="24"/>
          <w:lang w:val="el-GR"/>
        </w:rPr>
        <w:t xml:space="preserve"> </w:t>
      </w:r>
      <w:r w:rsidR="00A61512" w:rsidRPr="00A61512">
        <w:rPr>
          <w:sz w:val="24"/>
          <w:lang w:val="el-GR"/>
        </w:rPr>
        <w:tab/>
      </w:r>
      <w:r w:rsidRPr="00A61512">
        <w:rPr>
          <w:sz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hyperlink r:id="rId11" w:history="1">
        <w:r w:rsidRPr="00A61512">
          <w:rPr>
            <w:rStyle w:val="Hyperlink"/>
            <w:sz w:val="24"/>
            <w:lang w:val="el-GR"/>
          </w:rPr>
          <w:t>http://data.europa.eu/eli/dir/2024/1069/oj</w:t>
        </w:r>
      </w:hyperlink>
      <w:r w:rsidRPr="00A61512">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33991" w14:textId="77777777" w:rsidR="00064002" w:rsidRPr="00A615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B8AA7" w14:textId="77777777" w:rsidR="00064002" w:rsidRPr="00A615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4979C" w14:textId="77777777" w:rsidR="00064002" w:rsidRPr="00A615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5B5"/>
    <w:multiLevelType w:val="hybridMultilevel"/>
    <w:tmpl w:val="2CE48CC2"/>
    <w:lvl w:ilvl="0" w:tplc="70DE5908">
      <w:start w:val="1"/>
      <w:numFmt w:val="decimal"/>
      <w:lvlText w:val="%1."/>
      <w:lvlJc w:val="left"/>
      <w:pPr>
        <w:ind w:left="930" w:hanging="57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AAF16E9"/>
    <w:multiLevelType w:val="hybridMultilevel"/>
    <w:tmpl w:val="3200B2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56/2025"/>
    <w:docVar w:name="dvlangue" w:val="EL"/>
    <w:docVar w:name="dvnumam" w:val="0"/>
    <w:docVar w:name="dvpe" w:val="768.033"/>
    <w:docVar w:name="dvrapporteur" w:val="Εισηγήτρια: "/>
    <w:docVar w:name="dvtitre" w:val="Ψήφισμα του Ευρωπαϊκού Κοινοβουλίου σχετικά με τον απολογισμό των ευρωπαϊκών εκλογών του 2024(2025/2012(INI))"/>
  </w:docVars>
  <w:rsids>
    <w:rsidRoot w:val="009B6329"/>
    <w:rsid w:val="00002272"/>
    <w:rsid w:val="00035F4F"/>
    <w:rsid w:val="00064002"/>
    <w:rsid w:val="000677B9"/>
    <w:rsid w:val="000831BA"/>
    <w:rsid w:val="000A42CC"/>
    <w:rsid w:val="000D5BD1"/>
    <w:rsid w:val="000E7DD9"/>
    <w:rsid w:val="0010095E"/>
    <w:rsid w:val="00125B37"/>
    <w:rsid w:val="00187494"/>
    <w:rsid w:val="001A281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B3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329"/>
    <w:rsid w:val="00A1687D"/>
    <w:rsid w:val="00A43E52"/>
    <w:rsid w:val="00A4678D"/>
    <w:rsid w:val="00A6151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573B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B641B"/>
  <w15:chartTrackingRefBased/>
  <w15:docId w15:val="{642FC081-574F-456B-B7EF-847192E9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5F4F"/>
    <w:pPr>
      <w:spacing w:before="480" w:after="240"/>
    </w:pPr>
    <w:rPr>
      <w:snapToGrid w:val="0"/>
      <w:lang w:eastAsia="en-US"/>
    </w:rPr>
  </w:style>
  <w:style w:type="paragraph" w:customStyle="1" w:styleId="NormalHanging12a">
    <w:name w:val="NormalHanging12a"/>
    <w:basedOn w:val="Normal"/>
    <w:link w:val="NormalHanging12aChar"/>
    <w:rsid w:val="00035F4F"/>
    <w:pPr>
      <w:widowControl/>
      <w:spacing w:after="240"/>
      <w:ind w:left="567" w:hanging="567"/>
    </w:pPr>
    <w:rPr>
      <w:snapToGrid w:val="0"/>
      <w:lang w:eastAsia="en-US"/>
    </w:rPr>
  </w:style>
  <w:style w:type="character" w:customStyle="1" w:styleId="BoldItalic">
    <w:name w:val="BoldItalic"/>
    <w:uiPriority w:val="1"/>
    <w:rsid w:val="00035F4F"/>
    <w:rPr>
      <w:b/>
      <w:i/>
      <w:u w:val="none"/>
    </w:rPr>
  </w:style>
  <w:style w:type="character" w:customStyle="1" w:styleId="Italic">
    <w:name w:val="Italic"/>
    <w:uiPriority w:val="1"/>
    <w:rsid w:val="00035F4F"/>
    <w:rPr>
      <w:i/>
    </w:rPr>
  </w:style>
  <w:style w:type="character" w:styleId="Hyperlink">
    <w:name w:val="Hyperlink"/>
    <w:basedOn w:val="DefaultParagraphFont"/>
    <w:rsid w:val="00035F4F"/>
    <w:rPr>
      <w:color w:val="0000FF"/>
      <w:u w:val="single"/>
    </w:rPr>
  </w:style>
  <w:style w:type="character" w:customStyle="1" w:styleId="NormalHanging12aChar">
    <w:name w:val="NormalHanging12a Char"/>
    <w:basedOn w:val="DefaultParagraphFont"/>
    <w:link w:val="NormalHanging12a"/>
    <w:locked/>
    <w:rsid w:val="00035F4F"/>
    <w:rPr>
      <w:snapToGrid w:val="0"/>
      <w:sz w:val="24"/>
      <w:lang w:val="el-GR" w:eastAsia="en-US"/>
    </w:rPr>
  </w:style>
  <w:style w:type="paragraph" w:styleId="ListParagraph">
    <w:name w:val="List Paragraph"/>
    <w:basedOn w:val="Normal"/>
    <w:uiPriority w:val="34"/>
    <w:qFormat/>
    <w:rsid w:val="000D5BD1"/>
    <w:pPr>
      <w:ind w:left="720"/>
      <w:contextualSpacing/>
    </w:pPr>
  </w:style>
  <w:style w:type="paragraph" w:styleId="Revision">
    <w:name w:val="Revision"/>
    <w:hidden/>
    <w:uiPriority w:val="99"/>
    <w:semiHidden/>
    <w:rsid w:val="000D5BD1"/>
    <w:rPr>
      <w:sz w:val="24"/>
      <w:lang w:val="el-GR"/>
    </w:rPr>
  </w:style>
  <w:style w:type="paragraph" w:styleId="BalloonText">
    <w:name w:val="Balloon Text"/>
    <w:basedOn w:val="Normal"/>
    <w:link w:val="BalloonTextChar"/>
    <w:rsid w:val="00D573B3"/>
    <w:rPr>
      <w:rFonts w:ascii="Segoe UI" w:hAnsi="Segoe UI" w:cs="Segoe UI"/>
      <w:sz w:val="18"/>
      <w:szCs w:val="18"/>
    </w:rPr>
  </w:style>
  <w:style w:type="character" w:customStyle="1" w:styleId="BalloonTextChar">
    <w:name w:val="Balloon Text Char"/>
    <w:basedOn w:val="DefaultParagraphFont"/>
    <w:link w:val="BalloonText"/>
    <w:rsid w:val="00D573B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L/ALL/?uri=CELEX:52020DC07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FEF1E-D053-408B-BD53-6C01544BE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5375</Words>
  <Characters>32287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2025-09-11T10:40:00Z</dcterms:created>
  <dcterms:modified xsi:type="dcterms:W3CDTF">2025-09-11T10:40:00Z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A10-0156/2025</vt:lpwstr>
  </property>
  <property fmtid="{D5CDD505-2E9C-101B-9397-08002B2CF9AE}" pid="4" name="&lt;Type&gt;">
    <vt:lpwstr>RR</vt:lpwstr>
  </property>
</Properties>
</file>