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8122D" w14:paraId="30A08C0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C3FFEEC" w14:textId="58F0C6D0" w:rsidR="00751A4A" w:rsidRPr="0058122D" w:rsidRDefault="00123466" w:rsidP="0010095E">
            <w:pPr>
              <w:pStyle w:val="EPName"/>
            </w:pPr>
            <w:r w:rsidRPr="0058122D">
              <w:t>Parlament Europejski</w:t>
            </w:r>
          </w:p>
          <w:p w14:paraId="3E23AF07" w14:textId="77777777" w:rsidR="00751A4A" w:rsidRPr="0058122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8122D">
              <w:t>2024</w:t>
            </w:r>
            <w:r w:rsidR="00817416" w:rsidRPr="0058122D">
              <w:t>-202</w:t>
            </w:r>
            <w:r w:rsidRPr="0058122D">
              <w:t>9</w:t>
            </w:r>
          </w:p>
        </w:tc>
        <w:tc>
          <w:tcPr>
            <w:tcW w:w="2268" w:type="dxa"/>
            <w:shd w:val="clear" w:color="auto" w:fill="auto"/>
          </w:tcPr>
          <w:p w14:paraId="79FE6CCA" w14:textId="77777777" w:rsidR="00751A4A" w:rsidRPr="0058122D" w:rsidRDefault="00187494" w:rsidP="0010095E">
            <w:pPr>
              <w:pStyle w:val="EPLogo"/>
            </w:pPr>
            <w:r w:rsidRPr="0058122D">
              <w:rPr>
                <w:noProof/>
                <w:lang w:eastAsia="ja-JP"/>
              </w:rPr>
              <w:drawing>
                <wp:inline distT="0" distB="0" distL="0" distR="0" wp14:anchorId="51879C2C" wp14:editId="5A7F291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A27B757" w14:textId="77777777" w:rsidR="00D058B8" w:rsidRPr="0058122D" w:rsidRDefault="00D058B8" w:rsidP="004C5D52">
      <w:pPr>
        <w:pStyle w:val="LineTop"/>
      </w:pPr>
    </w:p>
    <w:p w14:paraId="640A4F57" w14:textId="77777777" w:rsidR="00AB10CD" w:rsidRDefault="00123466" w:rsidP="00680577">
      <w:pPr>
        <w:pStyle w:val="EPBodyTA1"/>
      </w:pPr>
      <w:r w:rsidRPr="0058122D">
        <w:t>TEKSTY PRZYJĘTE</w:t>
      </w:r>
    </w:p>
    <w:p w14:paraId="4AB53735" w14:textId="3375210C" w:rsidR="00123466" w:rsidRPr="0058122D" w:rsidRDefault="00123466" w:rsidP="00123466">
      <w:pPr>
        <w:pStyle w:val="ATHeading1"/>
      </w:pPr>
      <w:bookmarkStart w:id="0" w:name="TANumber"/>
      <w:r w:rsidRPr="0058122D">
        <w:t>P10_TA(2025)0</w:t>
      </w:r>
      <w:bookmarkEnd w:id="0"/>
      <w:r w:rsidR="00BA2474">
        <w:t>198</w:t>
      </w:r>
    </w:p>
    <w:p w14:paraId="6664A0D8" w14:textId="77777777" w:rsidR="00123466" w:rsidRPr="0058122D" w:rsidRDefault="00123466" w:rsidP="00123466">
      <w:pPr>
        <w:pStyle w:val="ATHeading2"/>
      </w:pPr>
      <w:bookmarkStart w:id="1" w:name="title"/>
      <w:r w:rsidRPr="0058122D">
        <w:t>Bilans wyborów europejskich w 2024 r.</w:t>
      </w:r>
      <w:bookmarkEnd w:id="1"/>
    </w:p>
    <w:p w14:paraId="61DBB8F9" w14:textId="77777777" w:rsidR="00123466" w:rsidRPr="0058122D" w:rsidRDefault="00123466" w:rsidP="00123466">
      <w:pPr>
        <w:rPr>
          <w:i/>
          <w:vanish/>
        </w:rPr>
      </w:pPr>
      <w:r w:rsidRPr="0058122D">
        <w:rPr>
          <w:i/>
        </w:rPr>
        <w:fldChar w:fldCharType="begin"/>
      </w:r>
      <w:r w:rsidRPr="0058122D">
        <w:rPr>
          <w:i/>
        </w:rPr>
        <w:instrText xml:space="preserve"> TC"(</w:instrText>
      </w:r>
      <w:bookmarkStart w:id="2" w:name="DocNumber"/>
      <w:r w:rsidRPr="0058122D">
        <w:rPr>
          <w:i/>
        </w:rPr>
        <w:instrText>A10-0156/2025</w:instrText>
      </w:r>
      <w:bookmarkEnd w:id="2"/>
      <w:r w:rsidRPr="0058122D">
        <w:rPr>
          <w:i/>
        </w:rPr>
        <w:instrText xml:space="preserve"> - Sprawozdawca: Ľubica Karvašová)"\l3 \n&gt; \* MERGEFORMAT </w:instrText>
      </w:r>
      <w:r w:rsidRPr="0058122D">
        <w:rPr>
          <w:i/>
        </w:rPr>
        <w:fldChar w:fldCharType="end"/>
      </w:r>
    </w:p>
    <w:p w14:paraId="2BCEC0EF" w14:textId="77777777" w:rsidR="00123466" w:rsidRPr="0058122D" w:rsidRDefault="00123466" w:rsidP="00123466">
      <w:pPr>
        <w:rPr>
          <w:vanish/>
        </w:rPr>
      </w:pPr>
      <w:bookmarkStart w:id="3" w:name="Commission"/>
      <w:r w:rsidRPr="0058122D">
        <w:rPr>
          <w:vanish/>
        </w:rPr>
        <w:t>Komisja Spraw Konstytucyjnych</w:t>
      </w:r>
      <w:bookmarkEnd w:id="3"/>
    </w:p>
    <w:p w14:paraId="62E3CD2E" w14:textId="77777777" w:rsidR="00123466" w:rsidRPr="0058122D" w:rsidRDefault="00123466" w:rsidP="00123466">
      <w:pPr>
        <w:rPr>
          <w:vanish/>
        </w:rPr>
      </w:pPr>
      <w:bookmarkStart w:id="4" w:name="PE"/>
      <w:r w:rsidRPr="0058122D">
        <w:rPr>
          <w:vanish/>
        </w:rPr>
        <w:t>PE768.033</w:t>
      </w:r>
      <w:bookmarkEnd w:id="4"/>
    </w:p>
    <w:p w14:paraId="75A7A8DB" w14:textId="10DD7ECE" w:rsidR="00123466" w:rsidRPr="0058122D" w:rsidRDefault="00123466" w:rsidP="00123466">
      <w:pPr>
        <w:pStyle w:val="ATHeading3"/>
      </w:pPr>
      <w:bookmarkStart w:id="5" w:name="Sujet"/>
      <w:r w:rsidRPr="0058122D">
        <w:t xml:space="preserve">Rezolucja Parlamentu Europejskiego z dnia </w:t>
      </w:r>
      <w:r w:rsidR="00AB10CD">
        <w:t>11 września</w:t>
      </w:r>
      <w:r w:rsidRPr="0058122D">
        <w:t xml:space="preserve"> 2025 r. w sprawie bilansu wyborów europejskich w 2024 r.</w:t>
      </w:r>
      <w:bookmarkEnd w:id="5"/>
      <w:r w:rsidRPr="0058122D">
        <w:t xml:space="preserve"> </w:t>
      </w:r>
      <w:bookmarkStart w:id="6" w:name="References"/>
      <w:r w:rsidRPr="0058122D">
        <w:t>(2025/2012(INI))</w:t>
      </w:r>
      <w:bookmarkEnd w:id="6"/>
    </w:p>
    <w:p w14:paraId="4DECEB14" w14:textId="77777777" w:rsidR="0041616A" w:rsidRPr="0058122D" w:rsidRDefault="0041616A" w:rsidP="0041616A">
      <w:pPr>
        <w:pStyle w:val="EPComma"/>
      </w:pPr>
      <w:r w:rsidRPr="0058122D">
        <w:rPr>
          <w:rStyle w:val="Italic"/>
        </w:rPr>
        <w:t>Parlament Europejski</w:t>
      </w:r>
      <w:r w:rsidRPr="0058122D">
        <w:t>,</w:t>
      </w:r>
    </w:p>
    <w:p w14:paraId="15033DCD" w14:textId="77777777" w:rsidR="0041616A" w:rsidRPr="0058122D" w:rsidRDefault="0041616A" w:rsidP="0041616A">
      <w:pPr>
        <w:pStyle w:val="NormalHanging12a"/>
      </w:pPr>
      <w:r w:rsidRPr="0058122D">
        <w:t>–</w:t>
      </w:r>
      <w:r w:rsidRPr="0058122D">
        <w:tab/>
        <w:t>uwzględniając Traktat o Unii Europejskiej (TUE), w szczególności jego art. 10 i 14 oraz art. 17 ust. 7,</w:t>
      </w:r>
    </w:p>
    <w:p w14:paraId="3866ABA7" w14:textId="77777777" w:rsidR="0041616A" w:rsidRPr="0058122D" w:rsidRDefault="0041616A" w:rsidP="0041616A">
      <w:pPr>
        <w:pStyle w:val="NormalHanging12a"/>
      </w:pPr>
      <w:r w:rsidRPr="0058122D">
        <w:t>–</w:t>
      </w:r>
      <w:r w:rsidRPr="0058122D">
        <w:tab/>
        <w:t>uwzględniając Traktat o funkcjonowaniu Unii Europejskiej (TFUE), w szczególności jego art. 20 i 22,</w:t>
      </w:r>
    </w:p>
    <w:p w14:paraId="55D3F8C3" w14:textId="77777777" w:rsidR="0041616A" w:rsidRPr="0058122D" w:rsidRDefault="0041616A" w:rsidP="0041616A">
      <w:pPr>
        <w:pStyle w:val="NormalHanging12a"/>
      </w:pPr>
      <w:r w:rsidRPr="0058122D">
        <w:t>–</w:t>
      </w:r>
      <w:r w:rsidRPr="0058122D">
        <w:tab/>
        <w:t>uwzględniając Kartę praw podstawowych Unii Europejskiej, a w szczególności jej art. 21, 39 i art. 52 ust. 1,</w:t>
      </w:r>
    </w:p>
    <w:p w14:paraId="3FFB3B8A" w14:textId="77777777" w:rsidR="0041616A" w:rsidRPr="0058122D" w:rsidRDefault="0041616A" w:rsidP="0041616A">
      <w:pPr>
        <w:pStyle w:val="NormalHanging12a"/>
      </w:pPr>
      <w:r w:rsidRPr="0058122D">
        <w:t>–</w:t>
      </w:r>
      <w:r w:rsidRPr="0058122D">
        <w:tab/>
        <w:t>uwzględniając deklarację odnoszącą się do art. 17 ust. 6 i 7 Traktatu o Unii Europejskiej dołączoną do Aktu końcowego konferencji międzyrządowej, która przyjęła Traktat z Lizbony,</w:t>
      </w:r>
    </w:p>
    <w:p w14:paraId="2427E9C9" w14:textId="77777777" w:rsidR="0041616A" w:rsidRPr="0058122D" w:rsidRDefault="0041616A" w:rsidP="0041616A">
      <w:pPr>
        <w:pStyle w:val="NormalHanging12a"/>
      </w:pPr>
      <w:r w:rsidRPr="0058122D">
        <w:t>–</w:t>
      </w:r>
      <w:r w:rsidRPr="0058122D">
        <w:tab/>
        <w:t>uwzględniając Międzynarodowy pakt praw obywatelskich i politycznych, w szczególności jego art. 25,</w:t>
      </w:r>
    </w:p>
    <w:p w14:paraId="2A4096E4" w14:textId="77777777" w:rsidR="0041616A" w:rsidRPr="0058122D" w:rsidRDefault="0041616A" w:rsidP="0041616A">
      <w:pPr>
        <w:pStyle w:val="NormalHanging12a"/>
      </w:pPr>
      <w:r w:rsidRPr="0058122D">
        <w:t>–</w:t>
      </w:r>
      <w:r w:rsidRPr="0058122D">
        <w:tab/>
        <w:t>uwzględniając Konwencję ONZ o prawach osób niepełnosprawnych, w szczególności jej art. 29,</w:t>
      </w:r>
    </w:p>
    <w:p w14:paraId="0AE97EA0" w14:textId="77777777" w:rsidR="0041616A" w:rsidRPr="0058122D" w:rsidRDefault="0041616A" w:rsidP="0041616A">
      <w:pPr>
        <w:pStyle w:val="NormalHanging12a"/>
      </w:pPr>
      <w:r w:rsidRPr="0058122D">
        <w:t>–</w:t>
      </w:r>
      <w:r w:rsidRPr="0058122D">
        <w:tab/>
        <w:t>uwzględniając dyrektywę Rady 93/109/WE z dnia 6 grudnia 1993 r. ustanawiającą szczegółowe warunki wykonywania prawa głosowania i kandydowania w wyborach do Parlamentu Europejskiego przez obywateli Unii mających miejsce zamieszkania w państwie członkowskim, którego nie są obywatelami</w:t>
      </w:r>
      <w:r w:rsidRPr="0058122D">
        <w:rPr>
          <w:rStyle w:val="FootnoteReference"/>
          <w:color w:val="000000"/>
        </w:rPr>
        <w:footnoteReference w:id="1"/>
      </w:r>
      <w:r w:rsidRPr="0058122D">
        <w:t>,</w:t>
      </w:r>
    </w:p>
    <w:p w14:paraId="3AAB72C7" w14:textId="77777777" w:rsidR="0041616A" w:rsidRPr="0058122D" w:rsidRDefault="0041616A" w:rsidP="0041616A">
      <w:pPr>
        <w:pStyle w:val="NormalHanging12a"/>
      </w:pPr>
      <w:r w:rsidRPr="0058122D">
        <w:t>–</w:t>
      </w:r>
      <w:r w:rsidRPr="0058122D">
        <w:tab/>
        <w:t xml:space="preserve">uwzględniając decyzję Rady (UE, Euratom) 2018/994 z dnia 13 lipca 2018 r. zmieniającą Akt dotyczący wyborów członków Parlamentu Europejskiego </w:t>
      </w:r>
      <w:r w:rsidRPr="0058122D">
        <w:lastRenderedPageBreak/>
        <w:t>w powszechnych wyborach bezpośrednich, załączony do decyzji Rady 76/787/EWWiS, EWG, Euratom z dnia 20 września 1976 r.</w:t>
      </w:r>
      <w:r w:rsidRPr="0058122D">
        <w:rPr>
          <w:rStyle w:val="FootnoteReference"/>
          <w:color w:val="000000"/>
        </w:rPr>
        <w:footnoteReference w:id="2"/>
      </w:r>
      <w:r w:rsidRPr="0058122D">
        <w:t>,</w:t>
      </w:r>
    </w:p>
    <w:p w14:paraId="5E5F0E0A" w14:textId="77777777" w:rsidR="0041616A" w:rsidRPr="0058122D" w:rsidRDefault="0041616A" w:rsidP="0041616A">
      <w:pPr>
        <w:pStyle w:val="NormalHanging12a"/>
      </w:pPr>
      <w:r w:rsidRPr="0058122D">
        <w:t>–</w:t>
      </w:r>
      <w:r w:rsidRPr="0058122D">
        <w:tab/>
        <w:t>uwzględniając rozporządzenie Parlamentu Europejskiego i Rady (UE, Euratom) nr 1141/2014 z dnia 22 października 2014 r. w sprawie statusu i finansowania europejskich partii politycznych i europejskich fundacji politycznych</w:t>
      </w:r>
      <w:r w:rsidRPr="0058122D">
        <w:rPr>
          <w:rStyle w:val="FootnoteReference"/>
          <w:color w:val="000000"/>
        </w:rPr>
        <w:footnoteReference w:id="3"/>
      </w:r>
      <w:r w:rsidRPr="0058122D">
        <w:t>,</w:t>
      </w:r>
    </w:p>
    <w:p w14:paraId="7FAA75FD" w14:textId="77777777" w:rsidR="0041616A" w:rsidRPr="0058122D" w:rsidRDefault="0041616A" w:rsidP="0041616A">
      <w:pPr>
        <w:pStyle w:val="NormalHanging12a"/>
      </w:pPr>
      <w:r w:rsidRPr="0058122D">
        <w:t>–</w:t>
      </w:r>
      <w:r w:rsidRPr="0058122D">
        <w:tab/>
        <w:t>uwzględniając poprawki do wniosku dotyczącego rozporządzenia Parlamentu Europejskiego i Rady w sprawie statusu i finansowania europejskich partii politycznych i europejskich fundacji politycznych, przyjęte przez siebie 15 września 2022 r.</w:t>
      </w:r>
      <w:r w:rsidRPr="0058122D">
        <w:rPr>
          <w:rStyle w:val="FootnoteReference"/>
          <w:color w:val="000000"/>
        </w:rPr>
        <w:footnoteReference w:id="4"/>
      </w:r>
      <w:r w:rsidRPr="0058122D">
        <w:t>,</w:t>
      </w:r>
    </w:p>
    <w:p w14:paraId="497D5B61" w14:textId="77777777" w:rsidR="0041616A" w:rsidRPr="0058122D" w:rsidRDefault="0041616A" w:rsidP="0041616A">
      <w:pPr>
        <w:pStyle w:val="NormalHanging12a"/>
      </w:pPr>
      <w:r w:rsidRPr="0058122D">
        <w:t>–</w:t>
      </w:r>
      <w:r w:rsidRPr="0058122D">
        <w:tab/>
        <w:t>uwzględniając wniosek Komisji z dnia 25 listopada 2021 r. dotyczący dyrektywy Rady ustanawiającej szczegółowe warunki wykonywania prawa głosowania i kandydowania w wyborach do Parlamentu Europejskiego przez obywateli Unii mających miejsce zamieszkania w państwie członkowskim, którego nie są obywatelami (COM(2021)0732)</w:t>
      </w:r>
      <w:r w:rsidRPr="0058122D">
        <w:rPr>
          <w:shd w:val="clear" w:color="auto" w:fill="FFFFFF"/>
        </w:rPr>
        <w:t>,</w:t>
      </w:r>
    </w:p>
    <w:p w14:paraId="69276470" w14:textId="77777777" w:rsidR="0041616A" w:rsidRPr="0058122D" w:rsidRDefault="0041616A" w:rsidP="0041616A">
      <w:pPr>
        <w:pStyle w:val="NormalHanging12a"/>
      </w:pPr>
      <w:r w:rsidRPr="0058122D">
        <w:t>–</w:t>
      </w:r>
      <w:r w:rsidRPr="0058122D">
        <w:tab/>
        <w:t>uwzględniając rozporządzenie Parlamentu Europejskiego i Rady (UE) 2024/900 z dnia 13 marca 2024 r. w sprawie przejrzystości i targetowania reklamy politycznej</w:t>
      </w:r>
      <w:r w:rsidRPr="0058122D">
        <w:rPr>
          <w:rStyle w:val="FootnoteReference"/>
          <w:color w:val="000000"/>
        </w:rPr>
        <w:footnoteReference w:id="5"/>
      </w:r>
    </w:p>
    <w:p w14:paraId="2745127A" w14:textId="77777777" w:rsidR="0041616A" w:rsidRPr="0058122D" w:rsidRDefault="0041616A" w:rsidP="0041616A">
      <w:pPr>
        <w:pStyle w:val="NormalHanging12a"/>
      </w:pPr>
      <w:r w:rsidRPr="0058122D">
        <w:t>–</w:t>
      </w:r>
      <w:r w:rsidRPr="0058122D">
        <w:tab/>
        <w:t>uwzględniając rozporządzenie Parlamentu Europejskiego i Rady (UE) 2022/2065 z dnia 19 października 2022 r. w sprawie jednolitego rynku usług cyfrowych oraz zmiany dyrektywy 2000/31/WE (akt o usługach cyfrowych)</w:t>
      </w:r>
      <w:r w:rsidRPr="0058122D">
        <w:rPr>
          <w:rStyle w:val="FootnoteReference"/>
          <w:color w:val="000000"/>
        </w:rPr>
        <w:footnoteReference w:id="6"/>
      </w:r>
      <w:r w:rsidRPr="0058122D">
        <w:t>,</w:t>
      </w:r>
    </w:p>
    <w:p w14:paraId="1FE29A7B" w14:textId="77777777" w:rsidR="0041616A" w:rsidRPr="0058122D" w:rsidRDefault="0041616A" w:rsidP="0041616A">
      <w:pPr>
        <w:pStyle w:val="NormalHanging12a"/>
      </w:pPr>
      <w:r w:rsidRPr="0058122D">
        <w:t>–</w:t>
      </w:r>
      <w:r w:rsidRPr="0058122D">
        <w:tab/>
        <w:t>uwzględniając rozporządzenie Parlamentu Europejskiego i Rady (UE) 2024/1689 z dnia 13 czerwca 2024 r. w sprawie ustanowienia zharmonizowanych przepisów dotyczących sztucznej inteligencji oraz zmiany rozporządzeń (WE) nr 300/2008, (UE) nr 167/2013, (UE) nr 168/2013, (UE) 2018/858, (UE) 2018/1139 i (UE) 2019/2144 oraz dyrektyw 2014/90/UE, (UE) 2016/797 i (UE) 2020/1828 (akt w sprawie sztucznej inteligencji)</w:t>
      </w:r>
      <w:r w:rsidRPr="0058122D">
        <w:rPr>
          <w:rStyle w:val="FootnoteReference"/>
          <w:color w:val="000000"/>
        </w:rPr>
        <w:footnoteReference w:id="7"/>
      </w:r>
      <w:r w:rsidRPr="0058122D">
        <w:t>,</w:t>
      </w:r>
    </w:p>
    <w:p w14:paraId="534D1116" w14:textId="77777777" w:rsidR="0041616A" w:rsidRPr="0058122D" w:rsidRDefault="0041616A" w:rsidP="0041616A">
      <w:pPr>
        <w:pStyle w:val="NormalHanging12a"/>
      </w:pPr>
      <w:r w:rsidRPr="0058122D">
        <w:t>–</w:t>
      </w:r>
      <w:r w:rsidRPr="0058122D">
        <w:tab/>
        <w:t>uwzględniając umowę o współpracy między Parlamentem Europejskim a Europejskim Komitetem Regionów z dnia 13 maja 2024 r.,</w:t>
      </w:r>
    </w:p>
    <w:p w14:paraId="4E955FDE" w14:textId="77777777" w:rsidR="0041616A" w:rsidRPr="0058122D" w:rsidRDefault="0041616A" w:rsidP="0041616A">
      <w:pPr>
        <w:pStyle w:val="NormalHanging12a"/>
      </w:pPr>
      <w:r w:rsidRPr="0058122D">
        <w:t>–</w:t>
      </w:r>
      <w:r w:rsidRPr="0058122D">
        <w:tab/>
        <w:t>uwzględniając protokół ustaleń z dnia 28 lutego 2024 r. między Parlamentem Europejskim a Europejskim Komitetem Regionów w sprawie współpracy w okresie poprzedzającym wybory w 2024 r.,</w:t>
      </w:r>
    </w:p>
    <w:p w14:paraId="538BB08C" w14:textId="77777777" w:rsidR="0041616A" w:rsidRPr="0058122D" w:rsidRDefault="0041616A" w:rsidP="0041616A">
      <w:pPr>
        <w:pStyle w:val="NormalHanging12a"/>
      </w:pPr>
      <w:r w:rsidRPr="0058122D">
        <w:t>–</w:t>
      </w:r>
      <w:r w:rsidRPr="0058122D">
        <w:tab/>
        <w:t>uwzględniając stanowisko Parlamentu z dnia 3 maja 2022 r. w sprawie wniosku dotyczącego rozporządzenia Rady w sprawie wyboru posłów do Parlamentu Europejskiego w powszechnych wyborach bezpośrednich, uchylającego decyzję Rady (76/787/EWWiS, EWG, Euratom) oraz załączony do tej decyzji Akt dotyczący wyborów przedstawicieli do Parlamentu Europejskiego w powszechnych wyborach bezpośrednich</w:t>
      </w:r>
      <w:r w:rsidRPr="0058122D">
        <w:rPr>
          <w:rStyle w:val="FootnoteReference"/>
        </w:rPr>
        <w:footnoteReference w:id="8"/>
      </w:r>
      <w:r w:rsidRPr="0058122D">
        <w:t>,</w:t>
      </w:r>
    </w:p>
    <w:p w14:paraId="3100D017" w14:textId="77777777" w:rsidR="0041616A" w:rsidRPr="0058122D" w:rsidRDefault="0041616A" w:rsidP="0041616A">
      <w:pPr>
        <w:pStyle w:val="NormalHanging12a"/>
      </w:pPr>
      <w:r w:rsidRPr="0058122D">
        <w:lastRenderedPageBreak/>
        <w:t>–</w:t>
      </w:r>
      <w:r w:rsidRPr="0058122D">
        <w:tab/>
        <w:t>uwzględniając swoją rezolucję z dnia 26 listopada 2020 r. w sprawie oceny wyborów europejskich</w:t>
      </w:r>
      <w:r w:rsidRPr="0058122D">
        <w:rPr>
          <w:rStyle w:val="FootnoteReference"/>
          <w:color w:val="000000"/>
        </w:rPr>
        <w:footnoteReference w:id="9"/>
      </w:r>
      <w:r w:rsidRPr="0058122D">
        <w:t>,</w:t>
      </w:r>
    </w:p>
    <w:p w14:paraId="073BC50C" w14:textId="77777777" w:rsidR="0041616A" w:rsidRPr="0058122D" w:rsidRDefault="0041616A" w:rsidP="0041616A">
      <w:pPr>
        <w:pStyle w:val="NormalHanging12a"/>
      </w:pPr>
      <w:r w:rsidRPr="0058122D">
        <w:t>–</w:t>
      </w:r>
      <w:r w:rsidRPr="0058122D">
        <w:tab/>
        <w:t>uwzględniając swoją rezolucję z dnia 12 grudnia 2023 r. w sprawie wyborów europejskich w 2024 r.</w:t>
      </w:r>
      <w:r w:rsidRPr="0058122D">
        <w:rPr>
          <w:rStyle w:val="FootnoteReference"/>
          <w:color w:val="000000"/>
        </w:rPr>
        <w:footnoteReference w:id="10"/>
      </w:r>
      <w:r w:rsidRPr="0058122D">
        <w:t>,</w:t>
      </w:r>
    </w:p>
    <w:p w14:paraId="1B0303CD" w14:textId="77777777" w:rsidR="0041616A" w:rsidRPr="0058122D" w:rsidRDefault="0041616A" w:rsidP="0041616A">
      <w:pPr>
        <w:pStyle w:val="NormalHanging12a"/>
      </w:pPr>
      <w:r w:rsidRPr="0058122D">
        <w:t>–</w:t>
      </w:r>
      <w:r w:rsidRPr="0058122D">
        <w:tab/>
        <w:t>uwzględniając swoją decyzję z dnia 27 listopada 2024 r. w sprawie wyboru Komisji</w:t>
      </w:r>
      <w:r w:rsidRPr="0058122D">
        <w:rPr>
          <w:rStyle w:val="FootnoteReference"/>
        </w:rPr>
        <w:footnoteReference w:id="11"/>
      </w:r>
      <w:r w:rsidRPr="0058122D">
        <w:t>,</w:t>
      </w:r>
    </w:p>
    <w:p w14:paraId="5DB589EA" w14:textId="12DFB78F" w:rsidR="0041616A" w:rsidRPr="0058122D" w:rsidRDefault="0041616A" w:rsidP="0041616A">
      <w:pPr>
        <w:pStyle w:val="NormalHanging12a"/>
      </w:pPr>
      <w:r w:rsidRPr="0058122D">
        <w:t>–</w:t>
      </w:r>
      <w:r w:rsidRPr="0058122D">
        <w:tab/>
        <w:t>uwzględniając komunikat Komisji z 3 grudnia 2020 r., zatytułowany „Europejski plan działania na rzecz demokracji” (</w:t>
      </w:r>
      <w:r w:rsidRPr="00AB10CD">
        <w:t>COM(2020)0790</w:t>
      </w:r>
      <w:r w:rsidRPr="0058122D">
        <w:t>) i późniejszy pakiet „Obrona demokracji” z grudnia 2023 r.,</w:t>
      </w:r>
    </w:p>
    <w:p w14:paraId="1878C9ED" w14:textId="77777777" w:rsidR="0041616A" w:rsidRPr="0058122D" w:rsidRDefault="0041616A" w:rsidP="0041616A">
      <w:pPr>
        <w:pStyle w:val="NormalHanging12a"/>
      </w:pPr>
      <w:r w:rsidRPr="0058122D">
        <w:t>–</w:t>
      </w:r>
      <w:r w:rsidRPr="0058122D">
        <w:tab/>
        <w:t>uwzględniając decyzję Parlamentu Europejskiego w sprawie powołania, kompetencji, składu liczbowego i długości kadencji Komisji Specjalnej ds. Europejskiej Tarczy Demokracji z dnia 18 grudnia 2024 r., określający jej obowiązki, liczebność i długość kadencji</w:t>
      </w:r>
      <w:r w:rsidRPr="0058122D">
        <w:rPr>
          <w:rStyle w:val="FootnoteReference"/>
        </w:rPr>
        <w:footnoteReference w:id="12"/>
      </w:r>
      <w:r w:rsidRPr="0058122D">
        <w:t>,</w:t>
      </w:r>
    </w:p>
    <w:p w14:paraId="6CE73C7F" w14:textId="77777777" w:rsidR="0041616A" w:rsidRPr="0058122D" w:rsidRDefault="0041616A" w:rsidP="0041616A">
      <w:pPr>
        <w:pStyle w:val="NormalHanging12a"/>
      </w:pPr>
      <w:r w:rsidRPr="0058122D">
        <w:t>–</w:t>
      </w:r>
      <w:r w:rsidRPr="0058122D">
        <w:tab/>
        <w:t>uwzględniając swoją rezolucję z dnia 22 listopada 2023 r. w sprawie propozycji Parlamentu Europejskiego dotyczących zmiany traktatów</w:t>
      </w:r>
      <w:r w:rsidRPr="0058122D">
        <w:rPr>
          <w:rStyle w:val="FootnoteReference"/>
          <w:color w:val="000000"/>
        </w:rPr>
        <w:footnoteReference w:id="13"/>
      </w:r>
      <w:r w:rsidRPr="0058122D">
        <w:t>,</w:t>
      </w:r>
    </w:p>
    <w:p w14:paraId="7E08C533" w14:textId="77777777" w:rsidR="0041616A" w:rsidRPr="0058122D" w:rsidRDefault="0041616A" w:rsidP="0041616A">
      <w:pPr>
        <w:pStyle w:val="NormalHanging12a"/>
      </w:pPr>
      <w:r w:rsidRPr="0058122D">
        <w:t>–</w:t>
      </w:r>
      <w:r w:rsidRPr="0058122D">
        <w:tab/>
        <w:t>uwzględniając sprawozdanie dotyczące końcowych wyników Konferencji w sprawie przyszłości Europy z maja 2022 r.,</w:t>
      </w:r>
    </w:p>
    <w:p w14:paraId="3182397A" w14:textId="77777777" w:rsidR="0041616A" w:rsidRPr="0058122D" w:rsidRDefault="0041616A" w:rsidP="0041616A">
      <w:pPr>
        <w:pStyle w:val="NormalHanging12a"/>
      </w:pPr>
      <w:r w:rsidRPr="0058122D">
        <w:t>–</w:t>
      </w:r>
      <w:r w:rsidRPr="0058122D">
        <w:tab/>
        <w:t>uwzględniając pakiet rozszerzeniowy Komisji z dnia 30 października 2024 r.,</w:t>
      </w:r>
    </w:p>
    <w:p w14:paraId="6BE3D236" w14:textId="77777777" w:rsidR="0041616A" w:rsidRPr="0058122D" w:rsidRDefault="0041616A" w:rsidP="0041616A">
      <w:pPr>
        <w:pStyle w:val="NormalHanging12a"/>
      </w:pPr>
      <w:r w:rsidRPr="0058122D">
        <w:t>–</w:t>
      </w:r>
      <w:r w:rsidRPr="0058122D">
        <w:tab/>
        <w:t>uwzględniając art. 55 Regulaminu,</w:t>
      </w:r>
    </w:p>
    <w:p w14:paraId="1E045A1B" w14:textId="77777777" w:rsidR="0041616A" w:rsidRPr="0058122D" w:rsidRDefault="0041616A" w:rsidP="0041616A">
      <w:pPr>
        <w:pStyle w:val="NormalHanging12a"/>
      </w:pPr>
      <w:r w:rsidRPr="0058122D">
        <w:t>–</w:t>
      </w:r>
      <w:r w:rsidRPr="0058122D">
        <w:tab/>
        <w:t>uwzględniając sprawozdanie Komisji Spraw Konstytucyjnych (A10-0156/2025),</w:t>
      </w:r>
    </w:p>
    <w:p w14:paraId="28017449" w14:textId="77777777" w:rsidR="0041616A" w:rsidRPr="0058122D" w:rsidRDefault="0041616A" w:rsidP="00AB10CD">
      <w:pPr>
        <w:pStyle w:val="NormalHanging12a"/>
        <w:ind w:hanging="566"/>
      </w:pPr>
      <w:r w:rsidRPr="0058122D">
        <w:t>A.</w:t>
      </w:r>
      <w:r w:rsidRPr="0058122D">
        <w:tab/>
        <w:t>mając na uwadze, że w 2024 r. odnotowano najwyższą od 25 lat frekwencję w wyborach do Parlamentu Europejskiego, tj. 50,74 % (nieznaczny wzrost w porównaniu z 50,66 % w 2019 r.), co stanowi pozytywny i istotny sygnał, świadczący o zainteresowaniu obywateli europejskich sprawami UE; mając na uwadze, że między państwami członkowskimi wystąpiły znaczne różnice we frekwencji (od 89,01 % do 21,35 %), co wskazuje, że potrzebne są stałe inwestycje polityczne w udział w wyborach w całej UE;</w:t>
      </w:r>
    </w:p>
    <w:p w14:paraId="5AD6CA04" w14:textId="77777777" w:rsidR="0041616A" w:rsidRPr="0058122D" w:rsidRDefault="0041616A" w:rsidP="00AB10CD">
      <w:pPr>
        <w:pStyle w:val="NormalHanging12a"/>
      </w:pPr>
      <w:r w:rsidRPr="0058122D">
        <w:t>B.</w:t>
      </w:r>
      <w:r w:rsidRPr="0058122D">
        <w:tab/>
        <w:t>mając na uwadze, że wybory europejskie w 2024 r. odbyły się jednocześnie z wyborami parlamentarnymi w dwóch państwach członkowskich, z wyborami lokalnymi i regionalnymi w ośmiu państwach członkowskich oraz referendum w jednym państwie członkowskim;</w:t>
      </w:r>
    </w:p>
    <w:p w14:paraId="7D10EFD0" w14:textId="77777777" w:rsidR="0041616A" w:rsidRPr="0058122D" w:rsidRDefault="0041616A" w:rsidP="00AB10CD">
      <w:pPr>
        <w:pStyle w:val="NormalHanging12a"/>
      </w:pPr>
      <w:r w:rsidRPr="0058122D">
        <w:t>C.</w:t>
      </w:r>
      <w:r w:rsidRPr="0058122D">
        <w:tab/>
        <w:t>mając na uwadze, że w większości państw członkowskich odnotowano wyższą frekwencję w porównaniu z poprzednimi wyborami europejskimi;</w:t>
      </w:r>
    </w:p>
    <w:p w14:paraId="0DCD0224" w14:textId="77777777" w:rsidR="0041616A" w:rsidRPr="0058122D" w:rsidRDefault="0041616A" w:rsidP="00AB10CD">
      <w:pPr>
        <w:pStyle w:val="NormalHanging12a"/>
      </w:pPr>
      <w:r w:rsidRPr="0058122D">
        <w:lastRenderedPageBreak/>
        <w:t>D.</w:t>
      </w:r>
      <w:r w:rsidRPr="0058122D">
        <w:tab/>
        <w:t>mając na uwadze, że w niektórych państwach członkowskich rozszerzono prawa wyborcze przez obniżenie wieku uprawniającego do głosowania do 16 lat, w wyniku czego prawa wyborcze uzyskało dwa miliony osób poniżej 18. roku życia; mając na uwadze, że niektóre państwa członkowskie obniżyły wiek uprawniający do kandydowania do 18 lat, podczas gdy w innych nadal wynosi on 25 lat; mając na uwadze, że ogółem 25 mln młodych ludzi głosowało pierwszy raz w życiu;</w:t>
      </w:r>
    </w:p>
    <w:p w14:paraId="0CD7D10F" w14:textId="77777777" w:rsidR="0041616A" w:rsidRPr="0058122D" w:rsidRDefault="0041616A" w:rsidP="00AB10CD">
      <w:pPr>
        <w:spacing w:after="240"/>
        <w:ind w:left="567" w:hanging="567"/>
      </w:pPr>
      <w:r w:rsidRPr="0058122D">
        <w:t>E.</w:t>
      </w:r>
      <w:r w:rsidRPr="0058122D">
        <w:tab/>
        <w:t>mając na uwadze, że według powyborczego badania Eurobarometru frekwencja młodych ludzi (poniżej 25. roku życia) w wyborach europejskich była o 6 % niższa w porównaniu z wyborami w 2019 r. (spadek z 42 % w 2019 r. do 36 % w 2024 r.); mając na uwadze, że frekwencja wśród młodych ludzi powinna pozostać centralnym punktem działań politycznych w nadchodzących latach;</w:t>
      </w:r>
    </w:p>
    <w:p w14:paraId="022D6E8F" w14:textId="77777777" w:rsidR="0041616A" w:rsidRPr="0058122D" w:rsidRDefault="0041616A" w:rsidP="00AB10CD">
      <w:pPr>
        <w:spacing w:after="240"/>
        <w:ind w:left="567" w:hanging="567"/>
      </w:pPr>
      <w:r w:rsidRPr="0058122D">
        <w:t>F.</w:t>
      </w:r>
      <w:r w:rsidRPr="0058122D">
        <w:tab/>
        <w:t>mając na uwadze, że brakuje jednolitych i szczegółowych danych o udziale grup szczególnie wrażliwych lub korzystaniu z alternatywnych metod głosowania; mając na uwadze, że należy w większym stopniu zharmonizować krajowe ramy gromadzenia danych dotyczących wyborów europejskich, aby wspierać oparte na dowodach rozwiązania polityczne na szczeblu UE;</w:t>
      </w:r>
    </w:p>
    <w:p w14:paraId="566D8340" w14:textId="77777777" w:rsidR="0041616A" w:rsidRPr="0058122D" w:rsidRDefault="0041616A" w:rsidP="00AB10CD">
      <w:pPr>
        <w:spacing w:after="240"/>
        <w:ind w:left="567" w:hanging="567"/>
      </w:pPr>
      <w:r w:rsidRPr="0058122D">
        <w:t>G.</w:t>
      </w:r>
      <w:r w:rsidRPr="0058122D">
        <w:tab/>
        <w:t>mając na uwadze, że w wyborach kandydowało około 18 400 osób startujących z 490 list wyborczych, a kampanie przebiegały w myśl różnych zasad wyborczych, które w większości podlegają przepisom krajowym w poszczególnych państwach członkowskich; mając na uwadze, że okres rejestracji kandydatów i okres kampanii wynosiły od kilku miesięcy do kilku tygodni; mając na uwadze, że dziewięć państw członkowskich nie dopuszczało niezależnych indywidualnych kandydatur;</w:t>
      </w:r>
    </w:p>
    <w:p w14:paraId="39936D52" w14:textId="77777777" w:rsidR="0041616A" w:rsidRPr="0058122D" w:rsidRDefault="0041616A" w:rsidP="00AB10CD">
      <w:pPr>
        <w:pStyle w:val="NormalHanging12a"/>
      </w:pPr>
      <w:r w:rsidRPr="0058122D">
        <w:t>H.</w:t>
      </w:r>
      <w:r w:rsidRPr="0058122D">
        <w:tab/>
        <w:t>mając na uwadze, że między państwami członkowskimi nadal istnieją znaczne różnice w podejściach regulacyjnych i ograniczeniach dotyczących czynnego i biernego prawa wyborczego; mając na uwadze, że ważne reformy służące ujednoliceniu zasad i procedur wyborczych w całej Unii nie zostały jeszcze zakończone;</w:t>
      </w:r>
    </w:p>
    <w:p w14:paraId="67D5BF06" w14:textId="77777777" w:rsidR="0041616A" w:rsidRPr="0058122D" w:rsidRDefault="0041616A" w:rsidP="00AB10CD">
      <w:pPr>
        <w:pStyle w:val="NormalHanging12a"/>
      </w:pPr>
      <w:r w:rsidRPr="0058122D">
        <w:t>I.</w:t>
      </w:r>
      <w:r w:rsidRPr="0058122D">
        <w:tab/>
        <w:t>mając na uwadze, że najnowsze badanie Eurobarometru sugeruje, że w wyborach europejskich w 2024 r. ludzie byli bardziej skłonni do głosowania ze względu na wspólne kwestie europejskie, takie jak koszty utrzymania, gospodarka, migracja, praworządność i zmiana klimatu; mając na uwadze, że w debatach krajowych kwestie te często poruszane są wyłącznie z perspektywy polityki krajowej; mając na uwadze, że partie polityczne i kandydaci odpowiadają za właściwe informowanie obywateli o reakcji politycznej i sprawowaniu rządów na szczeblu UE, w tym o europejskich partiach politycznych i o grupach politycznych w Parlamencie, z którymi partie te są powiązane;</w:t>
      </w:r>
    </w:p>
    <w:p w14:paraId="0E0E3A06" w14:textId="77777777" w:rsidR="0041616A" w:rsidRPr="0058122D" w:rsidRDefault="0041616A" w:rsidP="00AB10CD">
      <w:pPr>
        <w:pStyle w:val="NormalHanging12a"/>
      </w:pPr>
      <w:r w:rsidRPr="0058122D">
        <w:t>J.</w:t>
      </w:r>
      <w:r w:rsidRPr="0058122D">
        <w:tab/>
        <w:t>mając na uwadze, że z braku scentralizowanego europejskiego rejestru wyborców wymiana danych między państwami członkowskimi na temat ewentualnego wielokrotnego głosowania pozostaje wyzwaniem, choćby ze względu na niedostępność danych dotyczących podwójnego obywatelstwa;</w:t>
      </w:r>
    </w:p>
    <w:p w14:paraId="52D4C0C9" w14:textId="77777777" w:rsidR="0041616A" w:rsidRPr="0058122D" w:rsidRDefault="0041616A" w:rsidP="00AB10CD">
      <w:pPr>
        <w:pStyle w:val="NormalHanging12a"/>
      </w:pPr>
      <w:r w:rsidRPr="0058122D">
        <w:t>K.</w:t>
      </w:r>
      <w:r w:rsidRPr="0058122D">
        <w:tab/>
        <w:t>mając na uwadze, że specjalne środki sprzyjają udziałowi w wyborach oraz reprezentacji grup niedostatecznie reprezentowanych i wrażliwych; mając na uwadze, że 11 państw członkowskich wprowadziło parytet dla kobiet;</w:t>
      </w:r>
    </w:p>
    <w:p w14:paraId="673EC61D" w14:textId="77777777" w:rsidR="00AB10CD" w:rsidRDefault="0041616A" w:rsidP="00AB10CD">
      <w:pPr>
        <w:spacing w:after="240"/>
        <w:ind w:left="567" w:hanging="567"/>
      </w:pPr>
      <w:r w:rsidRPr="0058122D">
        <w:t>L.</w:t>
      </w:r>
      <w:r w:rsidRPr="0058122D">
        <w:tab/>
        <w:t xml:space="preserve">mając na uwadze, że 11 mln obywateli UE mieszkających w państwie członkowskim </w:t>
      </w:r>
      <w:r w:rsidRPr="0058122D">
        <w:lastRenderedPageBreak/>
        <w:t>innym niż państwo pochodzenia było uprawnionych do głosowania w państwie zamieszkania; mając na uwadze, że nadal napotykają oni bariery administracyjne utrudniające im uczestnictwo wyborach w kraju zamieszkania; mając na uwadze, że Rada zignorowała stanowisko Parlamentu z 14 lutego 2023 r., które miało na celu usunięcie tych barier;</w:t>
      </w:r>
    </w:p>
    <w:p w14:paraId="17F82F10" w14:textId="4ED1F207" w:rsidR="0041616A" w:rsidRPr="0058122D" w:rsidRDefault="0041616A" w:rsidP="00AB10CD">
      <w:pPr>
        <w:pStyle w:val="NormalHanging12a"/>
      </w:pPr>
      <w:r w:rsidRPr="0058122D">
        <w:t>M.</w:t>
      </w:r>
      <w:r w:rsidRPr="0058122D">
        <w:tab/>
        <w:t>mając na uwadze, że zdrowa demokracja zależy od tego, czy wyborcy mają dostęp do szerokiej gamy pomysłów, perspektyw i informacji; mając na uwadze, że wolność słowa gwarantuje kandydatom, partiom, mediom i obywatelom możliwość wyrażania opinii, prowadzenia debaty na temat strategii politycznych i dzielenia się faktami, z których wyborcy mogą swobodnie korzystać, by dokonywać świadomych wyborów;</w:t>
      </w:r>
    </w:p>
    <w:p w14:paraId="273248EA" w14:textId="77777777" w:rsidR="0041616A" w:rsidRPr="0058122D" w:rsidRDefault="0041616A" w:rsidP="00AB10CD">
      <w:pPr>
        <w:spacing w:after="240"/>
        <w:ind w:left="567" w:hanging="567"/>
      </w:pPr>
      <w:r w:rsidRPr="0058122D">
        <w:t>N.</w:t>
      </w:r>
      <w:r w:rsidRPr="0058122D">
        <w:tab/>
        <w:t>mając na uwadze, że dezinformacja negatywnie wpływa na zdrową debatę polityczną;</w:t>
      </w:r>
      <w:r w:rsidRPr="0058122D">
        <w:rPr>
          <w:color w:val="00B050"/>
        </w:rPr>
        <w:t xml:space="preserve"> </w:t>
      </w:r>
      <w:r w:rsidRPr="0058122D">
        <w:t xml:space="preserve">mając na uwadze, że dezinformacja, między innymi w mediach społecznościowych, nadal stanowi rosnące zagrożenie systemowe dla europejskich procesów wyborczych i demokratycznych; mając na uwadze, że Komisja wszczęła postępowania w sprawie uchybienia zobowiązaniom państwa członkowskiego i rozpoczęła postępowania wyjaśniające przeciwko niektórym dużym platformom internetowym, w tym w sprawie wprowadzającej w błąd reklamy politycznej oraz w sprawie braku monitorowania i moderowania treści, który wynika z braku wyznaczenia krajowych koordynatorów usług cyfrowych lub z braku uprawnień właściwych organów do wykonywania zadań wymaganych na podstawie aktu o usługach cyfrowych; mając w szczególności na uwadze, że platforma społecznościowa X (dawniej Twitter) i jej właściciel Elon Musk w swojej polityce korporacyjnej i komunikacji nadal otwarcie lekceważą organy regulacyjne UE; </w:t>
      </w:r>
    </w:p>
    <w:p w14:paraId="4F23F327" w14:textId="77777777" w:rsidR="0041616A" w:rsidRPr="0058122D" w:rsidRDefault="0041616A" w:rsidP="00AB10CD">
      <w:pPr>
        <w:pStyle w:val="NormalHanging12a"/>
      </w:pPr>
      <w:r w:rsidRPr="0058122D">
        <w:t>O.</w:t>
      </w:r>
      <w:r w:rsidRPr="0058122D">
        <w:tab/>
        <w:t>mając na uwadze, że większość przepisów nowego rozporządzenia (UE) 2024/900 w sprawie przejrzystości i targetowania reklamy politycznej jeszcze nie obowiązywała w czasie wyborów europejskich; mając na uwadze, że oczekuje się, iż rozporządzenie to będzie uzupełnieniem aktu o usługach cyfrowych i zwiększy odporność UE na ingerencje w wybory;</w:t>
      </w:r>
    </w:p>
    <w:p w14:paraId="256DD8CD" w14:textId="77777777" w:rsidR="00AB10CD" w:rsidRDefault="0041616A" w:rsidP="00AB10CD">
      <w:pPr>
        <w:spacing w:after="240"/>
        <w:ind w:left="567" w:hanging="567"/>
        <w:rPr>
          <w:sz w:val="22"/>
        </w:rPr>
      </w:pPr>
      <w:r w:rsidRPr="0058122D">
        <w:t>P.</w:t>
      </w:r>
      <w:r w:rsidRPr="0058122D">
        <w:tab/>
        <w:t>mając na uwadze, że poprawa reprezentacji osób z niepełnosprawnościami w Parlamencie ma kluczowe znaczenie dla wspierania prawdziwie integracyjnego i zróżnicowanego organu ustawodawczego;</w:t>
      </w:r>
    </w:p>
    <w:p w14:paraId="11A09B28" w14:textId="7A92AD38" w:rsidR="00AB10CD" w:rsidRDefault="0041616A" w:rsidP="00AB10CD">
      <w:pPr>
        <w:spacing w:after="240"/>
        <w:ind w:left="567" w:hanging="567"/>
      </w:pPr>
      <w:r w:rsidRPr="0058122D">
        <w:t>Q.</w:t>
      </w:r>
      <w:r w:rsidRPr="0058122D">
        <w:tab/>
        <w:t>mając na uwadze, że młodzi Europejczycy stanowią 25 % ogółu ludności UE, a jedynie 10 % mandatów w Parlamencie piastują wybrani posłowie w wieku poniżej 30 lat;</w:t>
      </w:r>
    </w:p>
    <w:p w14:paraId="471443A8" w14:textId="77777777" w:rsidR="00AB10CD" w:rsidRDefault="0041616A" w:rsidP="00AB10CD">
      <w:pPr>
        <w:spacing w:after="240"/>
        <w:ind w:left="567" w:hanging="567"/>
      </w:pPr>
      <w:r w:rsidRPr="0058122D">
        <w:t>R.</w:t>
      </w:r>
      <w:r w:rsidRPr="0058122D">
        <w:tab/>
        <w:t>mając na uwadze, że wybory w 2024 r. wskazują na ogólny spadek reprezentacji kobiet w Parlamencie, przy czym kobiety piastują obecnie około 38,6 % mandatów, czyli mniej niż 40 % w 2019 r.;</w:t>
      </w:r>
    </w:p>
    <w:p w14:paraId="2052D59B" w14:textId="596D098D" w:rsidR="0041616A" w:rsidRPr="0058122D" w:rsidRDefault="0041616A" w:rsidP="00AB10CD">
      <w:pPr>
        <w:pStyle w:val="NormalHanging12a"/>
      </w:pPr>
      <w:r w:rsidRPr="0058122D">
        <w:t>S.</w:t>
      </w:r>
      <w:r w:rsidRPr="0058122D">
        <w:tab/>
        <w:t>mając na uwadze, że ostatnie zawirowania geopolityczne – w tym pandemia COVID-19, niesprowokowana i nieuzasadniona pełnoskalowa wojna napastnicza Rosji przeciwko Ukrainie oraz niepokojąca zmiana w stosunkach transatlantyckich – stanowią pożywkę dla narracji dezinformacyjnych;</w:t>
      </w:r>
    </w:p>
    <w:p w14:paraId="24D96C4F" w14:textId="680C3DC5" w:rsidR="0041616A" w:rsidRPr="0058122D" w:rsidRDefault="0041616A" w:rsidP="00AB10CD">
      <w:pPr>
        <w:pStyle w:val="NormalHanging12a"/>
      </w:pPr>
      <w:r w:rsidRPr="0058122D">
        <w:t>T.</w:t>
      </w:r>
      <w:r w:rsidRPr="0058122D">
        <w:tab/>
        <w:t xml:space="preserve">mając na uwadze, że przyszłe rozszerzenie będzie wymagało gruntownej reformy struktury instytucjonalnej Unii, w miarę możliwości obejmującej jej ramy wyborcze; mając na uwadze, że Unia licząca ponad 30 państw członkowskich może być liczącym </w:t>
      </w:r>
      <w:r w:rsidRPr="0058122D">
        <w:lastRenderedPageBreak/>
        <w:t xml:space="preserve">się i niezależnym podmiotem na arenie międzynarodowej oraz prawidłowo funkcjonować tylko pod warunkiem, że jej proces decyzyjny stanie się mniej biurokratyczny i wydajniejszy oraz będzie opierać się na prawdziwie europejskiej, ponadnarodowej i wspólnej sferze demokratycznej; </w:t>
      </w:r>
    </w:p>
    <w:p w14:paraId="441CD3BD" w14:textId="77777777" w:rsidR="0041616A" w:rsidRPr="0058122D" w:rsidRDefault="0041616A" w:rsidP="00AB10CD">
      <w:pPr>
        <w:pStyle w:val="NormalHanging12a"/>
      </w:pPr>
      <w:r w:rsidRPr="0058122D">
        <w:rPr>
          <w:rStyle w:val="BoldItalic"/>
          <w:color w:val="000000"/>
        </w:rPr>
        <w:t>Demokracja europejska po wyborach wybory europejskich w 2024 r.</w:t>
      </w:r>
    </w:p>
    <w:p w14:paraId="43173D6B" w14:textId="77777777" w:rsidR="0041616A" w:rsidRPr="0058122D" w:rsidRDefault="0041616A" w:rsidP="00AB10CD">
      <w:pPr>
        <w:pStyle w:val="NormalHanging12a"/>
      </w:pPr>
      <w:r w:rsidRPr="0058122D">
        <w:t>1.</w:t>
      </w:r>
      <w:r w:rsidRPr="0058122D">
        <w:tab/>
        <w:t xml:space="preserve">przypomina, że gotowość i zdolność UE do reagowania na wyzwania XXI wieku w imieniu obywateli w znacznej mierze zależy od zdolności do utrzymania i rozbudzenia zdrowej debaty demokratycznej, przy jednoczesnym zapewnieniu odporności i integralności procesów wyborczych i demokratycznych; podkreśla, że nie wolno ich uznać za dane raz na zawsze i że należy je wzmocnić i chronić za pomocą spójnych ram politycznych; jest przekonany, że prace te są dalekie od ukończenia i że należy zintensyfikować działania polityczne, aby poprawić udział w wyborach oraz uczynić Unię mniej biurokratyczną, a bardziej demokratyczną i skuteczną w podejmowaniu decyzji; </w:t>
      </w:r>
    </w:p>
    <w:p w14:paraId="6D9BF72D" w14:textId="77777777" w:rsidR="0041616A" w:rsidRPr="0058122D" w:rsidRDefault="0041616A" w:rsidP="00AB10CD">
      <w:pPr>
        <w:pStyle w:val="NormalHanging12a"/>
      </w:pPr>
      <w:r w:rsidRPr="0058122D">
        <w:t>2.</w:t>
      </w:r>
      <w:r w:rsidRPr="0058122D">
        <w:tab/>
        <w:t>z zadowoleniem odnotowuje stosunkowo wysoką frekwencję w 10. wyborach europejskich – łączna frekwencja wyniosła 50,74 %, czyli nieznacznie wzrosła w porównaniu z wyborami w 2019 r.; jest przekonany, że liczby te odzwierciedlają większe zaangażowanie społeczeństwa w projekt europejski oraz rosnące znaczenie Parlamentu i jego wpływ na codzienne życie obywateli; jest jednak zaniepokojony dużymi różnicami we frekwencji w poszczególnych państwach członkowskich i pozostaje zdeterminowany, aby wzmocnić wysiłki polityczne mające na celu zniwelowanie różnic i podwyższenie frekwencji we wszystkich grupach w całej UE;</w:t>
      </w:r>
    </w:p>
    <w:p w14:paraId="13667A3A" w14:textId="77777777" w:rsidR="0041616A" w:rsidRPr="0058122D" w:rsidRDefault="0041616A" w:rsidP="00AB10CD">
      <w:pPr>
        <w:pStyle w:val="NormalHanging12a"/>
      </w:pPr>
      <w:r w:rsidRPr="0058122D">
        <w:t>3.</w:t>
      </w:r>
      <w:r w:rsidRPr="0058122D">
        <w:tab/>
        <w:t>pochwala wysiłki instytucji europejskich oraz Europejskiej Unii Radiofonii i Telewizji, by na całym kontynencie poprawić rozpoznawalność kandydatów w wyborach europejskich, w tym poprzez serię szeroko relacjonowanych debat ogólnoeuropejskich, w których udział wzięli kandydaci czołowi z różnych rodzin politycznych, a także poprzez debaty pod hasłem „Idź na wybory”, podnoszące świadomość wśród młodych Europejczyków; z zadowoleniem odnotowuje pozytywny wpływ własnej instytucjonalnej strategii komunikacyjnej pod hasłem „wykorzystaj swój głos albo inni zdecydują za ciebie”, która miała na celu uświadamianie znaczenia wyborów; uważa, że poprawiła się współpraca między instytucjami i z organami wyborczymi państw członkowskich mająca na celu podniesienie frekwencji wyborczej, i zobowiązuje się do większych wysiłków koordynacyjnych w tym obszarze; apeluje o dalsze znaczne inwestycje w celu zwiększenia zasięgu tych kampanii i transmisji przed wyborami w 2029 r.; podkreśla istotną i pozytywną rolę biur kontaktowych Parlamentu Europejskiego w wyborach europejskich;</w:t>
      </w:r>
    </w:p>
    <w:p w14:paraId="5D6BC6BB" w14:textId="77777777" w:rsidR="0041616A" w:rsidRPr="0058122D" w:rsidRDefault="0041616A" w:rsidP="00AB10CD">
      <w:pPr>
        <w:pStyle w:val="NormalHanging12a"/>
      </w:pPr>
      <w:r w:rsidRPr="0058122D">
        <w:t>4.</w:t>
      </w:r>
      <w:r w:rsidRPr="0058122D">
        <w:tab/>
        <w:t xml:space="preserve">podkreśla, że stworzenie europejskiego demosu i wspólnej przestrzeni demokratycznej wymaga przede wszystkim zmiany kulturowej w oparciu o długoterminową strategię i odpowiednie zasoby na rzecz wzmocnienia europejskiej świadomości i obywatelstwa, w ścisłej współpracy ze społeczeństwem obywatelskim i zainteresowanymi stronami społecznymi; ubolewa, że kampanie przed wyborami europejskimi są w państwach członkowskich zbyt często prowadzone z perspektywy czysto krajowej, nawet gdy dotyczą wspólnych kwestii europejskich; wzywa krajowe partie polityczne i kandydatów w wyborach europejskich, a także krajowe media do odpowiedniego i szczerego informowania obywateli o sprawowaniu rządów na szczeblu UE, w tym o europejskich partiach politycznych i grupach politycznych w Parlamencie, z którymi </w:t>
      </w:r>
      <w:r w:rsidRPr="0058122D">
        <w:lastRenderedPageBreak/>
        <w:t>partie krajowe są powiązane; zachęca partie krajowe, aby zacieśniły współpracę w tym zakresie ze swoimi odpowiednikami na szczeblu europejskim i poprawiły swoją europejską widoczność; zobowiązuje się do stworzenia sprzyjającego temu otoczenia regulacyjnego;</w:t>
      </w:r>
    </w:p>
    <w:p w14:paraId="612A8430" w14:textId="77777777" w:rsidR="00AB10CD" w:rsidRPr="00AB10CD" w:rsidRDefault="0041616A" w:rsidP="00AB10CD">
      <w:pPr>
        <w:spacing w:after="240"/>
        <w:ind w:left="567" w:hanging="567"/>
        <w:rPr>
          <w:sz w:val="22"/>
        </w:rPr>
      </w:pPr>
      <w:r w:rsidRPr="0058122D">
        <w:t>5.</w:t>
      </w:r>
      <w:r w:rsidRPr="0058122D">
        <w:tab/>
        <w:t>zaznacza, że należy dołożyć starań, aby zwiększyć udział w wyborach europejskich grup niedostatecznie reprezentowanych; jest zaniepokojony spadkiem frekwencji wśród młodych ludzi i zobowiązuje się do większych wysiłków politycznych w celu docierania z kampanią wyborczą do tej kluczowej grupy demograficznej; zauważa, że zaangażowanie młodych ludzi w przyszłość UE ma kluczowe znaczenie; zachęca państwa członkowskie do przyjęcia specjalnych ram politycznych dotyczących ułatwień zarówno w głosowaniu, jak i w kandydowaniu, w tym przez specjalne kampanie informacyjne oraz alternatywne metody głosowania, takich jak głosowanie korespondencyjne i głosowanie przez pełnomocnika; uznaje potrzebę dalszych postępów w kierunku bardziej pluralistycznego procesu wyborczego, zapewniającego każdemu obywatelowi równe szanse udziału w procesie demokratycznym;</w:t>
      </w:r>
      <w:r w:rsidRPr="0058122D">
        <w:rPr>
          <w:color w:val="00B050"/>
        </w:rPr>
        <w:t xml:space="preserve"> </w:t>
      </w:r>
      <w:r w:rsidRPr="0058122D">
        <w:t>zauważa, że niewielu posłów do Parlamentu Europejskiego należy do mniejszości narodowych i etnicznych oficjalnie uznanych za mniejszości w państwach członkowskich zgodnie z ich unormowaniami konstytucyjnymi lub ustawowymi oraz instrumentami Rady Europy; podkreśla, że walka z rasizmem, dyskryminacją i wykluczeniem jest obowiązkiem wynikającym z podstawowych wartości UE i Karty praw podstawowych Unii Europejskiej; wzywa państwa członkowskie i krajowe partie polityczne do przyjęcia proaktywnych i proporcjonalnych środków sprzyjających skutecznej integracji i reprezentacji w wyborach europejskich wspomnianych mniejszości, w tym społeczności romskich, przy pełnym poszanowaniu krajowych porządków konstytucyjnych;</w:t>
      </w:r>
    </w:p>
    <w:p w14:paraId="15CE4D58" w14:textId="77777777" w:rsidR="00AB10CD" w:rsidRDefault="0041616A" w:rsidP="00AB10CD">
      <w:pPr>
        <w:spacing w:after="240"/>
        <w:ind w:left="567" w:hanging="567"/>
        <w:rPr>
          <w:bCs/>
          <w:iCs/>
        </w:rPr>
      </w:pPr>
      <w:r w:rsidRPr="0058122D">
        <w:t>6.</w:t>
      </w:r>
      <w:r w:rsidRPr="0058122D">
        <w:tab/>
        <w:t>podkreśla, że wybory do Parlamentu mogły nie być uczciwe na Węgrzech; podkreśla w tym kontekście, że w sprawozdaniu końcowym misji obserwacji wyborów Biura Instytucji Demokratycznych i Praw Człowieka OBWE (ODIHR)</w:t>
      </w:r>
      <w:r w:rsidRPr="0058122D">
        <w:rPr>
          <w:rStyle w:val="FootnoteReference"/>
          <w:bCs/>
          <w:iCs/>
        </w:rPr>
        <w:footnoteReference w:id="14"/>
      </w:r>
      <w:r w:rsidRPr="0058122D">
        <w:t xml:space="preserve"> dotyczącym wyborów parlamentarnych i referendum na Węgrzech 3 kwietnia 2022 r. stwierdzono „brak równych warunków działania”; podkreśla, że rząd węgierski ponosi odpowiedzialność za przywrócenie zgodności z prawem UE i wartościami zapisanymi w art. 2 TUE, i wyraża głębokie ubolewanie, że brak zdecydowanych działań UE przyczynił się do załamania demokracji, praworządności i praw podstawowych na Węgrzech, co – jak pokazują odpowiednie wskaźniki – przekształciło ten kraj w hybrydowy system autokracji wyborczej; wyraża zaniepokojenie szeregiem wniosków węgierskiego centralnego prokuratora śledczego o uchylenie immunitetu posłów do PE;</w:t>
      </w:r>
    </w:p>
    <w:p w14:paraId="305AA16D" w14:textId="77777777" w:rsidR="00AB10CD" w:rsidRDefault="0041616A" w:rsidP="00AB10CD">
      <w:pPr>
        <w:spacing w:after="240"/>
        <w:ind w:left="567" w:hanging="567"/>
      </w:pPr>
      <w:r w:rsidRPr="0058122D">
        <w:t>7.</w:t>
      </w:r>
      <w:r w:rsidRPr="0058122D">
        <w:tab/>
        <w:t>ponownie wyraża żywione od dawna przekonanie, że aby wybory europejskie stały się bardziej demokratyczne, odporne, inkluzywne i prawdziwie europejskie, konieczne są dalsze reformy i dostosowania unijnych ram wyborczych; wskazuje na szereg niezrealizowanych inicjatyw politycznych w tym zakresie i ponownie apeluje do Rady UE i Rady Europejskiej o konstruktywną współpracę z Parlamentem w celu wypracowania rozwiązań politycznych działających w interesie obywateli europejskich;</w:t>
      </w:r>
    </w:p>
    <w:p w14:paraId="48554248" w14:textId="2679F938" w:rsidR="0041616A" w:rsidRPr="0058122D" w:rsidRDefault="0041616A" w:rsidP="00AB10CD">
      <w:pPr>
        <w:pStyle w:val="NormalHanging12a"/>
      </w:pPr>
      <w:r w:rsidRPr="0058122D">
        <w:rPr>
          <w:rStyle w:val="BoldItalic"/>
          <w:color w:val="000000"/>
        </w:rPr>
        <w:t>Reforma instytucjonalna i wyborcza</w:t>
      </w:r>
    </w:p>
    <w:p w14:paraId="09DC96CE" w14:textId="77777777" w:rsidR="0041616A" w:rsidRPr="0058122D" w:rsidRDefault="0041616A" w:rsidP="00AB10CD">
      <w:pPr>
        <w:spacing w:after="240"/>
        <w:ind w:left="567" w:hanging="567"/>
      </w:pPr>
      <w:r w:rsidRPr="0058122D">
        <w:t>8.</w:t>
      </w:r>
      <w:r w:rsidRPr="0058122D">
        <w:tab/>
        <w:t xml:space="preserve">wyraża przekonanie, że potrzebne są przegląd i unowocześnienie ram regulacyjnych </w:t>
      </w:r>
      <w:r w:rsidRPr="0058122D">
        <w:lastRenderedPageBreak/>
        <w:t>dotyczących wyborów europejskich, aby zwiększyć wpływ wyborczy obywateli i zmniejszyć rozbieżności regulacyjne między 27 państwami członkowskimi, w tym przez ustalenie jednego wspólnego dnia głosowania oraz wyrównanie minimalnego wieku uprawniającego do głosowania; przypomina, że oczekuje się, iż decyzja Rady (UE, Euratom) 2018/994 przyniesie znaczące pozytywne zmiany w tym zakresie, podobnie jak szereg propozycji w ramach będącego w toku wniosku z 3 maja 2022 r. dotyczącego nowego prawa wyborczego; ponawia swój apel do Rady o konstruktywną współpracę z Parlamentem, aby umożliwić jej szybkie zatwierdzenie; przypomina, że 26 z 27 państw członkowskich ratyfikowało już przegląd z 2018 r., i zobowiązuje się krytycznie ocenić przyczyny opóźnienia jego wdrożenia w niektórych państwach członkowskich;</w:t>
      </w:r>
    </w:p>
    <w:p w14:paraId="4735E7B0" w14:textId="77777777" w:rsidR="00AB10CD" w:rsidRDefault="0041616A" w:rsidP="00AB10CD">
      <w:pPr>
        <w:spacing w:after="240"/>
        <w:ind w:left="567" w:hanging="567"/>
      </w:pPr>
      <w:r w:rsidRPr="0058122D">
        <w:t>9.</w:t>
      </w:r>
      <w:r w:rsidRPr="0058122D">
        <w:tab/>
        <w:t>ubolewa, że nowe proponowane przepisy dotyczące czynnego i biernego prawa wyborczego w wyborach do Parlamentu w odniesieniu do obywateli korzystających z prawa do swobodnego przemieszczania się nie zostały przyjęte przez Radę przed wyborami w 2024 r.; wskazuje, że obywatele, którzy korzystają z prawa do swobodnego przemieszczania się, nadal mają trudności z pełnym wykonywaniem przyznanych im w traktatach praw wyborczych dotyczących wyborów do Parlamentu, ze względu na nieuzasadnione przeszkody w uczestnictwie demokratycznym, w tym brak świadomości obowiązujących warunków i przepisów; przyznaje, że projekt dyrektywy Rady usunąłby niektóre z tych barier; ubolewa jednak, że Rada zachowała wprawdzie formalną zgodność z art. 22 ust. 2 TFUE, lecz nie odniosła się rzeczowo do meritum opinii Parlamentu; w szczególności ponownie proponuje, by umożliwić dopisywanie osób do spisu wyborców natychmiast po zarejestrowaniu się w miejscu zamieszkania, podnieść wymogi językowe i informacyjne obowiązujące władze lokalne, ułatwić korzystanie z prawa do głosowania niedostatecznie reprezentowanym grupom wyborców oraz usprawnić kampanie uświadamiające prowadzone przez państwa członkowskie przy aktywnym udziale społeczeństwa obywatelskiego; wzywa państwa członkowskie do zapewnienia swoim obywatelom mieszkającym za granicą możliwości udziału w wyborach europejskich, w tym poprzez wzmocnienie usług konsularnych i umożliwienie głosowania korespondencyjnego; podkreśla jak ważne jest, by wszystkie państwa członkowskie zapewniły nieograniczony dostęp do lokali wyborczych dla osób starszych i osób z niepełnosprawnościami;</w:t>
      </w:r>
    </w:p>
    <w:p w14:paraId="5AF11E9E" w14:textId="77777777" w:rsidR="00AB10CD" w:rsidRDefault="0041616A" w:rsidP="00AB10CD">
      <w:pPr>
        <w:spacing w:after="240"/>
        <w:ind w:left="567" w:hanging="567"/>
      </w:pPr>
      <w:r w:rsidRPr="0058122D">
        <w:t>10.</w:t>
      </w:r>
      <w:r w:rsidRPr="0058122D">
        <w:tab/>
        <w:t>zdecydowanie popiera wysiłki partii politycznych w celu dopracowania realizacji procedury kandydatów czołowych (</w:t>
      </w:r>
      <w:r w:rsidRPr="0058122D">
        <w:rPr>
          <w:i/>
          <w:iCs/>
        </w:rPr>
        <w:t>Spitzenkandidaten</w:t>
      </w:r>
      <w:r w:rsidRPr="0058122D">
        <w:t>), która tworzy powiązanie między wyborami, składem Parlamentu i mianowaniem przewodniczącego Komisji, tak by powoływanie unijnej władzy wykonawczej było bardziej przejrzyste dla obywateli; podkreśla, że proces ten umożliwił obywatelom skuteczny wpływ na powoływanie przewodniczącego Komisji oraz odgrywanie przez nich bezpośredniej roli w tym względzie, co stanowi znaczący krok naprzód; wyraża uznanie dla europejskich partii politycznych za nominowanie kandydatów z dużym wyprzedzeniem przed wyborami; zauważa, że tym razem proces ten przebiegł stosunkowo sprawnie, gdyż przewodnicząca Komisji, choć nie została wybrana w głosowaniu bezpośrednim, była kandydatką czołową grupy politycznej, która otrzymała najwięcej głosów; zwraca uwagę, że wybór przewodniczącego Komisji w wyborach europejskich zwiększyłby jego rozliczalność i legitymację demokratyczną; pozostaje jednak przekonany, że do sukcesu nadal brakuje kluczowych czynników, takich jak stale rozwijanie i konsolidowanie europejskiej sfery demokratycznej, co uniemożliwia pełne wykorzystanie potencjału tego nieformalnego i nieuregulowanego procesu politycznego;</w:t>
      </w:r>
    </w:p>
    <w:p w14:paraId="2F7F92F9" w14:textId="77777777" w:rsidR="00AB10CD" w:rsidRDefault="0041616A" w:rsidP="00AB10CD">
      <w:pPr>
        <w:spacing w:after="240"/>
        <w:ind w:left="567" w:hanging="425"/>
        <w:rPr>
          <w:sz w:val="22"/>
        </w:rPr>
      </w:pPr>
      <w:r w:rsidRPr="0058122D">
        <w:lastRenderedPageBreak/>
        <w:t>11.</w:t>
      </w:r>
      <w:r w:rsidRPr="0058122D">
        <w:tab/>
        <w:t>podkreśla ważną rolę europejskich partii politycznych w debacie na temat europejskiej polityki publicznej oraz w kształtowaniu europejskiej świadomości politycznej; uważa, że partie te mogą zaoferować bardzo potrzebną przeciwwagę dla dezinformacji i dla błędnych informacji w okresie przedwyborczym; z zadowoleniem przyjmuje porozumienie osiągnięte w sprawie przekształcenia rozporządzenia (UE, Euratom) nr 1141/2014 w sprawie statusu i finansowania europejskich partii politycznych i europejskich fundacji politycznych, które likwiduje pozostałe luki prawne, zapewnia jasność prawa i daje większą swobodę europejskim partiom politycznym oraz umożliwia im odgrywanie roli przyznanej im w traktatach, w tym poprzez zwiększenie ich widoczności w państwach członkowskich podczas kampanii wyborczej i związku z promocją kandydatów czołowych;</w:t>
      </w:r>
    </w:p>
    <w:p w14:paraId="5339BF0B" w14:textId="77777777" w:rsidR="00AB10CD" w:rsidRDefault="0041616A" w:rsidP="00AB10CD">
      <w:pPr>
        <w:spacing w:after="240"/>
        <w:ind w:left="567" w:hanging="567"/>
        <w:rPr>
          <w:sz w:val="22"/>
        </w:rPr>
      </w:pPr>
      <w:r w:rsidRPr="0058122D">
        <w:t>12.</w:t>
      </w:r>
      <w:r w:rsidRPr="0058122D">
        <w:tab/>
        <w:t>wzywa państwa członkowskie do wprowadzenia zakazu darowizn zagranicznych, obejmującego zarówno darowizny w naturze, jak i pieniężne oraz w postaci świadczeń, oraz do ograniczenia darowizn na rzecz partii politycznych i kandydatów; uważa, że podmioty polityczne, którym zaoferowano lub które przyjęły wsparcie finansowe lub w naturze od podmiotu zagranicznego, muszą być zobowiązane do zgłaszania tego faktu właściwym organom, a informacja powinna z kolei podlegać raportowaniu na szczeblu Unii, aby umożliwić monitoring w skali całej UE;</w:t>
      </w:r>
    </w:p>
    <w:p w14:paraId="4C338172" w14:textId="4C361E6B" w:rsidR="0041616A" w:rsidRPr="0058122D" w:rsidRDefault="0041616A" w:rsidP="00AB10CD">
      <w:pPr>
        <w:pStyle w:val="NormalHanging12a"/>
      </w:pPr>
      <w:r w:rsidRPr="0058122D">
        <w:t>13.</w:t>
      </w:r>
      <w:r w:rsidRPr="0058122D">
        <w:tab/>
        <w:t xml:space="preserve">podkreśla potrzebę wzmocnienia roli i widoczności europejskich fundacji politycznych w europejskiej sferze demokratycznej; przypomina, że fundacje te odgrywają kluczową rolę w rozwoju debaty politycznej, badań politycznych i edukacji obywatelskiej ponad granicami i tym samym przyczyniają się do kształtowania prawdziwie europejskiej opinii publicznej; wzywa do zapewnienia odpowiednich narzędzi i zasobów, aby umożliwić im wspieranie europejskich partii politycznych w wysiłkach na rzecz zaangażowania obywateli, promowania wartości europejskich i znaczącego udziału w przyszłych kampaniach wyborczych; przypomina, że nadchodzące sprawozdanie Komisji o stosowaniu rozporządzenia (UE, Euratom) nr 1141/2014 w sprawie statusu i finansowania europejskich partii politycznych i europejskich fundacji politycznych (w trakcie przekształcenia) powinno poświęcić szczególną uwagę zasadom finansowania europejskich fundacji politycznych i w razie potrzeby zaproponować zmiany do rozporządzenia; </w:t>
      </w:r>
    </w:p>
    <w:p w14:paraId="6EF9CBE0" w14:textId="77777777" w:rsidR="0041616A" w:rsidRPr="0058122D" w:rsidRDefault="0041616A" w:rsidP="00AB10CD">
      <w:pPr>
        <w:pStyle w:val="NormalHanging12a"/>
      </w:pPr>
      <w:r w:rsidRPr="0058122D">
        <w:t>14.</w:t>
      </w:r>
      <w:r w:rsidRPr="0058122D">
        <w:tab/>
        <w:t>podkreśla, że należy podjąć dalsze prace instytucjonalne w celu wzmocnienia wpływu europejskich wyborców na sprawowanie rządów w UE; w związku z tym zwraca uwagę na oczekiwaną procedurę zmiany traktatu, uruchomioną w następstwie Konferencji w sprawie przyszłości Europy; zwraca uwagę, że zaproponował odwrócenie ról Rady i Parlamentu w zakresie mianowania i zatwierdzania przewodniczącego Komisji, aby dokładniej odzwierciedlić wyniki wyborów europejskich; zwraca też uwagę, że zaproponował przyznanie Parlamentowi prawa do inicjatywy ustawodawczej, którego stosowanie zapewniałoby bezpośredni związek między głosami oddanymi przez obywateli na przedstawicieli parlamentarnych a wynikami polityki na szczeblu UE; zwraca też uwagę, że zaproponował unowocześnienie uprawnień śledczych Parlamentu w celu wzmocnienia demokratycznej kontroli nad władzą wykonawczą UE; wzywa Radę Europejską, aby przestrzegała traktatów i bez zbędnej zwłoki przeprowadziła głosowanie nad zwołaniem konwencji w celu omówienia tych propozycji;</w:t>
      </w:r>
    </w:p>
    <w:p w14:paraId="000F4BF0" w14:textId="77777777" w:rsidR="0041616A" w:rsidRPr="0058122D" w:rsidRDefault="0041616A" w:rsidP="00AB10CD">
      <w:pPr>
        <w:pStyle w:val="NormalHanging12a"/>
        <w:rPr>
          <w:bCs/>
        </w:rPr>
      </w:pPr>
      <w:r w:rsidRPr="0058122D">
        <w:rPr>
          <w:rStyle w:val="BoldItalic"/>
          <w:color w:val="000000"/>
        </w:rPr>
        <w:t>Odporność instytucjonalna</w:t>
      </w:r>
    </w:p>
    <w:p w14:paraId="65E0D787" w14:textId="77777777" w:rsidR="0041616A" w:rsidRPr="0058122D" w:rsidRDefault="0041616A" w:rsidP="00AB10CD">
      <w:pPr>
        <w:pStyle w:val="NormalHanging12a"/>
      </w:pPr>
      <w:r w:rsidRPr="0058122D">
        <w:lastRenderedPageBreak/>
        <w:t>15.</w:t>
      </w:r>
      <w:r w:rsidRPr="0058122D">
        <w:tab/>
        <w:t>podkreśla znaczenie silniejszych powiązań między kwestiami lokalnymi, regionalnymi, krajowymi i europejskimi; dlatego z zadowoleniem przyjmuje aktywne i pozytywne zaangażowanie liderów lokalnych i regionalnych w europejskie tematy i debaty, zwłaszcza w okresie przedwyborczym, m.in. poprzez prace Komitetu Regionów oraz jego sieci i kampanie;</w:t>
      </w:r>
    </w:p>
    <w:p w14:paraId="13B025E1" w14:textId="77777777" w:rsidR="00AB10CD" w:rsidRPr="00AB10CD" w:rsidRDefault="0041616A" w:rsidP="00AB10CD">
      <w:pPr>
        <w:spacing w:after="240"/>
        <w:ind w:left="567" w:hanging="567"/>
      </w:pPr>
      <w:r w:rsidRPr="0058122D">
        <w:t>16.</w:t>
      </w:r>
      <w:r w:rsidRPr="0058122D">
        <w:tab/>
        <w:t>przypomina, że walka z retoryką antydemokratyczną jest najskuteczniejsza na szczeblu najbliższym obywatelom, m.in. przez aktywne zaangażowanie liderów lokalnych i regionalnych; w związku z tym podkreśla pozytywną rolę polityki spójności UE, w której trzeba priorytetowo traktować podstawowe potrzeby regionalne i zagwarantować to, by nikt nie był pozostawiony sam sobie, zwłaszcza w regionach zmagających się ze stagnacją gospodarczą, w których trwałe dysproporcje zwiększają poparcie dla partii eurosceptycznych;</w:t>
      </w:r>
    </w:p>
    <w:p w14:paraId="7CF5DEAE" w14:textId="77777777" w:rsidR="00AB10CD" w:rsidRDefault="0041616A" w:rsidP="00AB10CD">
      <w:pPr>
        <w:spacing w:after="240"/>
        <w:ind w:left="567" w:hanging="567"/>
      </w:pPr>
      <w:r w:rsidRPr="0058122D">
        <w:t>17.</w:t>
      </w:r>
      <w:r w:rsidRPr="0058122D">
        <w:tab/>
        <w:t>wyraża głębokie zaniepokojenie rosnącą liczbą zagrożeń wewnętrznych i zewnętrznych, które niszczą tkankę demokracji europejskiej; z potępieniem odnotowuje, że niektórzy kandydaci, w tym kandydaci z partii rządzących w państwach członkowskich, w kampanii otwarcie wykorzystywali fałszywe, sponsorowane przez obce podmioty narracje na temat UE i podsycali nastroje antyunijne;</w:t>
      </w:r>
    </w:p>
    <w:p w14:paraId="08A4AE2C" w14:textId="77777777" w:rsidR="00AB10CD" w:rsidRDefault="0041616A" w:rsidP="00AB10CD">
      <w:pPr>
        <w:spacing w:after="240"/>
        <w:ind w:left="567" w:hanging="567"/>
      </w:pPr>
      <w:r w:rsidRPr="0058122D">
        <w:t>18.</w:t>
      </w:r>
      <w:r w:rsidRPr="0058122D">
        <w:tab/>
        <w:t>ponownie wyraża głębokie i od dawna żywione zaniepokojenie dokonywanymi w złym zamiarze ingerencjami w europejskie procesy demokratyczne, w tym dezinformacją, stanowiącymi stałą tendencję; wyraża głębokie zaniepokojenie faktem, że rządy niektórych państw członkowskich aktywnie przyczyniają się do szerzenia dezinformacji; potępia w szczególności internetowe kampanie dezinformacyjne sponsorowane przez podmioty państwowe i niepaństwowe z Rosji i innych państw nienależących do UE w celu polaryzacji i zasiewania nieufności wśród europejskich wyborców; zauważa, że obce ingerencje mają miejsce przed wyborami i osiągają szczytowe nasilenie w okresie przedwyborczym; potępia niektórych posłów do Parlamentu Europejskiego, którzy dobrowolnie utrzymywali kontakty z będącą przedmiotem śledztwa platformą medialną Voice of Europe, szerząc sponsorowane przez Kreml narracje na temat wojny napastniczej w Ukrainie;</w:t>
      </w:r>
    </w:p>
    <w:p w14:paraId="7F7B0CB9" w14:textId="77777777" w:rsidR="00AB10CD" w:rsidRDefault="0041616A" w:rsidP="00AB10CD">
      <w:pPr>
        <w:spacing w:after="240"/>
        <w:ind w:left="567" w:hanging="567"/>
      </w:pPr>
      <w:r w:rsidRPr="0058122D">
        <w:t>19.</w:t>
      </w:r>
      <w:r w:rsidRPr="0058122D">
        <w:tab/>
        <w:t xml:space="preserve">ponawia swój apel do Komisji i państw członkowskich o zintensyfikowanie wysiłków na rzecz zwalczania zewnętrznej ingerencji i dezinformacji za pomocą strategii wielopoziomowej, skoordynowanej i międzysektorowej, wspieranej odpowiednimi zasobami finansowymi, dzięki której UE i jej państwa członkowskie miałyby odpowiednią perspektywiczną politykę odporności oraz narzędzia odstraszania; w związku z tym wzywa Komisję, Europejską Służbę Działań Zewnętrznych i państwa członkowskie do dalszego wzmacniania strategicznej reakcji Unii na dezinformację oraz zagraniczne manipulacje informacjami i ingerencje w informacje oraz zwraca uwagę na liczne wysiłki polityczne UE podjęte w ostatnich latach, w tym akt o usługach cyfrowych, wzmocniony kodeks postępowania w zakresie zwalczania dezinformacji oraz inicjatywy w ramach planu działania na rzecz demokracji; z niepokojem przyznaje, że platformy internetowe wywierają nieproporcjonalny wpływ na dyskurs publiczny; z zaniepokojeniem odnotowuje doniesienia o umotywowanych politycznie decyzjach niektórych platform, mogących zagrażać wolności wypowiedzi i pluralizmowi demokratycznemu; </w:t>
      </w:r>
    </w:p>
    <w:p w14:paraId="0DEDC1CC" w14:textId="30BA8B34" w:rsidR="0041616A" w:rsidRPr="0058122D" w:rsidRDefault="0041616A" w:rsidP="00AB10CD">
      <w:pPr>
        <w:spacing w:after="240"/>
        <w:ind w:left="567" w:hanging="567"/>
      </w:pPr>
      <w:r w:rsidRPr="0058122D">
        <w:t>20.</w:t>
      </w:r>
      <w:r w:rsidRPr="0058122D">
        <w:tab/>
        <w:t xml:space="preserve">podkreśla znaczenie wyważonego i wolnego środowiska medialnego w państwach członkowskich jako kluczowego filaru europejskiej demokracji, zwłaszcza w trakcie </w:t>
      </w:r>
      <w:r w:rsidRPr="0058122D">
        <w:lastRenderedPageBreak/>
        <w:t>cyklów wyborczych; przyznaje, że chociaż UE jest światowym liderem w dziedzinie wolności mediów, a w 2024 r. przyjęto europejski akt o wolności mediów i weszła w życie dyrektywa w sprawie powództw służących tłumieniu debaty</w:t>
      </w:r>
      <w:r w:rsidRPr="0058122D">
        <w:rPr>
          <w:rStyle w:val="FootnoteReference"/>
        </w:rPr>
        <w:footnoteReference w:id="15"/>
      </w:r>
      <w:r w:rsidRPr="0058122D">
        <w:t xml:space="preserve">, to rosnąca wewnętrzna i zewnętrzna presja na europejskie środowisko medialne wymaga dalszego wzmacniania wolności mediów w UE, w tym w okresie poprzedzającym wybory europejskie; przypomina, że w niektórych państwach członkowskich w 2024 r. odnotowano wzrost liczby ataków na dziennikarzy; </w:t>
      </w:r>
    </w:p>
    <w:p w14:paraId="67F8AD56" w14:textId="77777777" w:rsidR="00AB10CD" w:rsidRDefault="0041616A" w:rsidP="00AB10CD">
      <w:pPr>
        <w:spacing w:after="240"/>
        <w:ind w:left="567" w:hanging="567"/>
      </w:pPr>
      <w:r w:rsidRPr="0058122D">
        <w:t>21.</w:t>
      </w:r>
      <w:r w:rsidRPr="0058122D">
        <w:tab/>
        <w:t>z całą stanowczością potępia wszelkie formy przemocy politycznej; wyraża głębokie zaniepokojenie szeregiem incydentów, które miały miejsce w kampanii wyborczej w 2024 r.; zachęca Komisję i państwa członkowskie do nadania priorytetu zapobieganiu przemocy politycznej przez wzmocnienie przepisów, ram i strategii politycznych, które chronią polityków, kandydatów politycznych, działaczy, dziennikarzy i obywateli przed przemocą i nękaniem w okresie wyborczym; podkreśla znaczenie kompleksowego podejścia obejmującego zapobieganie, ochronę i edukację dla ograniczenia przemocy politycznej, w szczególności poprzez propagowanie świadomości na temat zagrożenia przemocą polityczną oraz promowanie kultury tolerancji i poszanowania różnych poglądów politycznych; podkreśla, że oszustwa wyborcze nie rozpoczynają się w dniu wyborów, lecz od łamania praworządności, zasad demokratycznych, wolności prasy, wolności wypowiedzi oraz rozpowszechniania zagranicznej dezinformacji i propagandy; zauważa z zaniepokojeniem, że wyzwania systemowe mogą mieć wpływ na poziom poparcia we wszystkich państwach członkowskich dla wolnych i uczciwych wyborów;</w:t>
      </w:r>
    </w:p>
    <w:p w14:paraId="5C25B885" w14:textId="2EA4164F" w:rsidR="0041616A" w:rsidRPr="0058122D" w:rsidRDefault="0041616A" w:rsidP="00AB10CD">
      <w:pPr>
        <w:spacing w:after="240"/>
        <w:ind w:left="567" w:hanging="567"/>
      </w:pPr>
      <w:r w:rsidRPr="0058122D">
        <w:t>22.</w:t>
      </w:r>
      <w:r w:rsidRPr="0058122D">
        <w:tab/>
        <w:t>jest głęboko zaniepokojony wzrostem liczby i sukcesem wyborczym w wyborach w 2024 r. partii antysystemowych i otwarcie antyunijnych; zwraca uwagę, że zmiana ta prowadzi do radykalizacji dyskursu politycznego i dalszej polaryzacji Parlamentu, a ponadto sprzyja rozpowszechnianiu zagranicznej dezinformacji i propagandy;</w:t>
      </w:r>
      <w:r w:rsidRPr="0058122D">
        <w:rPr>
          <w:color w:val="00B050"/>
        </w:rPr>
        <w:t xml:space="preserve"> </w:t>
      </w:r>
      <w:r w:rsidRPr="0058122D">
        <w:t>potępia wszelkie formy retoryki politycznej propagującej nawoływanie do nienawiści, dyskryminację, ksenofobię i przemoc oraz wzywa wszystkie podmioty polityczne do zaangażowania się w konstruktywny, oparty na faktach dialog z poszanowaniem wartości demokratycznych, praw człowieka i praworządności; zobowiązuje się do dalszych reform i poprawy funkcjonowania Unii, aby lepiej spełniać oczekiwania obywateli; wzywa wszystkie zainteresowane podmioty do bardziej proaktywnego informowania o pozytywnym oddziaływaniu UE za pośrednictwem jej polityk na codzienne życie i bezpieczeństwo wszystkich obywateli europejskich;</w:t>
      </w:r>
    </w:p>
    <w:p w14:paraId="1780DAFA" w14:textId="77777777" w:rsidR="00AB10CD" w:rsidRDefault="0041616A" w:rsidP="00AB10CD">
      <w:pPr>
        <w:spacing w:after="240"/>
        <w:ind w:left="570" w:hanging="570"/>
        <w:rPr>
          <w:sz w:val="22"/>
        </w:rPr>
      </w:pPr>
      <w:r w:rsidRPr="0058122D">
        <w:t>23.</w:t>
      </w:r>
      <w:r w:rsidRPr="0058122D">
        <w:tab/>
        <w:t xml:space="preserve">zobowiązuje się do oceny tych ram za pośrednictwem Komisji Specjalnej ds. Europejskiej Tarczy Demokracji, której mandat, udzielony przez Zgromadzenie Plenarne, obejmuje zajęcie się kwestią ingerencji w procesy demokratyczne i strategie polityczne oraz wdrożenie środków mających na celu zachowanie uczciwości wyborów i strategii politycznych korzystnych dla procesów demokratycznych UE; podkreśla, że komisja ta jest zatem kluczowym narzędziem zapobiegania ingerencjom w złej wierze poprzez identyfikację ewentualnych luk i nakładania się działań, które można by wykorzystać w złym celu; jednocześnie wzywa Komisję do pełnego i bezzwłocznego </w:t>
      </w:r>
      <w:r w:rsidRPr="0058122D">
        <w:lastRenderedPageBreak/>
        <w:t>egzekwowania omawianych ram regulacyjnych, zwłaszcza wobec platform, które nadal otwarcie przeciwstawiają się unijnym organom regulacyjnym;</w:t>
      </w:r>
    </w:p>
    <w:p w14:paraId="34C34C0F" w14:textId="4A1EB7E0" w:rsidR="0041616A" w:rsidRPr="0058122D" w:rsidRDefault="0041616A" w:rsidP="00AB10CD">
      <w:pPr>
        <w:pStyle w:val="NormalHanging12a"/>
      </w:pPr>
      <w:r w:rsidRPr="0058122D">
        <w:t>24.</w:t>
      </w:r>
      <w:r w:rsidRPr="0058122D">
        <w:tab/>
        <w:t>uznaje znaczenie cyberbezpieczeństwa i infrastruktury cybernetycznej dla ochrony uczciwości wyborów europejskich; ostrzega przed potencjalnymi zagrożeniami związanymi z operacjami wpływu z wykorzystaniem sztucznej inteligencji;</w:t>
      </w:r>
    </w:p>
    <w:p w14:paraId="2CC6DD76" w14:textId="77777777" w:rsidR="00AB10CD" w:rsidRDefault="0041616A" w:rsidP="00AB10CD">
      <w:pPr>
        <w:spacing w:after="240"/>
        <w:ind w:left="567" w:hanging="567"/>
      </w:pPr>
      <w:r w:rsidRPr="0058122D">
        <w:t>25.</w:t>
      </w:r>
      <w:r w:rsidRPr="0058122D">
        <w:tab/>
        <w:t>zwraca uwagę, że wyniki wyborów krajowych mają również pośredni wpływ na skład instytucji europejskich, np. przez wyłanianie kandydatów na komisarzy lub udział w posiedzeniach Rady krajowych większościowych ugrupowań politycznych; w tym kontekście podkreśla znaczenie demokratycznego charakteru wyborów powszechnych w każdym państwie członkowskim;</w:t>
      </w:r>
    </w:p>
    <w:p w14:paraId="55523140" w14:textId="20A921DC" w:rsidR="00AB10CD" w:rsidRDefault="0041616A" w:rsidP="00AB10CD">
      <w:pPr>
        <w:spacing w:after="240"/>
        <w:ind w:left="567" w:hanging="567"/>
        <w:rPr>
          <w:sz w:val="32"/>
          <w:szCs w:val="32"/>
        </w:rPr>
      </w:pPr>
      <w:r w:rsidRPr="0058122D">
        <w:t>26.</w:t>
      </w:r>
      <w:r w:rsidRPr="0058122D">
        <w:tab/>
        <w:t>stwierdza, że demokracja europejska może kwitnąć tylko pod warunkiem wzmocnienia i obrony europejskich procesów demokratycznych i wyborczych; w związku z tym podkreśla znaczenie promowania wolnych i uczciwych wyborów przy jednoczesnej ochronie ich przed zagrożeniami wewnętrznymi i zewnętrznymi, wymierzonymi przeciwko demokracji w UE; zauważa z zaniepokojeniem, że rozprzestrzenianie się dezinformacji i wpływ niektórych platform mediów społecznościowych pozostają poza kontrolą; podkreśla ogromne znaczenie egzekwowania całości obecnie obowiązujących przepisów dla ochrony integralności całego procesu wyborczego;</w:t>
      </w:r>
    </w:p>
    <w:p w14:paraId="328AF57E" w14:textId="642AB442" w:rsidR="0041616A" w:rsidRPr="0058122D" w:rsidRDefault="0041616A" w:rsidP="00AB10CD">
      <w:pPr>
        <w:pStyle w:val="NormalHanging12a"/>
        <w:jc w:val="center"/>
      </w:pPr>
      <w:r w:rsidRPr="0058122D">
        <w:t>°</w:t>
      </w:r>
    </w:p>
    <w:p w14:paraId="17F8B531" w14:textId="77777777" w:rsidR="0041616A" w:rsidRPr="0058122D" w:rsidRDefault="0041616A" w:rsidP="00AB10CD">
      <w:pPr>
        <w:pStyle w:val="NormalHanging12a"/>
        <w:jc w:val="center"/>
      </w:pPr>
      <w:r w:rsidRPr="0058122D">
        <w:t>°</w:t>
      </w:r>
      <w:r w:rsidRPr="0058122D">
        <w:tab/>
        <w:t>°</w:t>
      </w:r>
    </w:p>
    <w:p w14:paraId="02E09C74" w14:textId="77777777" w:rsidR="00AB10CD" w:rsidRDefault="0041616A" w:rsidP="00AB10CD">
      <w:pPr>
        <w:pStyle w:val="NormalHanging12a"/>
      </w:pPr>
      <w:r w:rsidRPr="0058122D">
        <w:t>27.</w:t>
      </w:r>
      <w:r w:rsidRPr="0058122D">
        <w:tab/>
        <w:t>zobowiązuje swoją przewodniczącą do przekazania niniejszej rezolucji Radzie i Komisji.</w:t>
      </w:r>
    </w:p>
    <w:p w14:paraId="23DA5180" w14:textId="4D3845F5" w:rsidR="00E365E1" w:rsidRPr="0058122D" w:rsidRDefault="00E365E1" w:rsidP="00123466"/>
    <w:sectPr w:rsidR="00E365E1" w:rsidRPr="0058122D" w:rsidSect="005812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3FF906" w14:textId="77777777" w:rsidR="00123466" w:rsidRPr="0058122D" w:rsidRDefault="00123466">
      <w:r w:rsidRPr="0058122D">
        <w:separator/>
      </w:r>
    </w:p>
  </w:endnote>
  <w:endnote w:type="continuationSeparator" w:id="0">
    <w:p w14:paraId="4AF033CC" w14:textId="77777777" w:rsidR="00123466" w:rsidRPr="0058122D" w:rsidRDefault="00123466">
      <w:r w:rsidRPr="0058122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8643DA" w14:textId="77777777" w:rsidR="00064002" w:rsidRPr="0058122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3716F1" w14:textId="77777777" w:rsidR="00064002" w:rsidRPr="0058122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D4556" w14:textId="77777777" w:rsidR="00064002" w:rsidRPr="0058122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56CA24" w14:textId="77777777" w:rsidR="00123466" w:rsidRPr="0058122D" w:rsidRDefault="00123466">
      <w:r w:rsidRPr="0058122D">
        <w:separator/>
      </w:r>
    </w:p>
  </w:footnote>
  <w:footnote w:type="continuationSeparator" w:id="0">
    <w:p w14:paraId="7539BE4E" w14:textId="77777777" w:rsidR="00123466" w:rsidRPr="0058122D" w:rsidRDefault="00123466">
      <w:r w:rsidRPr="0058122D">
        <w:continuationSeparator/>
      </w:r>
    </w:p>
  </w:footnote>
  <w:footnote w:id="1">
    <w:p w14:paraId="102D178D" w14:textId="50106D6E" w:rsidR="0041616A" w:rsidRPr="0058122D" w:rsidRDefault="0041616A" w:rsidP="0058122D">
      <w:pPr>
        <w:pStyle w:val="FootnoteText"/>
        <w:ind w:left="567" w:hanging="567"/>
        <w:rPr>
          <w:sz w:val="24"/>
          <w:lang w:val="pl-PL"/>
        </w:rPr>
      </w:pPr>
      <w:r w:rsidRPr="0058122D">
        <w:rPr>
          <w:rStyle w:val="FootnoteReference"/>
          <w:sz w:val="24"/>
          <w:lang w:val="pl-PL"/>
        </w:rPr>
        <w:footnoteRef/>
      </w:r>
      <w:r w:rsidR="0058122D" w:rsidRPr="0058122D">
        <w:rPr>
          <w:sz w:val="24"/>
          <w:lang w:val="pl-PL"/>
        </w:rPr>
        <w:t xml:space="preserve"> </w:t>
      </w:r>
      <w:r w:rsidR="0058122D" w:rsidRPr="0058122D">
        <w:rPr>
          <w:sz w:val="24"/>
          <w:lang w:val="pl-PL"/>
        </w:rPr>
        <w:tab/>
      </w:r>
      <w:r w:rsidRPr="0058122D">
        <w:rPr>
          <w:sz w:val="24"/>
          <w:lang w:val="pl-PL"/>
        </w:rPr>
        <w:t xml:space="preserve">Dz.U. L 329 z 30.12.1993, s. 34, ELI: </w:t>
      </w:r>
      <w:r w:rsidRPr="0058122D">
        <w:rPr>
          <w:rStyle w:val="Hyperlink"/>
          <w:sz w:val="24"/>
          <w:lang w:val="pl-PL"/>
        </w:rPr>
        <w:t>http://data.europa.eu/eli/dir/1993/109/oj</w:t>
      </w:r>
      <w:r w:rsidRPr="0058122D">
        <w:rPr>
          <w:sz w:val="24"/>
          <w:lang w:val="pl-PL"/>
        </w:rPr>
        <w:t>.</w:t>
      </w:r>
    </w:p>
  </w:footnote>
  <w:footnote w:id="2">
    <w:p w14:paraId="2CED28A8" w14:textId="1F40469D" w:rsidR="0041616A" w:rsidRPr="0058122D" w:rsidRDefault="0041616A" w:rsidP="0058122D">
      <w:pPr>
        <w:pStyle w:val="FootnoteText"/>
        <w:ind w:left="567" w:hanging="567"/>
        <w:rPr>
          <w:sz w:val="24"/>
          <w:lang w:val="pl-PL"/>
        </w:rPr>
      </w:pPr>
      <w:r w:rsidRPr="0058122D">
        <w:rPr>
          <w:rStyle w:val="FootnoteReference"/>
          <w:sz w:val="24"/>
          <w:lang w:val="pl-PL"/>
        </w:rPr>
        <w:footnoteRef/>
      </w:r>
      <w:r w:rsidR="0058122D" w:rsidRPr="0058122D">
        <w:rPr>
          <w:sz w:val="24"/>
          <w:lang w:val="pl-PL"/>
        </w:rPr>
        <w:t xml:space="preserve"> </w:t>
      </w:r>
      <w:r w:rsidR="0058122D" w:rsidRPr="0058122D">
        <w:rPr>
          <w:sz w:val="24"/>
          <w:lang w:val="pl-PL"/>
        </w:rPr>
        <w:tab/>
      </w:r>
      <w:r w:rsidRPr="0058122D">
        <w:rPr>
          <w:sz w:val="24"/>
          <w:lang w:val="pl-PL"/>
        </w:rPr>
        <w:t xml:space="preserve">Dz.U. L 178 z 16.7.2018, s. 1, ELI: </w:t>
      </w:r>
      <w:hyperlink r:id="rId1" w:history="1">
        <w:r w:rsidRPr="0058122D">
          <w:rPr>
            <w:rStyle w:val="Hyperlink"/>
            <w:sz w:val="24"/>
            <w:lang w:val="pl-PL"/>
          </w:rPr>
          <w:t>http://data.europa.eu/eli/dec/2018/994/oj</w:t>
        </w:r>
      </w:hyperlink>
      <w:r w:rsidRPr="0058122D">
        <w:rPr>
          <w:sz w:val="24"/>
          <w:lang w:val="pl-PL"/>
        </w:rPr>
        <w:t>.</w:t>
      </w:r>
    </w:p>
  </w:footnote>
  <w:footnote w:id="3">
    <w:p w14:paraId="213D83DC" w14:textId="111B6378" w:rsidR="0041616A" w:rsidRPr="00AB10CD" w:rsidRDefault="0041616A" w:rsidP="0058122D">
      <w:pPr>
        <w:pStyle w:val="FootnoteText"/>
        <w:ind w:left="567" w:hanging="567"/>
        <w:rPr>
          <w:sz w:val="24"/>
          <w:szCs w:val="24"/>
          <w:lang w:val="pl-PL"/>
        </w:rPr>
      </w:pPr>
      <w:r w:rsidRPr="00AB10CD">
        <w:rPr>
          <w:rStyle w:val="FootnoteReference"/>
          <w:sz w:val="24"/>
          <w:szCs w:val="24"/>
          <w:lang w:val="pl-PL"/>
        </w:rPr>
        <w:footnoteRef/>
      </w:r>
      <w:r w:rsidR="0058122D" w:rsidRPr="00AB10CD">
        <w:rPr>
          <w:sz w:val="24"/>
          <w:szCs w:val="24"/>
          <w:lang w:val="pl-PL"/>
        </w:rPr>
        <w:t xml:space="preserve"> </w:t>
      </w:r>
      <w:r w:rsidR="0058122D" w:rsidRPr="00AB10CD">
        <w:rPr>
          <w:sz w:val="24"/>
          <w:szCs w:val="24"/>
          <w:lang w:val="pl-PL"/>
        </w:rPr>
        <w:tab/>
      </w:r>
      <w:r w:rsidRPr="00AB10CD">
        <w:rPr>
          <w:sz w:val="24"/>
          <w:szCs w:val="24"/>
          <w:lang w:val="pl-PL"/>
        </w:rPr>
        <w:t xml:space="preserve">Dz.U. L 317 z 4.11.2014, s. 1, ELI: </w:t>
      </w:r>
      <w:hyperlink r:id="rId2" w:history="1">
        <w:r w:rsidRPr="00AB10CD">
          <w:rPr>
            <w:rStyle w:val="Hyperlink"/>
            <w:sz w:val="24"/>
            <w:szCs w:val="24"/>
            <w:lang w:val="pl-PL"/>
          </w:rPr>
          <w:t>http://data.europa.eu/eli/reg/2014/1141/oj</w:t>
        </w:r>
      </w:hyperlink>
      <w:r w:rsidRPr="00AB10CD">
        <w:rPr>
          <w:color w:val="0000FF"/>
          <w:sz w:val="24"/>
          <w:szCs w:val="24"/>
          <w:u w:val="single" w:color="0000FF"/>
          <w:lang w:val="pl-PL"/>
        </w:rPr>
        <w:t xml:space="preserve">. </w:t>
      </w:r>
    </w:p>
  </w:footnote>
  <w:footnote w:id="4">
    <w:p w14:paraId="4FF845B2" w14:textId="08144336" w:rsidR="0041616A" w:rsidRPr="00AB10CD" w:rsidRDefault="0041616A" w:rsidP="0058122D">
      <w:pPr>
        <w:pStyle w:val="FootnoteText"/>
        <w:ind w:left="567" w:hanging="567"/>
        <w:rPr>
          <w:sz w:val="24"/>
          <w:szCs w:val="24"/>
          <w:lang w:val="pl-PL"/>
        </w:rPr>
      </w:pPr>
      <w:r w:rsidRPr="00AB10CD">
        <w:rPr>
          <w:rStyle w:val="FootnoteReference"/>
          <w:sz w:val="24"/>
          <w:szCs w:val="24"/>
          <w:lang w:val="pl-PL"/>
        </w:rPr>
        <w:footnoteRef/>
      </w:r>
      <w:r w:rsidR="0058122D" w:rsidRPr="00AB10CD">
        <w:rPr>
          <w:sz w:val="24"/>
          <w:szCs w:val="24"/>
          <w:lang w:val="pl-PL"/>
        </w:rPr>
        <w:t xml:space="preserve"> </w:t>
      </w:r>
      <w:r w:rsidR="0058122D" w:rsidRPr="00AB10CD">
        <w:rPr>
          <w:sz w:val="24"/>
          <w:szCs w:val="24"/>
          <w:lang w:val="pl-PL"/>
        </w:rPr>
        <w:tab/>
      </w:r>
      <w:r w:rsidRPr="00AB10CD">
        <w:rPr>
          <w:sz w:val="24"/>
          <w:szCs w:val="24"/>
          <w:lang w:val="pl-PL"/>
        </w:rPr>
        <w:t>Dz.U. C 125 z 5.4.2023, s. 485.</w:t>
      </w:r>
    </w:p>
  </w:footnote>
  <w:footnote w:id="5">
    <w:p w14:paraId="02968F0A" w14:textId="5527E179" w:rsidR="0041616A" w:rsidRPr="00665203" w:rsidRDefault="0041616A" w:rsidP="0058122D">
      <w:pPr>
        <w:pStyle w:val="FootnoteText"/>
        <w:ind w:left="567" w:hanging="567"/>
        <w:rPr>
          <w:sz w:val="24"/>
          <w:szCs w:val="24"/>
          <w:lang w:val="pl-PL"/>
        </w:rPr>
      </w:pPr>
      <w:r w:rsidRPr="00AB10CD">
        <w:rPr>
          <w:rStyle w:val="FootnoteReference"/>
          <w:sz w:val="24"/>
          <w:szCs w:val="24"/>
          <w:lang w:val="pl-PL"/>
        </w:rPr>
        <w:footnoteRef/>
      </w:r>
      <w:r w:rsidR="0058122D" w:rsidRPr="00665203">
        <w:rPr>
          <w:sz w:val="24"/>
          <w:szCs w:val="24"/>
          <w:lang w:val="pl-PL"/>
        </w:rPr>
        <w:t xml:space="preserve"> </w:t>
      </w:r>
      <w:r w:rsidR="0058122D" w:rsidRPr="00665203">
        <w:rPr>
          <w:sz w:val="24"/>
          <w:szCs w:val="24"/>
          <w:lang w:val="pl-PL"/>
        </w:rPr>
        <w:tab/>
      </w:r>
      <w:r w:rsidRPr="00665203">
        <w:rPr>
          <w:sz w:val="24"/>
          <w:szCs w:val="24"/>
          <w:lang w:val="pl-PL"/>
        </w:rPr>
        <w:t xml:space="preserve">Dz.U. L, 2024/900, 20.3.2024, ELI: </w:t>
      </w:r>
      <w:hyperlink r:id="rId3" w:history="1">
        <w:r w:rsidRPr="00665203">
          <w:rPr>
            <w:rStyle w:val="Hyperlink"/>
            <w:sz w:val="24"/>
            <w:szCs w:val="24"/>
            <w:lang w:val="pl-PL"/>
          </w:rPr>
          <w:t>http://data.europa.eu/eli/reg/2024/900/oj</w:t>
        </w:r>
      </w:hyperlink>
      <w:r w:rsidRPr="00665203">
        <w:rPr>
          <w:sz w:val="24"/>
          <w:szCs w:val="24"/>
          <w:lang w:val="pl-PL"/>
        </w:rPr>
        <w:t>.</w:t>
      </w:r>
    </w:p>
  </w:footnote>
  <w:footnote w:id="6">
    <w:p w14:paraId="64FA3026" w14:textId="3B043CD1" w:rsidR="0041616A" w:rsidRPr="00AB10CD" w:rsidRDefault="0041616A" w:rsidP="0058122D">
      <w:pPr>
        <w:pStyle w:val="FootnoteText"/>
        <w:ind w:left="567" w:hanging="567"/>
        <w:rPr>
          <w:sz w:val="24"/>
          <w:szCs w:val="24"/>
          <w:lang w:val="pl-PL"/>
        </w:rPr>
      </w:pPr>
      <w:r w:rsidRPr="00AB10CD">
        <w:rPr>
          <w:rStyle w:val="FootnoteReference"/>
          <w:sz w:val="24"/>
          <w:szCs w:val="24"/>
          <w:lang w:val="pl-PL"/>
        </w:rPr>
        <w:footnoteRef/>
      </w:r>
      <w:r w:rsidR="0058122D" w:rsidRPr="00AB10CD">
        <w:rPr>
          <w:sz w:val="24"/>
          <w:szCs w:val="24"/>
          <w:lang w:val="pl-PL"/>
        </w:rPr>
        <w:t xml:space="preserve"> </w:t>
      </w:r>
      <w:r w:rsidR="0058122D" w:rsidRPr="00AB10CD">
        <w:rPr>
          <w:sz w:val="24"/>
          <w:szCs w:val="24"/>
          <w:lang w:val="pl-PL"/>
        </w:rPr>
        <w:tab/>
      </w:r>
      <w:r w:rsidRPr="00AB10CD">
        <w:rPr>
          <w:sz w:val="24"/>
          <w:szCs w:val="24"/>
          <w:lang w:val="pl-PL"/>
        </w:rPr>
        <w:t xml:space="preserve">Dz.U. L 277 z 27.10.2022, s. 1, ELI: </w:t>
      </w:r>
      <w:hyperlink r:id="rId4" w:history="1">
        <w:r w:rsidRPr="00AB10CD">
          <w:rPr>
            <w:rStyle w:val="Hyperlink"/>
            <w:sz w:val="24"/>
            <w:szCs w:val="24"/>
            <w:lang w:val="pl-PL"/>
          </w:rPr>
          <w:t>http://data.europa.eu/eli/reg/2022/2065/oj</w:t>
        </w:r>
      </w:hyperlink>
      <w:r w:rsidRPr="00AB10CD">
        <w:rPr>
          <w:sz w:val="24"/>
          <w:szCs w:val="24"/>
          <w:lang w:val="pl-PL"/>
        </w:rPr>
        <w:t>.</w:t>
      </w:r>
    </w:p>
  </w:footnote>
  <w:footnote w:id="7">
    <w:p w14:paraId="6D160084" w14:textId="425C75B4" w:rsidR="0041616A" w:rsidRPr="00BA2474" w:rsidRDefault="0041616A" w:rsidP="0058122D">
      <w:pPr>
        <w:pStyle w:val="FootnoteText"/>
        <w:ind w:left="567" w:hanging="567"/>
        <w:rPr>
          <w:sz w:val="24"/>
          <w:szCs w:val="24"/>
          <w:lang w:val="fi-FI"/>
        </w:rPr>
      </w:pPr>
      <w:r w:rsidRPr="00AB10CD">
        <w:rPr>
          <w:rStyle w:val="FootnoteReference"/>
          <w:sz w:val="24"/>
          <w:szCs w:val="24"/>
          <w:lang w:val="pl-PL"/>
        </w:rPr>
        <w:footnoteRef/>
      </w:r>
      <w:r w:rsidR="0058122D" w:rsidRPr="00BA2474">
        <w:rPr>
          <w:sz w:val="24"/>
          <w:szCs w:val="24"/>
          <w:lang w:val="fi-FI"/>
        </w:rPr>
        <w:t xml:space="preserve"> </w:t>
      </w:r>
      <w:r w:rsidR="0058122D" w:rsidRPr="00BA2474">
        <w:rPr>
          <w:sz w:val="24"/>
          <w:szCs w:val="24"/>
          <w:lang w:val="fi-FI"/>
        </w:rPr>
        <w:tab/>
      </w:r>
      <w:r w:rsidRPr="00BA2474">
        <w:rPr>
          <w:sz w:val="24"/>
          <w:szCs w:val="24"/>
          <w:lang w:val="fi-FI"/>
        </w:rPr>
        <w:t xml:space="preserve">Dz.U. L, 2024/1689, 12.7.2024, ELI: </w:t>
      </w:r>
      <w:hyperlink r:id="rId5" w:history="1">
        <w:r w:rsidRPr="00BA2474">
          <w:rPr>
            <w:rStyle w:val="Hyperlink"/>
            <w:sz w:val="24"/>
            <w:szCs w:val="24"/>
            <w:lang w:val="fi-FI"/>
          </w:rPr>
          <w:t>http://data.europa.eu/eli/reg/2024/1689/oj</w:t>
        </w:r>
      </w:hyperlink>
      <w:r w:rsidRPr="00BA2474">
        <w:rPr>
          <w:sz w:val="24"/>
          <w:szCs w:val="24"/>
          <w:lang w:val="fi-FI"/>
        </w:rPr>
        <w:t>.</w:t>
      </w:r>
    </w:p>
  </w:footnote>
  <w:footnote w:id="8">
    <w:p w14:paraId="001EA937" w14:textId="0AB86306" w:rsidR="0041616A" w:rsidRPr="00AB10CD" w:rsidRDefault="0041616A" w:rsidP="0058122D">
      <w:pPr>
        <w:pStyle w:val="FootnoteText"/>
        <w:ind w:left="567" w:hanging="567"/>
        <w:rPr>
          <w:sz w:val="24"/>
          <w:szCs w:val="24"/>
          <w:lang w:val="pl-PL"/>
        </w:rPr>
      </w:pPr>
      <w:r w:rsidRPr="00AB10CD">
        <w:rPr>
          <w:rStyle w:val="FootnoteReference"/>
          <w:sz w:val="24"/>
          <w:szCs w:val="24"/>
          <w:lang w:val="pl-PL"/>
        </w:rPr>
        <w:footnoteRef/>
      </w:r>
      <w:r w:rsidR="0058122D" w:rsidRPr="00AB10CD">
        <w:rPr>
          <w:sz w:val="24"/>
          <w:szCs w:val="24"/>
          <w:lang w:val="pl-PL"/>
        </w:rPr>
        <w:t xml:space="preserve"> </w:t>
      </w:r>
      <w:r w:rsidR="0058122D" w:rsidRPr="00AB10CD">
        <w:rPr>
          <w:sz w:val="24"/>
          <w:szCs w:val="24"/>
          <w:lang w:val="pl-PL"/>
        </w:rPr>
        <w:tab/>
      </w:r>
      <w:r w:rsidRPr="00AB10CD">
        <w:rPr>
          <w:sz w:val="24"/>
          <w:szCs w:val="24"/>
          <w:lang w:val="pl-PL"/>
        </w:rPr>
        <w:t>Dz.U. C 465 z 6.12.2022, s. 171.</w:t>
      </w:r>
    </w:p>
  </w:footnote>
  <w:footnote w:id="9">
    <w:p w14:paraId="334E4DC4" w14:textId="5A6A6891" w:rsidR="0041616A" w:rsidRPr="0058122D" w:rsidRDefault="0041616A" w:rsidP="0058122D">
      <w:pPr>
        <w:pStyle w:val="FootnoteText"/>
        <w:ind w:left="567" w:hanging="567"/>
        <w:rPr>
          <w:sz w:val="24"/>
          <w:lang w:val="pl-PL"/>
        </w:rPr>
      </w:pPr>
      <w:r w:rsidRPr="00AB10CD">
        <w:rPr>
          <w:rStyle w:val="FootnoteReference"/>
          <w:sz w:val="24"/>
          <w:szCs w:val="24"/>
          <w:lang w:val="pl-PL"/>
        </w:rPr>
        <w:footnoteRef/>
      </w:r>
      <w:r w:rsidR="0058122D" w:rsidRPr="00AB10CD">
        <w:rPr>
          <w:sz w:val="24"/>
          <w:szCs w:val="24"/>
          <w:lang w:val="pl-PL"/>
        </w:rPr>
        <w:t xml:space="preserve"> </w:t>
      </w:r>
      <w:r w:rsidR="0058122D" w:rsidRPr="00AB10CD">
        <w:rPr>
          <w:sz w:val="24"/>
          <w:szCs w:val="24"/>
          <w:lang w:val="pl-PL"/>
        </w:rPr>
        <w:tab/>
      </w:r>
      <w:r w:rsidRPr="00AB10CD">
        <w:rPr>
          <w:sz w:val="24"/>
          <w:szCs w:val="24"/>
          <w:lang w:val="pl-PL"/>
        </w:rPr>
        <w:t>Dz.U. C 425 z 20.10.2021, s. 98.</w:t>
      </w:r>
    </w:p>
  </w:footnote>
  <w:footnote w:id="10">
    <w:p w14:paraId="5E0A272D" w14:textId="3FB3A654" w:rsidR="0041616A" w:rsidRPr="00BA2474" w:rsidRDefault="0041616A" w:rsidP="0058122D">
      <w:pPr>
        <w:pStyle w:val="FootnoteText"/>
        <w:ind w:left="567" w:hanging="567"/>
        <w:rPr>
          <w:sz w:val="24"/>
          <w:lang w:val="fi-FI"/>
        </w:rPr>
      </w:pPr>
      <w:r w:rsidRPr="0058122D">
        <w:rPr>
          <w:rStyle w:val="FootnoteReference"/>
          <w:sz w:val="24"/>
          <w:lang w:val="pl-PL"/>
        </w:rPr>
        <w:footnoteRef/>
      </w:r>
      <w:r w:rsidR="0058122D" w:rsidRPr="00BA2474">
        <w:rPr>
          <w:sz w:val="24"/>
          <w:lang w:val="fi-FI"/>
        </w:rPr>
        <w:t xml:space="preserve"> </w:t>
      </w:r>
      <w:r w:rsidR="0058122D" w:rsidRPr="00BA2474">
        <w:rPr>
          <w:sz w:val="24"/>
          <w:lang w:val="fi-FI"/>
        </w:rPr>
        <w:tab/>
      </w:r>
      <w:r w:rsidRPr="00BA2474">
        <w:rPr>
          <w:sz w:val="24"/>
          <w:lang w:val="fi-FI"/>
        </w:rPr>
        <w:t xml:space="preserve">Dz.U. C, C/2024/4160, 2.8.2024, ELI: </w:t>
      </w:r>
      <w:hyperlink r:id="rId6" w:history="1">
        <w:r w:rsidRPr="00BA2474">
          <w:rPr>
            <w:rStyle w:val="Hyperlink"/>
            <w:sz w:val="24"/>
            <w:lang w:val="fi-FI"/>
          </w:rPr>
          <w:t>http://data.europa.eu/eli/C/2024/4160/oj</w:t>
        </w:r>
      </w:hyperlink>
      <w:r w:rsidRPr="00BA2474">
        <w:rPr>
          <w:sz w:val="24"/>
          <w:lang w:val="fi-FI"/>
        </w:rPr>
        <w:t>.</w:t>
      </w:r>
    </w:p>
  </w:footnote>
  <w:footnote w:id="11">
    <w:p w14:paraId="468DE2CE" w14:textId="3987FB40" w:rsidR="0041616A" w:rsidRPr="00BA2474" w:rsidRDefault="0041616A" w:rsidP="0058122D">
      <w:pPr>
        <w:pStyle w:val="FootnoteText"/>
        <w:ind w:left="567" w:hanging="567"/>
        <w:rPr>
          <w:sz w:val="24"/>
          <w:lang w:val="fi-FI"/>
        </w:rPr>
      </w:pPr>
      <w:r w:rsidRPr="0058122D">
        <w:rPr>
          <w:rStyle w:val="FootnoteReference"/>
          <w:sz w:val="24"/>
          <w:lang w:val="pl-PL"/>
        </w:rPr>
        <w:footnoteRef/>
      </w:r>
      <w:r w:rsidR="0058122D" w:rsidRPr="00BA2474">
        <w:rPr>
          <w:sz w:val="24"/>
          <w:lang w:val="fi-FI"/>
        </w:rPr>
        <w:t xml:space="preserve"> </w:t>
      </w:r>
      <w:r w:rsidR="0058122D" w:rsidRPr="00BA2474">
        <w:rPr>
          <w:sz w:val="24"/>
          <w:lang w:val="fi-FI"/>
        </w:rPr>
        <w:tab/>
      </w:r>
      <w:r w:rsidRPr="00BA2474">
        <w:rPr>
          <w:sz w:val="24"/>
          <w:lang w:val="fi-FI"/>
        </w:rPr>
        <w:t xml:space="preserve">Dz.U. C, C/2025/1811, 4.4.2025, ELI: </w:t>
      </w:r>
      <w:hyperlink r:id="rId7" w:history="1">
        <w:r w:rsidRPr="00BA2474">
          <w:rPr>
            <w:rStyle w:val="Hyperlink"/>
            <w:sz w:val="24"/>
            <w:lang w:val="fi-FI"/>
          </w:rPr>
          <w:t>http://data.europa.eu/eli/C/2025/1811/oj</w:t>
        </w:r>
      </w:hyperlink>
      <w:r w:rsidRPr="00BA2474">
        <w:rPr>
          <w:sz w:val="24"/>
          <w:lang w:val="fi-FI"/>
        </w:rPr>
        <w:t xml:space="preserve">. </w:t>
      </w:r>
    </w:p>
  </w:footnote>
  <w:footnote w:id="12">
    <w:p w14:paraId="4C42E389" w14:textId="28E7EED4" w:rsidR="0041616A" w:rsidRPr="00665203" w:rsidRDefault="0041616A" w:rsidP="0058122D">
      <w:pPr>
        <w:pStyle w:val="FootnoteText"/>
        <w:ind w:left="567" w:hanging="567"/>
        <w:rPr>
          <w:sz w:val="24"/>
          <w:lang w:val="fi-FI"/>
        </w:rPr>
      </w:pPr>
      <w:r w:rsidRPr="0058122D">
        <w:rPr>
          <w:rStyle w:val="FootnoteReference"/>
          <w:sz w:val="24"/>
          <w:lang w:val="pl-PL"/>
        </w:rPr>
        <w:footnoteRef/>
      </w:r>
      <w:r w:rsidR="0058122D" w:rsidRPr="00665203">
        <w:rPr>
          <w:sz w:val="24"/>
          <w:lang w:val="fi-FI"/>
        </w:rPr>
        <w:t xml:space="preserve"> </w:t>
      </w:r>
      <w:r w:rsidR="0058122D" w:rsidRPr="00665203">
        <w:rPr>
          <w:sz w:val="24"/>
          <w:lang w:val="fi-FI"/>
        </w:rPr>
        <w:tab/>
      </w:r>
      <w:r w:rsidRPr="00665203">
        <w:rPr>
          <w:sz w:val="24"/>
          <w:lang w:val="fi-FI"/>
        </w:rPr>
        <w:t>Dz.U. C, C/2025/1981</w:t>
      </w:r>
      <w:r w:rsidR="00665203">
        <w:rPr>
          <w:sz w:val="24"/>
          <w:lang w:val="fi-FI"/>
        </w:rPr>
        <w:t>,</w:t>
      </w:r>
      <w:r w:rsidRPr="00665203">
        <w:rPr>
          <w:sz w:val="24"/>
          <w:lang w:val="fi-FI"/>
        </w:rPr>
        <w:t xml:space="preserve"> 11.4.2025, ELI: </w:t>
      </w:r>
      <w:hyperlink r:id="rId8" w:history="1">
        <w:r w:rsidRPr="00665203">
          <w:rPr>
            <w:rStyle w:val="Hyperlink"/>
            <w:sz w:val="24"/>
            <w:lang w:val="fi-FI"/>
          </w:rPr>
          <w:t>http://data.europa.eu/eli/C/2025/1981/oj</w:t>
        </w:r>
      </w:hyperlink>
      <w:r w:rsidRPr="00665203">
        <w:rPr>
          <w:sz w:val="24"/>
          <w:lang w:val="fi-FI"/>
        </w:rPr>
        <w:t xml:space="preserve">. </w:t>
      </w:r>
    </w:p>
  </w:footnote>
  <w:footnote w:id="13">
    <w:p w14:paraId="3D1FCB6C" w14:textId="6717F79F" w:rsidR="0041616A" w:rsidRPr="00BA2474" w:rsidRDefault="0041616A" w:rsidP="0058122D">
      <w:pPr>
        <w:pStyle w:val="FootnoteText"/>
        <w:ind w:left="567" w:hanging="567"/>
        <w:rPr>
          <w:sz w:val="24"/>
          <w:lang w:val="fi-FI"/>
        </w:rPr>
      </w:pPr>
      <w:r w:rsidRPr="0058122D">
        <w:rPr>
          <w:rStyle w:val="FootnoteReference"/>
          <w:sz w:val="24"/>
          <w:lang w:val="pl-PL"/>
        </w:rPr>
        <w:footnoteRef/>
      </w:r>
      <w:r w:rsidR="0058122D" w:rsidRPr="00BA2474">
        <w:rPr>
          <w:sz w:val="24"/>
          <w:lang w:val="fi-FI"/>
        </w:rPr>
        <w:t xml:space="preserve"> </w:t>
      </w:r>
      <w:r w:rsidR="0058122D" w:rsidRPr="00BA2474">
        <w:rPr>
          <w:sz w:val="24"/>
          <w:lang w:val="fi-FI"/>
        </w:rPr>
        <w:tab/>
      </w:r>
      <w:r w:rsidRPr="00BA2474">
        <w:rPr>
          <w:sz w:val="24"/>
          <w:lang w:val="fi-FI"/>
        </w:rPr>
        <w:t xml:space="preserve">Dz.U. C, C/2024/4216, 24.7.2024, ELI: </w:t>
      </w:r>
      <w:hyperlink r:id="rId9" w:history="1">
        <w:r w:rsidRPr="00BA2474">
          <w:rPr>
            <w:rStyle w:val="Hyperlink"/>
            <w:sz w:val="24"/>
            <w:lang w:val="fi-FI"/>
          </w:rPr>
          <w:t>http://data.europa.eu/eli/C/2024/4216/oj</w:t>
        </w:r>
      </w:hyperlink>
      <w:r w:rsidRPr="00BA2474">
        <w:rPr>
          <w:sz w:val="24"/>
          <w:lang w:val="fi-FI"/>
        </w:rPr>
        <w:t>.</w:t>
      </w:r>
    </w:p>
  </w:footnote>
  <w:footnote w:id="14">
    <w:p w14:paraId="07CBC11C" w14:textId="5AFF2C2D" w:rsidR="0041616A" w:rsidRPr="0058122D" w:rsidRDefault="0041616A" w:rsidP="0058122D">
      <w:pPr>
        <w:pStyle w:val="FootnoteText"/>
        <w:ind w:left="567" w:hanging="567"/>
        <w:rPr>
          <w:sz w:val="24"/>
          <w:lang w:val="pl-PL"/>
        </w:rPr>
      </w:pPr>
      <w:r w:rsidRPr="0058122D">
        <w:rPr>
          <w:rStyle w:val="FootnoteReference"/>
          <w:sz w:val="24"/>
          <w:lang w:val="pl-PL"/>
        </w:rPr>
        <w:footnoteRef/>
      </w:r>
      <w:r w:rsidR="0058122D" w:rsidRPr="0058122D">
        <w:rPr>
          <w:sz w:val="24"/>
          <w:lang w:val="pl-PL"/>
        </w:rPr>
        <w:t xml:space="preserve"> </w:t>
      </w:r>
      <w:r w:rsidR="0058122D" w:rsidRPr="0058122D">
        <w:rPr>
          <w:sz w:val="24"/>
          <w:lang w:val="pl-PL"/>
        </w:rPr>
        <w:tab/>
      </w:r>
      <w:hyperlink r:id="rId10" w:history="1">
        <w:r w:rsidRPr="0058122D">
          <w:rPr>
            <w:rStyle w:val="Hyperlink"/>
            <w:sz w:val="24"/>
            <w:lang w:val="pl-PL"/>
          </w:rPr>
          <w:t>Sprawozdanie końcowe misji obserwacji wyborów ODIHR – Węgry, 2022</w:t>
        </w:r>
      </w:hyperlink>
      <w:r w:rsidRPr="0058122D">
        <w:rPr>
          <w:sz w:val="24"/>
          <w:lang w:val="pl-PL"/>
        </w:rPr>
        <w:t>.</w:t>
      </w:r>
    </w:p>
  </w:footnote>
  <w:footnote w:id="15">
    <w:p w14:paraId="2EBBFE9A" w14:textId="073B1D36" w:rsidR="0041616A" w:rsidRPr="0058122D" w:rsidRDefault="0041616A" w:rsidP="0058122D">
      <w:pPr>
        <w:pStyle w:val="FootnoteText"/>
        <w:ind w:left="567" w:hanging="567"/>
        <w:rPr>
          <w:sz w:val="24"/>
          <w:lang w:val="pl-PL"/>
        </w:rPr>
      </w:pPr>
      <w:r w:rsidRPr="0058122D">
        <w:rPr>
          <w:rStyle w:val="FootnoteReference"/>
          <w:sz w:val="24"/>
          <w:lang w:val="pl-PL"/>
        </w:rPr>
        <w:footnoteRef/>
      </w:r>
      <w:r w:rsidR="0058122D" w:rsidRPr="0058122D">
        <w:rPr>
          <w:sz w:val="24"/>
          <w:lang w:val="pl-PL"/>
        </w:rPr>
        <w:t xml:space="preserve"> </w:t>
      </w:r>
      <w:r w:rsidR="0058122D" w:rsidRPr="0058122D">
        <w:rPr>
          <w:sz w:val="24"/>
          <w:lang w:val="pl-PL"/>
        </w:rPr>
        <w:tab/>
      </w:r>
      <w:r w:rsidRPr="0058122D">
        <w:rPr>
          <w:sz w:val="24"/>
          <w:lang w:val="pl-PL"/>
        </w:rPr>
        <w:t xml:space="preserve">Dyrektywa Parlamentu Europejskiego i Rady (UE) 2024/1069 z dnia 11 kwietnia 2024 r. w sprawie ochrony osób, które angażują się w debatę publiczną, przed oczywiście bezzasadnymi roszczeniami lub stanowiącymi nadużycie postępowaniami sądowymi („strategiczne powództwa zmierzające do stłumienia debaty publicznej”) (Dz.U. L, 2024/1069, 16.4.2024, ELI: </w:t>
      </w:r>
      <w:hyperlink r:id="rId11" w:history="1">
        <w:r w:rsidRPr="0058122D">
          <w:rPr>
            <w:rStyle w:val="Hyperlink"/>
            <w:sz w:val="24"/>
            <w:lang w:val="pl-PL"/>
          </w:rPr>
          <w:t>http://data.europa.eu/eli/dir/2024/1069/oj</w:t>
        </w:r>
      </w:hyperlink>
      <w:r w:rsidRPr="0058122D">
        <w:rPr>
          <w:sz w:val="24"/>
          <w:lang w:val="pl-PL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3F64D" w14:textId="77777777" w:rsidR="00064002" w:rsidRPr="0058122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89AC0" w14:textId="77777777" w:rsidR="00064002" w:rsidRPr="0058122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C8FC7" w14:textId="77777777" w:rsidR="00064002" w:rsidRPr="0058122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78370928">
    <w:abstractNumId w:val="9"/>
  </w:num>
  <w:num w:numId="2" w16cid:durableId="67772839">
    <w:abstractNumId w:val="9"/>
  </w:num>
  <w:num w:numId="3" w16cid:durableId="1063677451">
    <w:abstractNumId w:val="7"/>
  </w:num>
  <w:num w:numId="4" w16cid:durableId="2011787331">
    <w:abstractNumId w:val="7"/>
  </w:num>
  <w:num w:numId="5" w16cid:durableId="734593239">
    <w:abstractNumId w:val="6"/>
  </w:num>
  <w:num w:numId="6" w16cid:durableId="1439370025">
    <w:abstractNumId w:val="6"/>
  </w:num>
  <w:num w:numId="7" w16cid:durableId="991715591">
    <w:abstractNumId w:val="5"/>
  </w:num>
  <w:num w:numId="8" w16cid:durableId="1385255789">
    <w:abstractNumId w:val="5"/>
  </w:num>
  <w:num w:numId="9" w16cid:durableId="590234947">
    <w:abstractNumId w:val="4"/>
  </w:num>
  <w:num w:numId="10" w16cid:durableId="699664219">
    <w:abstractNumId w:val="4"/>
  </w:num>
  <w:num w:numId="11" w16cid:durableId="763574052">
    <w:abstractNumId w:val="8"/>
  </w:num>
  <w:num w:numId="12" w16cid:durableId="2079209726">
    <w:abstractNumId w:val="8"/>
  </w:num>
  <w:num w:numId="13" w16cid:durableId="489440997">
    <w:abstractNumId w:val="3"/>
  </w:num>
  <w:num w:numId="14" w16cid:durableId="776562080">
    <w:abstractNumId w:val="3"/>
  </w:num>
  <w:num w:numId="15" w16cid:durableId="265577603">
    <w:abstractNumId w:val="2"/>
  </w:num>
  <w:num w:numId="16" w16cid:durableId="731461807">
    <w:abstractNumId w:val="2"/>
  </w:num>
  <w:num w:numId="17" w16cid:durableId="892083435">
    <w:abstractNumId w:val="1"/>
  </w:num>
  <w:num w:numId="18" w16cid:durableId="1218469714">
    <w:abstractNumId w:val="1"/>
  </w:num>
  <w:num w:numId="19" w16cid:durableId="91364094">
    <w:abstractNumId w:val="0"/>
  </w:num>
  <w:num w:numId="20" w16cid:durableId="109856382">
    <w:abstractNumId w:val="0"/>
  </w:num>
  <w:num w:numId="21" w16cid:durableId="445513875">
    <w:abstractNumId w:val="9"/>
  </w:num>
  <w:num w:numId="22" w16cid:durableId="1008488540">
    <w:abstractNumId w:val="7"/>
  </w:num>
  <w:num w:numId="23" w16cid:durableId="361246600">
    <w:abstractNumId w:val="6"/>
  </w:num>
  <w:num w:numId="24" w16cid:durableId="1512528610">
    <w:abstractNumId w:val="5"/>
  </w:num>
  <w:num w:numId="25" w16cid:durableId="986515570">
    <w:abstractNumId w:val="4"/>
  </w:num>
  <w:num w:numId="26" w16cid:durableId="337854545">
    <w:abstractNumId w:val="8"/>
  </w:num>
  <w:num w:numId="27" w16cid:durableId="1059473154">
    <w:abstractNumId w:val="3"/>
  </w:num>
  <w:num w:numId="28" w16cid:durableId="1897084087">
    <w:abstractNumId w:val="2"/>
  </w:num>
  <w:num w:numId="29" w16cid:durableId="866793985">
    <w:abstractNumId w:val="1"/>
  </w:num>
  <w:num w:numId="30" w16cid:durableId="1215921038">
    <w:abstractNumId w:val="0"/>
  </w:num>
  <w:num w:numId="31" w16cid:durableId="381172542">
    <w:abstractNumId w:val="9"/>
  </w:num>
  <w:num w:numId="32" w16cid:durableId="101194351">
    <w:abstractNumId w:val="7"/>
  </w:num>
  <w:num w:numId="33" w16cid:durableId="362752710">
    <w:abstractNumId w:val="6"/>
  </w:num>
  <w:num w:numId="34" w16cid:durableId="1337617309">
    <w:abstractNumId w:val="5"/>
  </w:num>
  <w:num w:numId="35" w16cid:durableId="1966619305">
    <w:abstractNumId w:val="4"/>
  </w:num>
  <w:num w:numId="36" w16cid:durableId="1901552898">
    <w:abstractNumId w:val="8"/>
  </w:num>
  <w:num w:numId="37" w16cid:durableId="789397485">
    <w:abstractNumId w:val="3"/>
  </w:num>
  <w:num w:numId="38" w16cid:durableId="651570031">
    <w:abstractNumId w:val="2"/>
  </w:num>
  <w:num w:numId="39" w16cid:durableId="1821457698">
    <w:abstractNumId w:val="1"/>
  </w:num>
  <w:num w:numId="40" w16cid:durableId="1890725723">
    <w:abstractNumId w:val="0"/>
  </w:num>
  <w:num w:numId="41" w16cid:durableId="431751601">
    <w:abstractNumId w:val="10"/>
  </w:num>
  <w:num w:numId="42" w16cid:durableId="762335345">
    <w:abstractNumId w:val="10"/>
  </w:num>
  <w:num w:numId="43" w16cid:durableId="1952587835">
    <w:abstractNumId w:val="10"/>
  </w:num>
  <w:num w:numId="44" w16cid:durableId="16885625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56/2025"/>
    <w:docVar w:name="dvlangue" w:val="PL"/>
    <w:docVar w:name="dvnumam" w:val="0"/>
    <w:docVar w:name="dvpe" w:val="768.033"/>
    <w:docVar w:name="dvrapporteur" w:val="Sprawozdawca: "/>
    <w:docVar w:name="dvtitre" w:val="Rezolucja Parlamentu Europejskiego z dnia  2025 r. w sprawie bilansu wyborów europejskich w 2024 r.(2025/2012(INI))"/>
  </w:docVars>
  <w:rsids>
    <w:rsidRoot w:val="00123466"/>
    <w:rsid w:val="00002272"/>
    <w:rsid w:val="00064002"/>
    <w:rsid w:val="000677B9"/>
    <w:rsid w:val="000831BA"/>
    <w:rsid w:val="000A42CC"/>
    <w:rsid w:val="000E7DD9"/>
    <w:rsid w:val="0010095E"/>
    <w:rsid w:val="00123466"/>
    <w:rsid w:val="00125B37"/>
    <w:rsid w:val="00187494"/>
    <w:rsid w:val="001E57C5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16A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8122D"/>
    <w:rsid w:val="005C2568"/>
    <w:rsid w:val="005F1B17"/>
    <w:rsid w:val="006037C0"/>
    <w:rsid w:val="006631B6"/>
    <w:rsid w:val="00665203"/>
    <w:rsid w:val="00680577"/>
    <w:rsid w:val="006C692B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10CD"/>
    <w:rsid w:val="00AB441E"/>
    <w:rsid w:val="00AB6293"/>
    <w:rsid w:val="00AE0928"/>
    <w:rsid w:val="00AF3B82"/>
    <w:rsid w:val="00B12E95"/>
    <w:rsid w:val="00B22876"/>
    <w:rsid w:val="00B558F0"/>
    <w:rsid w:val="00BA2474"/>
    <w:rsid w:val="00BD48FE"/>
    <w:rsid w:val="00BD7BD8"/>
    <w:rsid w:val="00BE325F"/>
    <w:rsid w:val="00BE6ADC"/>
    <w:rsid w:val="00C05BFE"/>
    <w:rsid w:val="00C23CD4"/>
    <w:rsid w:val="00C55729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26D3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1F1588"/>
  <w15:chartTrackingRefBased/>
  <w15:docId w15:val="{093D62AC-83BE-49CA-A832-691433A19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41616A"/>
    <w:pPr>
      <w:spacing w:before="480" w:after="240"/>
    </w:pPr>
    <w:rPr>
      <w:snapToGrid w:val="0"/>
      <w:lang w:eastAsia="en-US"/>
    </w:rPr>
  </w:style>
  <w:style w:type="paragraph" w:customStyle="1" w:styleId="NormalHanging12a">
    <w:name w:val="NormalHanging12a"/>
    <w:basedOn w:val="Normal"/>
    <w:link w:val="NormalHanging12aChar"/>
    <w:rsid w:val="0041616A"/>
    <w:pPr>
      <w:widowControl/>
      <w:spacing w:after="240"/>
      <w:ind w:left="567" w:hanging="567"/>
    </w:pPr>
    <w:rPr>
      <w:snapToGrid w:val="0"/>
      <w:lang w:eastAsia="en-US"/>
    </w:rPr>
  </w:style>
  <w:style w:type="character" w:customStyle="1" w:styleId="BoldItalic">
    <w:name w:val="BoldItalic"/>
    <w:uiPriority w:val="1"/>
    <w:rsid w:val="0041616A"/>
    <w:rPr>
      <w:b/>
      <w:i/>
      <w:u w:val="none"/>
    </w:rPr>
  </w:style>
  <w:style w:type="character" w:customStyle="1" w:styleId="Italic">
    <w:name w:val="Italic"/>
    <w:uiPriority w:val="1"/>
    <w:rsid w:val="0041616A"/>
    <w:rPr>
      <w:i/>
    </w:rPr>
  </w:style>
  <w:style w:type="character" w:styleId="Hyperlink">
    <w:name w:val="Hyperlink"/>
    <w:basedOn w:val="DefaultParagraphFont"/>
    <w:rsid w:val="0041616A"/>
    <w:rPr>
      <w:color w:val="0000FF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41616A"/>
    <w:rPr>
      <w:snapToGrid w:val="0"/>
      <w:sz w:val="24"/>
      <w:lang w:val="pl-P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981/oj" TargetMode="External"/><Relationship Id="rId3" Type="http://schemas.openxmlformats.org/officeDocument/2006/relationships/hyperlink" Target="http://data.europa.eu/eli/reg/2024/900/oj" TargetMode="External"/><Relationship Id="rId7" Type="http://schemas.openxmlformats.org/officeDocument/2006/relationships/hyperlink" Target="http://data.europa.eu/eli/C/2025/1811/oj" TargetMode="External"/><Relationship Id="rId2" Type="http://schemas.openxmlformats.org/officeDocument/2006/relationships/hyperlink" Target="http://data.europa.eu/eli/reg/2014/1141/oj" TargetMode="External"/><Relationship Id="rId1" Type="http://schemas.openxmlformats.org/officeDocument/2006/relationships/hyperlink" Target="http://data.europa.eu/eli/dec/2018/994/oj" TargetMode="External"/><Relationship Id="rId6" Type="http://schemas.openxmlformats.org/officeDocument/2006/relationships/hyperlink" Target="http://data.europa.eu/eli/C/2024/4160/oj" TargetMode="External"/><Relationship Id="rId11" Type="http://schemas.openxmlformats.org/officeDocument/2006/relationships/hyperlink" Target="http://data.europa.eu/eli/dir/2024/1069/oj" TargetMode="External"/><Relationship Id="rId5" Type="http://schemas.openxmlformats.org/officeDocument/2006/relationships/hyperlink" Target="http://data.europa.eu/eli/reg/2024/1689/oj" TargetMode="External"/><Relationship Id="rId10" Type="http://schemas.openxmlformats.org/officeDocument/2006/relationships/hyperlink" Target="https://www.osce.org/files/f/documents/2/6/523568.pdf" TargetMode="External"/><Relationship Id="rId4" Type="http://schemas.openxmlformats.org/officeDocument/2006/relationships/hyperlink" Target="http://data.europa.eu/eli/reg/2022/2065/oj" TargetMode="External"/><Relationship Id="rId9" Type="http://schemas.openxmlformats.org/officeDocument/2006/relationships/hyperlink" Target="http://data.europa.eu/eli/C/2024/421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4434</Words>
  <Characters>29840</Characters>
  <Application>Microsoft Office Word</Application>
  <DocSecurity>0</DocSecurity>
  <Lines>248</Lines>
  <Paragraphs>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34206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WOJCIECHOWSKA Joanna</cp:lastModifiedBy>
  <cp:revision>3</cp:revision>
  <cp:lastPrinted>2004-11-19T15:42:00Z</cp:lastPrinted>
  <dcterms:created xsi:type="dcterms:W3CDTF">2025-09-11T12:47:00Z</dcterms:created>
  <dcterms:modified xsi:type="dcterms:W3CDTF">2025-09-26T07:09:00Z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A10-0156/2025</vt:lpwstr>
  </property>
  <property fmtid="{D5CDD505-2E9C-101B-9397-08002B2CF9AE}" pid="4" name="&lt;Type&gt;">
    <vt:lpwstr>RR</vt:lpwstr>
  </property>
</Properties>
</file>