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5C6E" w14:paraId="5DB072E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304487" w14:textId="40836472" w:rsidR="00751A4A" w:rsidRPr="00935C6E" w:rsidRDefault="0020384C" w:rsidP="0010095E">
            <w:pPr>
              <w:pStyle w:val="EPName"/>
            </w:pPr>
            <w:r w:rsidRPr="00935C6E">
              <w:t>Európsky parlament</w:t>
            </w:r>
          </w:p>
          <w:p w14:paraId="1FC1D373" w14:textId="77777777" w:rsidR="00751A4A" w:rsidRPr="00935C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5C6E">
              <w:t>2024</w:t>
            </w:r>
            <w:r w:rsidR="00817416" w:rsidRPr="00935C6E">
              <w:t>-202</w:t>
            </w:r>
            <w:r w:rsidRPr="00935C6E">
              <w:t>9</w:t>
            </w:r>
          </w:p>
        </w:tc>
        <w:tc>
          <w:tcPr>
            <w:tcW w:w="2268" w:type="dxa"/>
            <w:shd w:val="clear" w:color="auto" w:fill="auto"/>
          </w:tcPr>
          <w:p w14:paraId="69D9A589" w14:textId="77777777" w:rsidR="00751A4A" w:rsidRPr="00935C6E" w:rsidRDefault="00187494" w:rsidP="0010095E">
            <w:pPr>
              <w:pStyle w:val="EPLogo"/>
            </w:pPr>
            <w:r w:rsidRPr="00935C6E">
              <w:rPr>
                <w:noProof/>
                <w:lang w:val="en-GB"/>
              </w:rPr>
              <w:drawing>
                <wp:inline distT="0" distB="0" distL="0" distR="0" wp14:anchorId="7FCCFF8A" wp14:editId="76743D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34E49A" w14:textId="77777777" w:rsidR="00D058B8" w:rsidRPr="00935C6E" w:rsidRDefault="00D058B8" w:rsidP="004C5D52">
      <w:pPr>
        <w:pStyle w:val="LineTop"/>
      </w:pPr>
    </w:p>
    <w:p w14:paraId="6932DC3B" w14:textId="29D86D03" w:rsidR="00680577" w:rsidRPr="00935C6E" w:rsidRDefault="0020384C" w:rsidP="00680577">
      <w:pPr>
        <w:pStyle w:val="EPBodyTA1"/>
      </w:pPr>
      <w:r w:rsidRPr="00935C6E">
        <w:t>PRIJATÉ TEXTY</w:t>
      </w:r>
    </w:p>
    <w:p w14:paraId="5F37C00A" w14:textId="77777777" w:rsidR="00D058B8" w:rsidRPr="00935C6E" w:rsidRDefault="00D058B8" w:rsidP="00D058B8">
      <w:pPr>
        <w:pStyle w:val="LineBottom"/>
      </w:pPr>
    </w:p>
    <w:p w14:paraId="5C1F6F92" w14:textId="20BB214C" w:rsidR="0020384C" w:rsidRPr="00935C6E" w:rsidRDefault="0020384C" w:rsidP="0020384C">
      <w:pPr>
        <w:pStyle w:val="ATHeading1"/>
      </w:pPr>
      <w:bookmarkStart w:id="0" w:name="TANumber"/>
      <w:r w:rsidRPr="00935C6E">
        <w:t>P10_TA(2025)0</w:t>
      </w:r>
      <w:r w:rsidR="00935C6E" w:rsidRPr="00935C6E">
        <w:t>198</w:t>
      </w:r>
      <w:bookmarkEnd w:id="0"/>
    </w:p>
    <w:p w14:paraId="1A6766C7" w14:textId="77777777" w:rsidR="0020384C" w:rsidRPr="00935C6E" w:rsidRDefault="0020384C" w:rsidP="0020384C">
      <w:pPr>
        <w:pStyle w:val="ATHeading2"/>
      </w:pPr>
      <w:bookmarkStart w:id="1" w:name="title"/>
      <w:r w:rsidRPr="00935C6E">
        <w:t>Zhodnotenie volieb do Európskeho parlamentu v roku 2024</w:t>
      </w:r>
      <w:bookmarkEnd w:id="1"/>
    </w:p>
    <w:p w14:paraId="754DEF86" w14:textId="77777777" w:rsidR="0020384C" w:rsidRPr="00935C6E" w:rsidRDefault="0020384C" w:rsidP="0020384C">
      <w:pPr>
        <w:rPr>
          <w:i/>
          <w:vanish/>
        </w:rPr>
      </w:pPr>
      <w:r w:rsidRPr="00935C6E">
        <w:rPr>
          <w:i/>
        </w:rPr>
        <w:fldChar w:fldCharType="begin"/>
      </w:r>
      <w:r w:rsidRPr="00935C6E">
        <w:rPr>
          <w:i/>
        </w:rPr>
        <w:instrText xml:space="preserve"> TC"(</w:instrText>
      </w:r>
      <w:bookmarkStart w:id="2" w:name="DocNumber"/>
      <w:r w:rsidRPr="00935C6E">
        <w:rPr>
          <w:i/>
        </w:rPr>
        <w:instrText>A10-0156/2025</w:instrText>
      </w:r>
      <w:bookmarkEnd w:id="2"/>
      <w:r w:rsidRPr="00935C6E">
        <w:rPr>
          <w:i/>
        </w:rPr>
        <w:instrText xml:space="preserve"> - Spravodajkyňa: Ľubica Karvašová)"\l3 \n&gt; \* MERGEFORMAT </w:instrText>
      </w:r>
      <w:r w:rsidRPr="00935C6E">
        <w:rPr>
          <w:i/>
        </w:rPr>
        <w:fldChar w:fldCharType="end"/>
      </w:r>
    </w:p>
    <w:p w14:paraId="77841C59" w14:textId="77777777" w:rsidR="0020384C" w:rsidRPr="00935C6E" w:rsidRDefault="0020384C" w:rsidP="0020384C">
      <w:pPr>
        <w:rPr>
          <w:vanish/>
        </w:rPr>
      </w:pPr>
      <w:bookmarkStart w:id="3" w:name="Commission"/>
      <w:r w:rsidRPr="00935C6E">
        <w:rPr>
          <w:vanish/>
        </w:rPr>
        <w:t>Výbor pre ústavné veci</w:t>
      </w:r>
      <w:bookmarkEnd w:id="3"/>
    </w:p>
    <w:p w14:paraId="1BE97CC5" w14:textId="77777777" w:rsidR="0020384C" w:rsidRPr="00935C6E" w:rsidRDefault="0020384C" w:rsidP="0020384C">
      <w:pPr>
        <w:rPr>
          <w:vanish/>
        </w:rPr>
      </w:pPr>
      <w:bookmarkStart w:id="4" w:name="PE"/>
      <w:r w:rsidRPr="00935C6E">
        <w:rPr>
          <w:vanish/>
        </w:rPr>
        <w:t>PE768.033</w:t>
      </w:r>
      <w:bookmarkEnd w:id="4"/>
    </w:p>
    <w:p w14:paraId="095B3755" w14:textId="78E895AB" w:rsidR="0020384C" w:rsidRPr="00935C6E" w:rsidRDefault="0020384C" w:rsidP="0020384C">
      <w:pPr>
        <w:pStyle w:val="ATHeading3"/>
      </w:pPr>
      <w:bookmarkStart w:id="5" w:name="Sujet"/>
      <w:r w:rsidRPr="00935C6E">
        <w:t>Uznesenie Európskeho parlamentu z</w:t>
      </w:r>
      <w:r w:rsidR="00837A52" w:rsidRPr="00935C6E">
        <w:t> 11</w:t>
      </w:r>
      <w:r w:rsidRPr="00935C6E">
        <w:t>. septembra 2025 o zhodnotení volieb do Európskeho parlamentu v roku 2024</w:t>
      </w:r>
      <w:bookmarkEnd w:id="5"/>
      <w:r w:rsidRPr="00935C6E">
        <w:t xml:space="preserve"> </w:t>
      </w:r>
      <w:bookmarkStart w:id="6" w:name="References"/>
      <w:r w:rsidRPr="00935C6E">
        <w:t>(2025/2012(INI))</w:t>
      </w:r>
      <w:bookmarkEnd w:id="6"/>
    </w:p>
    <w:p w14:paraId="565E48A2" w14:textId="77777777" w:rsidR="00850A80" w:rsidRPr="00935C6E" w:rsidRDefault="00850A80" w:rsidP="00850A80">
      <w:pPr>
        <w:pStyle w:val="EPComma"/>
      </w:pPr>
      <w:r w:rsidRPr="00935C6E">
        <w:rPr>
          <w:rStyle w:val="Italic"/>
        </w:rPr>
        <w:t>Európsky parlament</w:t>
      </w:r>
      <w:r w:rsidRPr="00935C6E">
        <w:t>,</w:t>
      </w:r>
    </w:p>
    <w:p w14:paraId="7A156071" w14:textId="3DE74C63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Zmluvu o Európskej únii (ďalej len „Zmluva o EÚ“), a najmä na jej články 10</w:t>
      </w:r>
      <w:r w:rsidR="005A3CBD">
        <w:t xml:space="preserve"> a</w:t>
      </w:r>
      <w:r w:rsidRPr="00935C6E">
        <w:t xml:space="preserve"> 14 a</w:t>
      </w:r>
      <w:r w:rsidR="005A3CBD">
        <w:t xml:space="preserve"> článok </w:t>
      </w:r>
      <w:r w:rsidRPr="00935C6E">
        <w:t>17 ods. 7,</w:t>
      </w:r>
    </w:p>
    <w:p w14:paraId="2121B6FB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Zmluvu o fungovaní Európskej únie (ďalej len „ZFEÚ“), a najmä na jej články 20 a 22,</w:t>
      </w:r>
    </w:p>
    <w:p w14:paraId="25756C43" w14:textId="559D296C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Chartu základných práv Európskej únie, a najmä na jej články 21</w:t>
      </w:r>
      <w:r w:rsidR="005A3CBD">
        <w:t xml:space="preserve"> a</w:t>
      </w:r>
      <w:r w:rsidRPr="00935C6E">
        <w:t xml:space="preserve"> 39 a</w:t>
      </w:r>
      <w:r w:rsidR="005A3CBD">
        <w:t xml:space="preserve"> článok </w:t>
      </w:r>
      <w:r w:rsidRPr="00935C6E">
        <w:t>52 ods. 1,</w:t>
      </w:r>
    </w:p>
    <w:p w14:paraId="24C71F35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vyhlásenie k článku 17 ods. 6 a 7 Zmluvy o Európskej únii pripojené k záverečnému aktu medzivládnej konferencie, na ktorej bola prijatá Lisabonská zmluva,</w:t>
      </w:r>
    </w:p>
    <w:p w14:paraId="0604F811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Medzinárodný pakt o občianskych a politických právach, a najmä na jeho článok 25,</w:t>
      </w:r>
    </w:p>
    <w:p w14:paraId="07AD666B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Dohovor Organizácie Spojených národov o právach osôb so zdravotným postihnutím (UNCRPD), najmä na jeho článok 29,</w:t>
      </w:r>
    </w:p>
    <w:p w14:paraId="223EB9DD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smernicu Rady 93/109/ES zo 6. decembra 1993, ktorou sa stanovujú podrobnosti uplatňovania volebného práva a práva byť volený do Európskeho parlamentu pre občanov Únie s bydliskom v členskom štáte, ktorého nie sú štátnymi príslušníkmi</w:t>
      </w:r>
      <w:r w:rsidRPr="00935C6E">
        <w:rPr>
          <w:rStyle w:val="FootnoteReference"/>
          <w:color w:val="000000"/>
        </w:rPr>
        <w:footnoteReference w:id="1"/>
      </w:r>
      <w:r w:rsidRPr="00935C6E">
        <w:t>,</w:t>
      </w:r>
    </w:p>
    <w:p w14:paraId="5B6D2674" w14:textId="77777777" w:rsidR="00850A80" w:rsidRPr="00935C6E" w:rsidRDefault="00850A80" w:rsidP="00563AA6">
      <w:pPr>
        <w:pStyle w:val="NormalHanging12a"/>
      </w:pPr>
      <w:r w:rsidRPr="00935C6E">
        <w:lastRenderedPageBreak/>
        <w:t>–</w:t>
      </w:r>
      <w:r w:rsidRPr="00935C6E">
        <w:tab/>
        <w:t xml:space="preserve">so zreteľom na rozhodnutie Rady (EÚ, </w:t>
      </w:r>
      <w:proofErr w:type="spellStart"/>
      <w:r w:rsidRPr="00935C6E">
        <w:t>Euratom</w:t>
      </w:r>
      <w:proofErr w:type="spellEnd"/>
      <w:r w:rsidRPr="00935C6E">
        <w:t xml:space="preserve">) 2018/994 z 13. júla 2018, ktorým sa mení Akt o priamych a všeobecných voľbách poslancov Európskeho parlamentu pripojený k rozhodnutiu Rady 76/787/ESUO, EHS, </w:t>
      </w:r>
      <w:proofErr w:type="spellStart"/>
      <w:r w:rsidRPr="00935C6E">
        <w:t>Euratom</w:t>
      </w:r>
      <w:proofErr w:type="spellEnd"/>
      <w:r w:rsidRPr="00935C6E">
        <w:t xml:space="preserve"> z 20. septembra 1976</w:t>
      </w:r>
      <w:r w:rsidRPr="00935C6E">
        <w:rPr>
          <w:rStyle w:val="FootnoteReference"/>
          <w:color w:val="000000"/>
        </w:rPr>
        <w:footnoteReference w:id="2"/>
      </w:r>
      <w:r w:rsidRPr="00935C6E">
        <w:t>,</w:t>
      </w:r>
    </w:p>
    <w:p w14:paraId="056921D0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 xml:space="preserve">so zreteľom na nariadenie Európskeho parlamentu a Rady (EÚ, </w:t>
      </w:r>
      <w:proofErr w:type="spellStart"/>
      <w:r w:rsidRPr="00935C6E">
        <w:t>Euratom</w:t>
      </w:r>
      <w:proofErr w:type="spellEnd"/>
      <w:r w:rsidRPr="00935C6E">
        <w:t>) č. 1141/2014 z 22. októbra 2014 o štatúte a financovaní európskych politických strán a európskych politických nadácií</w:t>
      </w:r>
      <w:r w:rsidRPr="00935C6E">
        <w:rPr>
          <w:rStyle w:val="FootnoteReference"/>
          <w:color w:val="000000"/>
        </w:rPr>
        <w:footnoteReference w:id="3"/>
      </w:r>
      <w:r w:rsidRPr="00935C6E">
        <w:t>,</w:t>
      </w:r>
    </w:p>
    <w:p w14:paraId="2D42CABB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pozmeňujúce návrhy, ktoré prijal 15. septembra 2022 k návrhu nariadenia Európskeho parlamentu a Rady o štatúte a financovaní európskych politických strán a európskych politických nadácií</w:t>
      </w:r>
      <w:r w:rsidRPr="00935C6E">
        <w:rPr>
          <w:rStyle w:val="FootnoteReference"/>
          <w:color w:val="000000"/>
        </w:rPr>
        <w:footnoteReference w:id="4"/>
      </w:r>
      <w:r w:rsidRPr="00935C6E">
        <w:t>,</w:t>
      </w:r>
    </w:p>
    <w:p w14:paraId="76683B2D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návrh Komisie z 25. novembra 2021 na smernicu Rady, ktorou sa stanovujú podrobnosti uplatňovania práva voliť a byť volený vo voľbách do Európskeho parlamentu pre občanov Únie s bydliskom v členskom štáte, ktorého nie sú štátnymi príslušníkmi (COM(2021)0732)</w:t>
      </w:r>
      <w:r w:rsidRPr="00935C6E">
        <w:rPr>
          <w:shd w:val="clear" w:color="auto" w:fill="FFFFFF"/>
        </w:rPr>
        <w:t>,</w:t>
      </w:r>
    </w:p>
    <w:p w14:paraId="17B325FC" w14:textId="57E1C45D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nariadenie Európskeho parlamentu a Rady (EÚ) 2024/900 z 13.</w:t>
      </w:r>
      <w:r w:rsidR="00ED3FB8">
        <w:t xml:space="preserve"> </w:t>
      </w:r>
      <w:r w:rsidRPr="00935C6E">
        <w:t>marca 2024 o transparentnosti a cielení politickej reklamy</w:t>
      </w:r>
      <w:r w:rsidRPr="00935C6E">
        <w:rPr>
          <w:rStyle w:val="FootnoteReference"/>
          <w:color w:val="000000"/>
        </w:rPr>
        <w:footnoteReference w:id="5"/>
      </w:r>
      <w:r w:rsidRPr="00935C6E">
        <w:t>,</w:t>
      </w:r>
    </w:p>
    <w:p w14:paraId="4EC4F91B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nariadenie Európskeho parlamentu a Rady (EÚ) 2022/2065 z 19. októbra 2022 o jednotnom trhu s digitálnymi službami a o zmene smernice 2000/31/ES (akt o digitálnych službách)</w:t>
      </w:r>
      <w:r w:rsidRPr="00935C6E">
        <w:rPr>
          <w:rStyle w:val="FootnoteReference"/>
          <w:color w:val="000000"/>
        </w:rPr>
        <w:footnoteReference w:id="6"/>
      </w:r>
      <w:r w:rsidRPr="00935C6E">
        <w:t>,</w:t>
      </w:r>
    </w:p>
    <w:p w14:paraId="7595625D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nariadenie Európskeho parlamentu a Rady (EÚ) 2024/1689 z 13. júna 2024, ktorým sa stanovujú harmonizované pravidlá v oblasti umelej inteligencie a ktorým sa menia nariadenia (ES) č. 300/2008, (EÚ) č. 167/2013, (EÚ) č. 168/2013, (EÚ) 2018/858, (EÚ) 2018/1139 a (EÚ) 2019/2144 a smernice 2014/90/EÚ, (EÚ) 2016/797 a (EÚ) 2020/1828 (akt o umelej inteligencii)</w:t>
      </w:r>
      <w:r w:rsidRPr="00935C6E">
        <w:rPr>
          <w:rStyle w:val="FootnoteReference"/>
          <w:color w:val="000000"/>
        </w:rPr>
        <w:footnoteReference w:id="7"/>
      </w:r>
      <w:r w:rsidRPr="00935C6E">
        <w:t>,</w:t>
      </w:r>
    </w:p>
    <w:p w14:paraId="7EEB76A7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Dohodu o spolupráci medzi Európskym parlamentom a Európskym výborom regiónov z 13. mája 2024,</w:t>
      </w:r>
    </w:p>
    <w:p w14:paraId="2A33E206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memorandum o porozumení medzi Európskym parlamentom a Európskym výborom regiónov z 28. februára 2024 o spolupráci pred voľbami v roku 2024,</w:t>
      </w:r>
    </w:p>
    <w:p w14:paraId="2372D5AD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 xml:space="preserve">so zreteľom na svoju pozíciu z 3. mája 2022 k návrhu nariadenia Rady o priamych a všeobecných voľbách poslancov Európskeho parlamentu, ktorým sa zrušuje rozhodnutie Rady (76/787/ESUO, EHS, </w:t>
      </w:r>
      <w:proofErr w:type="spellStart"/>
      <w:r w:rsidRPr="00935C6E">
        <w:t>Euratom</w:t>
      </w:r>
      <w:proofErr w:type="spellEnd"/>
      <w:r w:rsidRPr="00935C6E">
        <w:t>) a Akt o priamych a všeobecných voľbách poslancov Európskeho parlamentu pripojený k tomuto rozhodnutiu</w:t>
      </w:r>
      <w:r w:rsidRPr="00935C6E">
        <w:rPr>
          <w:rStyle w:val="FootnoteReference"/>
        </w:rPr>
        <w:footnoteReference w:id="8"/>
      </w:r>
      <w:r w:rsidRPr="00935C6E">
        <w:t>,</w:t>
      </w:r>
    </w:p>
    <w:p w14:paraId="077C0AFE" w14:textId="77777777" w:rsidR="00850A80" w:rsidRPr="00935C6E" w:rsidRDefault="00850A80" w:rsidP="00563AA6">
      <w:pPr>
        <w:pStyle w:val="NormalHanging12a"/>
      </w:pPr>
      <w:r w:rsidRPr="00935C6E">
        <w:lastRenderedPageBreak/>
        <w:t>–</w:t>
      </w:r>
      <w:r w:rsidRPr="00935C6E">
        <w:tab/>
        <w:t>so zreteľom na svoje uznesenie z 26. novembra 2020 o hodnotení európskych volieb</w:t>
      </w:r>
      <w:r w:rsidRPr="00935C6E">
        <w:rPr>
          <w:rStyle w:val="FootnoteReference"/>
          <w:color w:val="000000"/>
        </w:rPr>
        <w:footnoteReference w:id="9"/>
      </w:r>
      <w:r w:rsidRPr="00935C6E">
        <w:t>,</w:t>
      </w:r>
    </w:p>
    <w:p w14:paraId="3CBE6E24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svoje uznesenie z 12. decembra 2023 o voľbách do Európskeho parlamentu v roku 2024</w:t>
      </w:r>
      <w:r w:rsidRPr="00935C6E">
        <w:rPr>
          <w:rStyle w:val="FootnoteReference"/>
          <w:color w:val="000000"/>
        </w:rPr>
        <w:footnoteReference w:id="10"/>
      </w:r>
      <w:r w:rsidRPr="00935C6E">
        <w:t>,</w:t>
      </w:r>
    </w:p>
    <w:p w14:paraId="709439EF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svoje rozhodnutie z 27. novembra 2024 o voľbe Komisie</w:t>
      </w:r>
      <w:r w:rsidRPr="00935C6E">
        <w:rPr>
          <w:rStyle w:val="FootnoteReference"/>
        </w:rPr>
        <w:footnoteReference w:id="11"/>
      </w:r>
      <w:r w:rsidRPr="00935C6E">
        <w:t>,</w:t>
      </w:r>
    </w:p>
    <w:p w14:paraId="017F8462" w14:textId="0A08C319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</w:t>
      </w:r>
      <w:r w:rsidR="005A3CBD">
        <w:t>reteľom na oznámenie Komisie z 3</w:t>
      </w:r>
      <w:r w:rsidRPr="00935C6E">
        <w:t>. decembra 2020 o akčnom pláne pre európsku demokraciu (</w:t>
      </w:r>
      <w:r w:rsidR="00837A52" w:rsidRPr="00935C6E">
        <w:t>COM(2020)0790</w:t>
      </w:r>
      <w:r w:rsidRPr="00935C6E">
        <w:t>) a jej následný balík opatrení s názvom Obrana demokracie z decembra 2023,</w:t>
      </w:r>
    </w:p>
    <w:p w14:paraId="14064F23" w14:textId="56C2FFC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svoje rozhodnutie z 18. decembra 20</w:t>
      </w:r>
      <w:r w:rsidR="00ED3FB8">
        <w:t>24</w:t>
      </w:r>
      <w:r w:rsidRPr="00935C6E">
        <w:t xml:space="preserve"> o zriadení, pôsobnosti, počte členov a funkčnom období európskeho štítu na obranu demokracie</w:t>
      </w:r>
      <w:r w:rsidRPr="00935C6E">
        <w:rPr>
          <w:rStyle w:val="FootnoteReference"/>
        </w:rPr>
        <w:footnoteReference w:id="12"/>
      </w:r>
      <w:r w:rsidRPr="00935C6E">
        <w:t>,</w:t>
      </w:r>
    </w:p>
    <w:p w14:paraId="5116B9A5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svoje uznesenie z 22. novembra 2023 o návrhoch Európskeho parlamentu na zmenu zmlúv</w:t>
      </w:r>
      <w:r w:rsidRPr="00935C6E">
        <w:rPr>
          <w:rStyle w:val="FootnoteReference"/>
          <w:color w:val="000000"/>
        </w:rPr>
        <w:footnoteReference w:id="13"/>
      </w:r>
      <w:r w:rsidRPr="00935C6E">
        <w:t>,</w:t>
      </w:r>
    </w:p>
    <w:p w14:paraId="6FDCE2AA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správu o konečnom výsledku Konferencie o budúcnosti Európy z mája 2022,</w:t>
      </w:r>
    </w:p>
    <w:p w14:paraId="07F095B0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balík Komisie týkajúci sa rozširovania z 30. októbra 2024,</w:t>
      </w:r>
    </w:p>
    <w:p w14:paraId="33AB3337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článok 55 rokovacieho poriadku,</w:t>
      </w:r>
    </w:p>
    <w:p w14:paraId="49D89A40" w14:textId="77777777" w:rsidR="00850A80" w:rsidRPr="00935C6E" w:rsidRDefault="00850A80" w:rsidP="00563AA6">
      <w:pPr>
        <w:pStyle w:val="NormalHanging12a"/>
      </w:pPr>
      <w:r w:rsidRPr="00935C6E">
        <w:t>–</w:t>
      </w:r>
      <w:r w:rsidRPr="00935C6E">
        <w:tab/>
        <w:t>so zreteľom na správu Výboru pre ústavné veci (A10-0156/2025),</w:t>
      </w:r>
    </w:p>
    <w:p w14:paraId="15A257DA" w14:textId="77777777" w:rsidR="00850A80" w:rsidRPr="00935C6E" w:rsidRDefault="00850A80" w:rsidP="00563AA6">
      <w:pPr>
        <w:pStyle w:val="NormalHanging12a"/>
        <w:ind w:hanging="566"/>
      </w:pPr>
      <w:r w:rsidRPr="00935C6E">
        <w:t>A.</w:t>
      </w:r>
      <w:r w:rsidRPr="00935C6E">
        <w:tab/>
        <w:t>keďže vo voľbách do Európskeho parlamentu v roku 2024 bola zaznamenaná najvyššia účasť spomedzi všetkých volieb do Európskeho parlamentu za posledných 25 rokov, a to až 50,74 % voličov (mierne zvýšenie v porovnaní s 50,66 % v roku 2019), čo vyslalo pozitívny signál o záujme európskych občanov o záležitosti EÚ; keďže údaje o účasti sa v jednotlivých členských štátoch značne líšili, a to od 89,01 % až po 21,35 %, čo zdôrazňuje, že treba naďalej na politickej úrovni investovať do zvyšovania účasti na voľbách v celej EÚ;</w:t>
      </w:r>
    </w:p>
    <w:p w14:paraId="10110E6E" w14:textId="77777777" w:rsidR="00850A80" w:rsidRPr="00935C6E" w:rsidRDefault="00850A80" w:rsidP="00563AA6">
      <w:pPr>
        <w:pStyle w:val="NormalHanging12a"/>
      </w:pPr>
      <w:r w:rsidRPr="00935C6E">
        <w:t>B.</w:t>
      </w:r>
      <w:r w:rsidRPr="00935C6E">
        <w:tab/>
        <w:t>keďže voľby do Európskeho parlamentu v roku 2024 sa konali súčasne s parlamentnými voľbami v dvoch členských štátoch, s miestnymi a regionálnymi voľbami v ôsmich členských štátoch a s referendom v jednom členskom štáte;</w:t>
      </w:r>
    </w:p>
    <w:p w14:paraId="79634954" w14:textId="77777777" w:rsidR="00850A80" w:rsidRPr="00935C6E" w:rsidRDefault="00850A80" w:rsidP="00563AA6">
      <w:pPr>
        <w:pStyle w:val="NormalHanging12a"/>
      </w:pPr>
      <w:r w:rsidRPr="00935C6E">
        <w:t>C.</w:t>
      </w:r>
      <w:r w:rsidRPr="00935C6E">
        <w:tab/>
        <w:t>keďže vo väčšine členských štátov bola zaznamenaná vyššia účasť v porovnaní s predchádzajúcimi európskymi voľbami;</w:t>
      </w:r>
    </w:p>
    <w:p w14:paraId="710124A2" w14:textId="77777777" w:rsidR="00850A80" w:rsidRPr="00935C6E" w:rsidRDefault="00850A80" w:rsidP="00563AA6">
      <w:pPr>
        <w:pStyle w:val="NormalHanging12a"/>
      </w:pPr>
      <w:r w:rsidRPr="00935C6E">
        <w:t>D.</w:t>
      </w:r>
      <w:r w:rsidRPr="00935C6E">
        <w:tab/>
        <w:t xml:space="preserve">keďže volebné právo sa v niekoľkých členských štátoch rozšírilo, keď tieto štáty znížili vek oprávňujúci na účasť vo voľbách na 16 rokov, čo znamenalo, že pribudli ďalšie dva milióny oprávnených voličov mladších ako 18 rokov; keďže niektoré členské štáty znížili vekovú hranicu pre kandidátov vo voľbách na 18 rokov, zatiaľ čo iné zachovali </w:t>
      </w:r>
      <w:r w:rsidRPr="00935C6E">
        <w:lastRenderedPageBreak/>
        <w:t>vekovú hranicu 25 rokov; keďže po prvýkrát hlasovalo vo voľbách spolu až 25 miliónov mladých ľudí;</w:t>
      </w:r>
    </w:p>
    <w:p w14:paraId="53E74446" w14:textId="77777777" w:rsidR="00850A80" w:rsidRPr="00935C6E" w:rsidRDefault="00850A80" w:rsidP="00563AA6">
      <w:pPr>
        <w:spacing w:after="240"/>
        <w:ind w:left="567" w:hanging="567"/>
      </w:pPr>
      <w:r w:rsidRPr="00935C6E">
        <w:t>E.</w:t>
      </w:r>
      <w:r w:rsidRPr="00935C6E">
        <w:tab/>
        <w:t xml:space="preserve">keďže podľa povolebného prieskumu </w:t>
      </w:r>
      <w:proofErr w:type="spellStart"/>
      <w:r w:rsidRPr="00935C6E">
        <w:t>Eurobarometra</w:t>
      </w:r>
      <w:proofErr w:type="spellEnd"/>
      <w:r w:rsidRPr="00935C6E">
        <w:t xml:space="preserve"> účasť mladých ľudí na voľbách do Európskeho parlamentu (do 25 rokov) v porovnaní s voľbami v roku 2019 klesla o 6 %, pričom sa znížila zo 42 % v roku 2019 na 36 % v roku 2024; keďže účasť mladých ľudí by mala zostať ústredným bodom politického úsilia v nadchádzajúcich rokoch;</w:t>
      </w:r>
    </w:p>
    <w:p w14:paraId="468B81FA" w14:textId="77777777" w:rsidR="00850A80" w:rsidRPr="00935C6E" w:rsidRDefault="00850A80" w:rsidP="00563AA6">
      <w:pPr>
        <w:spacing w:after="240"/>
        <w:ind w:left="567" w:hanging="567"/>
      </w:pPr>
      <w:r w:rsidRPr="00935C6E">
        <w:t>F.</w:t>
      </w:r>
      <w:r w:rsidRPr="00935C6E">
        <w:tab/>
        <w:t>keďže nie sú k dispozícii dostatočné jednotné a podrobné údaje o účasti zraniteľných skupín alebo o používaní alternatívnych metód hlasovania; keďže vnútroštátne rámce pre zber údajov týkajúcich sa volieb do Európskeho parlamentu by sa mali ďalej harmonizovať, aby sa podporili politické riešenia založené na dôkazoch na úrovni EÚ;</w:t>
      </w:r>
    </w:p>
    <w:p w14:paraId="12E4D729" w14:textId="77777777" w:rsidR="00850A80" w:rsidRPr="00935C6E" w:rsidRDefault="00850A80" w:rsidP="00563AA6">
      <w:pPr>
        <w:spacing w:after="240"/>
        <w:ind w:left="567" w:hanging="567"/>
      </w:pPr>
      <w:r w:rsidRPr="00935C6E">
        <w:t>G.</w:t>
      </w:r>
      <w:r w:rsidRPr="00935C6E">
        <w:tab/>
        <w:t>keďže vo voľbách kandidovalo približne 18 400 kandidátov na 490 kandidátnych listinách, pričom kampane v jednotlivých členských štátoch prebiehali v rámci rôznych volebných usporiadaní, ktoré sa vo veľkej miere riadia vnútroštátnymi ustanoveniami; keďže obdobia na registráciu kandidátov a trvania kampane sa pohybovali od niekoľkých mesiacov až po niekoľko týždňov; keďže v deviatich členských štátoch nemohli kandidovať nezávislí individuálni kandidáti;</w:t>
      </w:r>
    </w:p>
    <w:p w14:paraId="6D6E6090" w14:textId="77777777" w:rsidR="00850A80" w:rsidRPr="00935C6E" w:rsidRDefault="00850A80" w:rsidP="00563AA6">
      <w:pPr>
        <w:pStyle w:val="NormalHanging12a"/>
      </w:pPr>
      <w:r w:rsidRPr="00935C6E">
        <w:t>H.</w:t>
      </w:r>
      <w:r w:rsidRPr="00935C6E">
        <w:tab/>
        <w:t>keďže pretrvávajú výrazné rozdiely v regulačných prístupoch a obmedzeniach jednotlivých členských štátov, pokiaľ ide o právo voliť a byť volený; keďže dôležité reformy zamerané na zosúladenie volebných pravidiel a postupov v celej Únii sa ešte musia dokončiť;</w:t>
      </w:r>
    </w:p>
    <w:p w14:paraId="3E7B5F3C" w14:textId="340D1CC3" w:rsidR="00850A80" w:rsidRPr="00935C6E" w:rsidRDefault="00850A80" w:rsidP="00563AA6">
      <w:pPr>
        <w:pStyle w:val="NormalHanging12a"/>
      </w:pPr>
      <w:r w:rsidRPr="00935C6E">
        <w:t>I.</w:t>
      </w:r>
      <w:r w:rsidRPr="00935C6E">
        <w:tab/>
        <w:t xml:space="preserve">keďže z najnovšieho prieskumu </w:t>
      </w:r>
      <w:proofErr w:type="spellStart"/>
      <w:r w:rsidRPr="00935C6E">
        <w:t>Eurobarometra</w:t>
      </w:r>
      <w:proofErr w:type="spellEnd"/>
      <w:r w:rsidRPr="00935C6E">
        <w:t xml:space="preserve"> vyplýva, že ľudia boli motivovaní k účasti na európskych voľbách v roku 2024 z dôvodov týkajúcich sa spoločných európskych otázok, ako sú životné náklady, hospodárstvo, migrácia, právny štát a zmena klímy; keďže vo vnútroštátnych diskusiách sa k týmto otázkam často pristupuje výlučne z hľadiska vnútroštátnych politík; keďže politické strany a kandidáti zodpovedajú za primerané informovanie občanov o politickej reakcii a riadení správy vecí verejných na úrovni EÚ vrátane informovania občanov o európskych politických stranách a politických skupinách, ku ktorým sú v</w:t>
      </w:r>
      <w:r w:rsidR="00563AA6" w:rsidRPr="00935C6E">
        <w:t> Európskom p</w:t>
      </w:r>
      <w:r w:rsidRPr="00935C6E">
        <w:t>arlamente pridružení;</w:t>
      </w:r>
    </w:p>
    <w:p w14:paraId="1E01626E" w14:textId="77777777" w:rsidR="00850A80" w:rsidRPr="00935C6E" w:rsidRDefault="00850A80" w:rsidP="00563AA6">
      <w:pPr>
        <w:pStyle w:val="NormalHanging12a"/>
      </w:pPr>
      <w:r w:rsidRPr="00935C6E">
        <w:t>J.</w:t>
      </w:r>
      <w:r w:rsidRPr="00935C6E">
        <w:tab/>
        <w:t>keďže kvôli neexistencii centralizovaného európskeho registra voličov je výmena údajov medzi členskými štátmi o prípadných viacnásobných vstupoch naďalej výzvou, a to v neposlednom rade preto, že nie sú k dispozícii údaje o dvojitom občianstve;</w:t>
      </w:r>
    </w:p>
    <w:p w14:paraId="3629E370" w14:textId="77777777" w:rsidR="00850A80" w:rsidRPr="00935C6E" w:rsidRDefault="00850A80" w:rsidP="00563AA6">
      <w:pPr>
        <w:pStyle w:val="NormalHanging12a"/>
      </w:pPr>
      <w:r w:rsidRPr="00935C6E">
        <w:t>K.</w:t>
      </w:r>
      <w:r w:rsidRPr="00935C6E">
        <w:tab/>
        <w:t>keďže osobitné opatrenia podporujú volebnú účasť a zastúpenie nedostatočne zastúpených a zraniteľných skupín; keďže 11 členských štátov prijalo právne predpisy o kvótach pre ženy;</w:t>
      </w:r>
    </w:p>
    <w:p w14:paraId="0007127D" w14:textId="76154665" w:rsidR="00850A80" w:rsidRPr="00935C6E" w:rsidRDefault="00850A80" w:rsidP="00563AA6">
      <w:pPr>
        <w:spacing w:after="240"/>
        <w:ind w:left="567" w:hanging="567"/>
      </w:pPr>
      <w:r w:rsidRPr="00935C6E">
        <w:t>L.</w:t>
      </w:r>
      <w:r w:rsidRPr="00935C6E">
        <w:tab/>
        <w:t xml:space="preserve">keďže približne 11 miliónov občanov EÚ žijúcich v inom členskom štáte bolo oprávnených voliť v krajine svojho pobytu; keďže títo občania stále čelia administratívnym prekážkam, pokiaľ ide o ich účasť v krajine svojho pobytu; keďže Rada ignorovala pozíciu </w:t>
      </w:r>
      <w:r w:rsidR="00563AA6" w:rsidRPr="00935C6E">
        <w:t>Európskeho p</w:t>
      </w:r>
      <w:r w:rsidRPr="00935C6E">
        <w:t>arlamentu zo 14. februára 2023, ktorej cieľom bolo riešiť tieto prekážky;</w:t>
      </w:r>
    </w:p>
    <w:p w14:paraId="4A1E6126" w14:textId="77777777" w:rsidR="00850A80" w:rsidRPr="00935C6E" w:rsidRDefault="00850A80" w:rsidP="00563AA6">
      <w:pPr>
        <w:pStyle w:val="NormalHanging12a"/>
      </w:pPr>
      <w:r w:rsidRPr="00935C6E">
        <w:t>M.</w:t>
      </w:r>
      <w:r w:rsidRPr="00935C6E">
        <w:tab/>
        <w:t xml:space="preserve">keďže zdravá demokracia je postavená na prístupe voličov k širokej škále myšlienok, perspektív a informácií; keďže sloboda slova zabezpečuje, že kandidáti, strany, médiá a </w:t>
      </w:r>
      <w:r w:rsidRPr="00935C6E">
        <w:lastRenderedPageBreak/>
        <w:t>občania môžu slobodne vyjadrovať názory, diskutovať o politikách a zdieľať fakty, čo pomáha voličom prijímať informované rozhodnutia;</w:t>
      </w:r>
    </w:p>
    <w:p w14:paraId="0A81CDD1" w14:textId="77777777" w:rsidR="00850A80" w:rsidRPr="00935C6E" w:rsidRDefault="00850A80" w:rsidP="00563AA6">
      <w:pPr>
        <w:spacing w:after="240"/>
        <w:ind w:left="567" w:hanging="567"/>
      </w:pPr>
      <w:r w:rsidRPr="00935C6E">
        <w:t>N.</w:t>
      </w:r>
      <w:r w:rsidRPr="00935C6E">
        <w:tab/>
        <w:t>keďže dezinformácie majú na zdravú politickú diskusiu negatívny vplyv;</w:t>
      </w:r>
      <w:r w:rsidRPr="00935C6E">
        <w:rPr>
          <w:color w:val="00B050"/>
        </w:rPr>
        <w:t xml:space="preserve"> </w:t>
      </w:r>
      <w:r w:rsidRPr="00935C6E">
        <w:t xml:space="preserve">keďže šírenie dezinformácií, a to aj prostredníctvom sociálnych médií, naďalej predstavuje rastúcu systémovú hrozbu pre európske volebné a demokratické procesy; keďže Komisia začala postupy v prípade nesplnenia povinnosti a začala vyšetrovania proti určitým veľkým online platformám, a to aj kvôli klamlivej politickej reklame a nedostatočnému monitorovaniu a moderovaniu obsahu v dôsledku nevymenovania národných koordinátorov digitálnych služieb alebo nesplnomocnenia príslušných orgánov na vykonávanie úloh požadovaných v akte o digitálnych službách; keďže najmä platforma sociálnych médií X (predtým Twitter) a jej vlastník </w:t>
      </w:r>
      <w:proofErr w:type="spellStart"/>
      <w:r w:rsidRPr="00935C6E">
        <w:t>Elon</w:t>
      </w:r>
      <w:proofErr w:type="spellEnd"/>
      <w:r w:rsidRPr="00935C6E">
        <w:t xml:space="preserve"> </w:t>
      </w:r>
      <w:proofErr w:type="spellStart"/>
      <w:r w:rsidRPr="00935C6E">
        <w:t>Musk</w:t>
      </w:r>
      <w:proofErr w:type="spellEnd"/>
      <w:r w:rsidRPr="00935C6E">
        <w:t xml:space="preserve"> naďalej otvorene znevažujú regulačné orgány EÚ prostredníctvom firemnej politiky a komunikácie; </w:t>
      </w:r>
    </w:p>
    <w:p w14:paraId="30C18AB1" w14:textId="77777777" w:rsidR="00850A80" w:rsidRPr="00935C6E" w:rsidRDefault="00850A80" w:rsidP="00563AA6">
      <w:pPr>
        <w:pStyle w:val="NormalHanging12a"/>
      </w:pPr>
      <w:r w:rsidRPr="00935C6E">
        <w:t>O.</w:t>
      </w:r>
      <w:r w:rsidRPr="00935C6E">
        <w:tab/>
        <w:t>keďže väčšina ustanovení nového nariadenia (EÚ) 2024/900 o transparentnosti a cielení politickej reklamy ešte nenadobudla účinnosť v čase konania volieb do Európskeho parlamentu; keďže sa očakáva, že toto nariadenie doplní akt o digitálnych službách a posilní odolnosť EÚ voči zasahovaniu do volieb;</w:t>
      </w:r>
    </w:p>
    <w:p w14:paraId="0BF271E2" w14:textId="43EFD44E" w:rsidR="00850A80" w:rsidRPr="00935C6E" w:rsidRDefault="00850A80" w:rsidP="00563AA6">
      <w:pPr>
        <w:spacing w:after="240"/>
        <w:ind w:left="567" w:hanging="567"/>
        <w:rPr>
          <w:sz w:val="22"/>
        </w:rPr>
      </w:pPr>
      <w:r w:rsidRPr="00935C6E">
        <w:t>P.</w:t>
      </w:r>
      <w:r w:rsidRPr="00935C6E">
        <w:tab/>
        <w:t>keďže zlepšenie zastúpenia osôb so zdravotným postihnutím v</w:t>
      </w:r>
      <w:r w:rsidR="00563AA6" w:rsidRPr="00935C6E">
        <w:t> Európskom p</w:t>
      </w:r>
      <w:r w:rsidRPr="00935C6E">
        <w:t>arlamente má zásadný význam pre podporu skutočne inkluzívneho a rozmanitého legislatívneho orgánu;</w:t>
      </w:r>
    </w:p>
    <w:p w14:paraId="147D8CDE" w14:textId="35C3FFA8" w:rsidR="00850A80" w:rsidRPr="00935C6E" w:rsidRDefault="00850A80" w:rsidP="00563AA6">
      <w:pPr>
        <w:spacing w:after="240"/>
        <w:ind w:left="567" w:hanging="567"/>
      </w:pPr>
      <w:r w:rsidRPr="00935C6E">
        <w:t>Q.</w:t>
      </w:r>
      <w:r w:rsidRPr="00935C6E">
        <w:tab/>
        <w:t>keďže mladí Európania tvoria 25 % celkového obyvateľstva EÚ, zatiaľ čo len 10 % kresiel v</w:t>
      </w:r>
      <w:r w:rsidR="00563AA6" w:rsidRPr="00935C6E">
        <w:t> Európskom p</w:t>
      </w:r>
      <w:r w:rsidRPr="00935C6E">
        <w:t>arlamente je obsadených volenými poslancami mladšími ako 30 rokov;</w:t>
      </w:r>
    </w:p>
    <w:p w14:paraId="0BD67B05" w14:textId="48BAD9AA" w:rsidR="00850A80" w:rsidRPr="00935C6E" w:rsidRDefault="00850A80" w:rsidP="00563AA6">
      <w:pPr>
        <w:spacing w:after="240"/>
        <w:ind w:left="567" w:hanging="567"/>
      </w:pPr>
      <w:r w:rsidRPr="00935C6E">
        <w:t>R.</w:t>
      </w:r>
      <w:r w:rsidRPr="00935C6E">
        <w:tab/>
        <w:t>keďže voľby v roku 2024 poukazujú na celkový pokles zastúpenia žien v</w:t>
      </w:r>
      <w:r w:rsidR="00563AA6" w:rsidRPr="00935C6E">
        <w:t> Európskom p</w:t>
      </w:r>
      <w:r w:rsidRPr="00935C6E">
        <w:t>arlamente, pričom v súčasnosti je ženami obsadených približne 38,6 % kresiel, čo je menej ako 40 % v roku 2019;</w:t>
      </w:r>
    </w:p>
    <w:p w14:paraId="585C1C3E" w14:textId="6C5AC3A8" w:rsidR="00850A80" w:rsidRPr="00935C6E" w:rsidRDefault="00850A80" w:rsidP="00563AA6">
      <w:pPr>
        <w:pStyle w:val="NormalHanging12a"/>
      </w:pPr>
      <w:r w:rsidRPr="00935C6E">
        <w:t>S.</w:t>
      </w:r>
      <w:r w:rsidRPr="00935C6E">
        <w:tab/>
        <w:t xml:space="preserve">keďže nedávne geopolitické otrasy vrátane pandémie </w:t>
      </w:r>
      <w:r w:rsidR="00DB69EA" w:rsidRPr="00935C6E">
        <w:t xml:space="preserve">ochorenia </w:t>
      </w:r>
      <w:r w:rsidRPr="00935C6E">
        <w:t xml:space="preserve">COVID-19, nevyprovokovanej a neodôvodnenej rozsiahlej útočnej vojny Ruska proti Ukrajine a znepokojujúceho posunu v transatlantických vzťahoch boli katalyzátorom dezinformačných </w:t>
      </w:r>
      <w:proofErr w:type="spellStart"/>
      <w:r w:rsidRPr="00935C6E">
        <w:t>naratívov</w:t>
      </w:r>
      <w:proofErr w:type="spellEnd"/>
      <w:r w:rsidRPr="00935C6E">
        <w:t>;</w:t>
      </w:r>
    </w:p>
    <w:p w14:paraId="60B4620B" w14:textId="433D352F" w:rsidR="00850A80" w:rsidRPr="00935C6E" w:rsidRDefault="00850A80" w:rsidP="00563AA6">
      <w:pPr>
        <w:pStyle w:val="NormalHanging12a"/>
      </w:pPr>
      <w:r w:rsidRPr="00935C6E">
        <w:t>T.</w:t>
      </w:r>
      <w:r w:rsidRPr="00935C6E">
        <w:tab/>
        <w:t xml:space="preserve">keďže nadchádzajúce rozšírenie si bude vyžadovať hĺbkovú reformu inštitucionálneho usporiadania Únie, ktorá by prípadne zahŕňala jej volebný rámec; keďže Únia s viac ako 30 členskými štátmi môže byť relevantným a nezávislým globálnym aktérom a môže riadne fungovať len vtedy, ak sa jej rozhodovanie stane menej byrokratickým a efektívnejším a bude založené na skutočne európskej, nadnárodnej a zdieľanej demokratickej sfére; </w:t>
      </w:r>
    </w:p>
    <w:p w14:paraId="032232F1" w14:textId="77777777" w:rsidR="00850A80" w:rsidRPr="00935C6E" w:rsidRDefault="00850A80" w:rsidP="00563AA6">
      <w:pPr>
        <w:pStyle w:val="NormalHanging12a"/>
      </w:pPr>
      <w:r w:rsidRPr="00935C6E">
        <w:rPr>
          <w:rStyle w:val="BoldItalic"/>
          <w:color w:val="000000"/>
        </w:rPr>
        <w:t>Európska demokracia po voľbách do Európskeho parlamentu v roku 2024</w:t>
      </w:r>
    </w:p>
    <w:p w14:paraId="3B7C6546" w14:textId="77777777" w:rsidR="00850A80" w:rsidRPr="00935C6E" w:rsidRDefault="00850A80" w:rsidP="00563AA6">
      <w:pPr>
        <w:pStyle w:val="NormalHanging12a"/>
      </w:pPr>
      <w:r w:rsidRPr="00935C6E">
        <w:t>1.</w:t>
      </w:r>
      <w:r w:rsidRPr="00935C6E">
        <w:tab/>
        <w:t xml:space="preserve">pripomína, že vhodnosť a schopnosť EÚ riešiť výzvy 21. storočia v mene jej občanov vo veľkej miere závisí od jej schopnosti zachovať a podporovať zdravé demokratické diskusie pri súčasnom zabezpečení odolnosti a integrity jej volieb a demokratických procesov; zdôrazňuje, že tieto prvky nemožno považovať za samozrejmosť a musia sa posilniť a chrániť súdržným politickým rámcom; je presvedčený, že táto práca ešte nie je ani zďaleka dokončená a že treba zintenzívniť politické úsilie, aby sa zvýšila účasť na </w:t>
      </w:r>
      <w:r w:rsidRPr="00935C6E">
        <w:lastRenderedPageBreak/>
        <w:t xml:space="preserve">voľbách a Únia sa stala menej byrokratickou a aby jej rozhodovanie bolo demokratickejšie a účinnejšie; </w:t>
      </w:r>
    </w:p>
    <w:p w14:paraId="2E45F7B6" w14:textId="1E2E3188" w:rsidR="00850A80" w:rsidRPr="00935C6E" w:rsidRDefault="00850A80" w:rsidP="00563AA6">
      <w:pPr>
        <w:pStyle w:val="NormalHanging12a"/>
      </w:pPr>
      <w:r w:rsidRPr="00935C6E">
        <w:t>2.</w:t>
      </w:r>
      <w:r w:rsidRPr="00935C6E">
        <w:tab/>
        <w:t xml:space="preserve">víta relatívne vysokú účasť na 10. európskych voľbách, ktorá v porovnaní s voľbami v roku 2019 mierne narástla, a to na celkovú mieru účasti na úrovni 50,74 %; je presvedčený, že tieto údaje odrážajú väčšie zapojenie verejnosti do európskeho projektu a rastúci význam </w:t>
      </w:r>
      <w:r w:rsidR="00563AA6" w:rsidRPr="00935C6E">
        <w:t>Európskeho p</w:t>
      </w:r>
      <w:r w:rsidRPr="00935C6E">
        <w:t>arlamentu a jeho vplyv na každodenný život občanov; je však znepokojený veľmi rozdielnymi mierami účasti medzi jednotlivými členskými štátmi a je naďalej odhodlaný zintenzívňovať politické úsilie o odstránenie rozdielov a zvýšenie účasti v rámci všetkých skupín v celej EÚ;</w:t>
      </w:r>
    </w:p>
    <w:p w14:paraId="4D3CCD52" w14:textId="3146F775" w:rsidR="00850A80" w:rsidRPr="00935C6E" w:rsidRDefault="00850A80" w:rsidP="00563AA6">
      <w:pPr>
        <w:pStyle w:val="NormalHanging12a"/>
      </w:pPr>
      <w:r w:rsidRPr="00935C6E">
        <w:t>3.</w:t>
      </w:r>
      <w:r w:rsidRPr="00935C6E">
        <w:tab/>
        <w:t>oceňuje úsilie európskych inštitúcií a Európskej vysielacej únie o zvýšenie viditeľnosti kandidátov vo voľbách do Európskeho parlamentu na celom kontinente, a to aj prostredníctvom série významných celoeurópskych diskusií, na ktorých sa stretli hlavní kandidáti z rôznych politických rodín, ako aj prostredníctvom diskusií zameraných na podporu volebnej účasti, ktoré zvýšili informovanosť medzi mladými Európanmi; víta pozitívny vplyv svojej vlastnej inštitucionálnej komunikačnej stratégie, ktorej cieľom bolo zvýšiť informovanosť o voľbách zdôraznením ich významu prostredníctvom sloganu „Využi svoj hlas. Nenechaj za seba rozhodnúť iných“; domnieva sa, že spolupráca medzi inštitúciami a s volebnými orgánmi členských štátov s cieľom zvýšiť volebnú účasť sa zlepšila, a zaväzuje sa posilniť koordinačné úsilie v tejto oblasti; požaduje ďalšie značné investície na rozšírenie dosahu týchto kampaní a vysielaní na voľby v roku 2029; zdôrazňuje dôležitú a pozitívnu úlohu styčných kancelárií Európskeho parlamentu vo voľbách do Európskeho parlamentu;</w:t>
      </w:r>
    </w:p>
    <w:p w14:paraId="309D9237" w14:textId="3A4630A7" w:rsidR="00850A80" w:rsidRPr="00935C6E" w:rsidRDefault="00850A80" w:rsidP="00563AA6">
      <w:pPr>
        <w:pStyle w:val="NormalHanging12a"/>
      </w:pPr>
      <w:r w:rsidRPr="00935C6E">
        <w:t>4.</w:t>
      </w:r>
      <w:r w:rsidRPr="00935C6E">
        <w:tab/>
        <w:t>zdôrazňuje, že vytvorenie európskeho „</w:t>
      </w:r>
      <w:proofErr w:type="spellStart"/>
      <w:r w:rsidRPr="00935C6E">
        <w:t>démos</w:t>
      </w:r>
      <w:proofErr w:type="spellEnd"/>
      <w:r w:rsidRPr="00935C6E">
        <w:t xml:space="preserve">“ (ľud – z </w:t>
      </w:r>
      <w:proofErr w:type="spellStart"/>
      <w:r w:rsidRPr="00935C6E">
        <w:t>gr</w:t>
      </w:r>
      <w:proofErr w:type="spellEnd"/>
      <w:r w:rsidRPr="00935C6E">
        <w:t>.) a spoločného demokratického priestoru si v prvom rade vyžaduje kultúrny posun na základe dlhodobej stratégie a primerané zdroje na posilnenie európskeho povedomia a občianstva v úzkej spolupráci s občianskou spoločnosťou a zainteresovanými stranami v spoločnosti; vyjadruje poľutovanie nad tým, že ku kampaniam uskutočňovaným v členských štátoch pred voľbami do Európskeho parlamentu sa príliš často pristupuje z čisto vnútroštátneho politického hľadiska, aj keď sa tieto kampane venujú spoločným európskym témam; vyzýva vnútroštátne politické strany a kandidátov vo voľbách do Európskeho parlamentu, ako aj vnútroštátne médiá, aby primerane a pravdivo informovali občanov o správe vecí verejných na úrovni EÚ, a to aj o európskych politických stranách a politických skupinách v</w:t>
      </w:r>
      <w:r w:rsidR="00563AA6" w:rsidRPr="00935C6E">
        <w:t> Európskom p</w:t>
      </w:r>
      <w:r w:rsidRPr="00935C6E">
        <w:t>arlamente, ku ktorým sú vnútroštátne strany pridružené; nabáda vnútroštátne strany, aby v tejto súvislosti zintenzívnili spoluprácu so svojimi európskymi partnermi a zlepšili svoju európsku viditeľnosť; zaväzuje sa vytvoriť na tento účel priaznivé regulačné prostredie;</w:t>
      </w:r>
    </w:p>
    <w:p w14:paraId="27FF1023" w14:textId="77777777" w:rsidR="00850A80" w:rsidRPr="00935C6E" w:rsidRDefault="00850A80" w:rsidP="00563AA6">
      <w:pPr>
        <w:spacing w:after="240"/>
        <w:ind w:left="567" w:hanging="567"/>
        <w:rPr>
          <w:sz w:val="22"/>
        </w:rPr>
      </w:pPr>
      <w:r w:rsidRPr="00935C6E">
        <w:t>5.</w:t>
      </w:r>
      <w:r w:rsidRPr="00935C6E">
        <w:tab/>
        <w:t xml:space="preserve">zdôrazňuje, že treba vynaložiť viac úsilia na zvýšenie účasti nedostatočne zastúpených skupín v európskych voľbách; je znepokojený poklesom účasti mladých ľudí a zaväzuje sa zintenzívniť politické úsilie o zvýšenie dosahu volebnej kampane na túto kľúčovú demografickú skupinu; konštatuje, že zapojenie mladých ľudí, pokiaľ ide o budúcnosť EÚ, má zásadný význam; nabáda členské štáty, aby prijali osobitné politické rámce, ktoré budú riešiť možnosti ako voliť a byť volený, a to osobitnými informačnými kampaňami, ako aj alternatívnymi spôsobmi hlasovania, ako je voľba poštou a hlasovanie v zastúpení; uznáva, že je potrebné pokračovať v napredovaní smerom k </w:t>
      </w:r>
      <w:proofErr w:type="spellStart"/>
      <w:r w:rsidRPr="00935C6E">
        <w:t>inkluzívnejšiemu</w:t>
      </w:r>
      <w:proofErr w:type="spellEnd"/>
      <w:r w:rsidRPr="00935C6E">
        <w:t xml:space="preserve"> volebnému procesu s cieľom zabezpečiť, aby mal každý občan rovnakú príležitosť zúčastniť sa na demokratickom procese;</w:t>
      </w:r>
      <w:r w:rsidRPr="00935C6E">
        <w:rPr>
          <w:color w:val="00B050"/>
        </w:rPr>
        <w:t xml:space="preserve"> </w:t>
      </w:r>
      <w:r w:rsidRPr="00935C6E">
        <w:t xml:space="preserve">konštatuje, že len niekoľko poslancov Európskeho parlamentu patrí k národnostným a etnickým menšinám, ktoré sú </w:t>
      </w:r>
      <w:r w:rsidRPr="00935C6E">
        <w:lastRenderedPageBreak/>
        <w:t>v členských štátoch oficiálne uznané za menšiny v súlade s ich ústavnými alebo právnymi rámcami a príslušnými nástrojmi Rady Európy; zdôrazňuje, že boj proti rasizmu, diskriminácii a vylúčeniu je povinnosťou, ktorá vyplýva zo základných hodnôt EÚ a Charty základných práv EÚ; vyzýva členské štáty a vnútroštátne politické strany, aby prijali proaktívne a primerané opatrenia na podporu účinného začlenenia a zastúpenia takýchto menšín vrátane rómskych komunít v európskych voľbách pri plnom rešpektovaní vnútroštátnych ústavných poriadkov;</w:t>
      </w:r>
    </w:p>
    <w:p w14:paraId="45E2868F" w14:textId="77777777" w:rsidR="00850A80" w:rsidRPr="00935C6E" w:rsidRDefault="00850A80" w:rsidP="00563AA6">
      <w:pPr>
        <w:spacing w:after="240"/>
        <w:ind w:left="567" w:hanging="567"/>
        <w:rPr>
          <w:bCs/>
          <w:iCs/>
        </w:rPr>
      </w:pPr>
      <w:r w:rsidRPr="00935C6E">
        <w:t>6.</w:t>
      </w:r>
      <w:r w:rsidRPr="00935C6E">
        <w:tab/>
        <w:t>zdôrazňuje, že európske voľby v Maďarsku nemuseli byť spravodlivé; v tejto súvislosti upozorňuje, že v záverečnej správe volebnej pozorovateľskej misie Úradu OBSE pre demokratické inštitúcie a ľudské práva (ODIHR)</w:t>
      </w:r>
      <w:r w:rsidRPr="00935C6E">
        <w:rPr>
          <w:rStyle w:val="FootnoteReference"/>
          <w:bCs/>
          <w:iCs/>
        </w:rPr>
        <w:footnoteReference w:id="14"/>
      </w:r>
      <w:r w:rsidRPr="00935C6E">
        <w:t xml:space="preserve"> o parlamentných voľbách a referende v Maďarsku z 3. apríla 2022 sa konštatuje „absencia rovnakých podmienok“; zdôrazňuje, že maďarská vláda nesie zodpovednosť za obnovenie súladu s právom EÚ a hodnotami zakotvenými v článku 2 Zmluvy o EÚ, a vyjadruje hlboké poľutovanie nad tým, že nedostatok rozhodných opatrení EÚ prispel k narušeniu demokracie, právneho štátu a základných práv v Maďarsku, v dôsledku čoho sa krajina podľa príslušných indexov zmenila na hybridný režim volebnej autokracie; vyjadruje znepokojenie nad viacerými žiadosťami maďarského ústredného vyšetrovacieho prokurátora o zrušenie imunity poslancov EP;</w:t>
      </w:r>
    </w:p>
    <w:p w14:paraId="2536BDEF" w14:textId="7AE4CEEE" w:rsidR="00850A80" w:rsidRPr="00935C6E" w:rsidRDefault="00850A80" w:rsidP="00563AA6">
      <w:pPr>
        <w:spacing w:after="240"/>
        <w:ind w:left="567" w:hanging="567"/>
      </w:pPr>
      <w:r w:rsidRPr="00935C6E">
        <w:t>7.</w:t>
      </w:r>
      <w:r w:rsidRPr="00935C6E">
        <w:tab/>
        <w:t xml:space="preserve">opakuje svoj dlhodobo zastávaný názor, že na to, aby sa európske voľby stali demokratickejšími, odolnejšími, </w:t>
      </w:r>
      <w:proofErr w:type="spellStart"/>
      <w:r w:rsidRPr="00935C6E">
        <w:t>inkluzívnejšími</w:t>
      </w:r>
      <w:proofErr w:type="spellEnd"/>
      <w:r w:rsidRPr="00935C6E">
        <w:t xml:space="preserve"> a skutočne európskymi, sú potrebné ďalšie reformy a úpravy volebného rámca EÚ; poukazuje na niekoľko prebiehajúcich politických iniciatív v tejto súvislosti a opakuje svoju výzvu Rade EÚ a Európskej rade, aby konštruktívne spolupracovali s</w:t>
      </w:r>
      <w:r w:rsidR="00563AA6" w:rsidRPr="00935C6E">
        <w:t> Európskym p</w:t>
      </w:r>
      <w:r w:rsidRPr="00935C6E">
        <w:t>arlamentom s cieľom nájsť politické riešenia, ktoré budú v záujme európskych občanov;</w:t>
      </w:r>
    </w:p>
    <w:p w14:paraId="557D2181" w14:textId="77777777" w:rsidR="00850A80" w:rsidRPr="00935C6E" w:rsidRDefault="00850A80" w:rsidP="00563AA6">
      <w:pPr>
        <w:pStyle w:val="NormalHanging12a"/>
      </w:pPr>
      <w:r w:rsidRPr="00935C6E">
        <w:rPr>
          <w:rStyle w:val="BoldItalic"/>
          <w:color w:val="000000"/>
        </w:rPr>
        <w:t>Ústavná reforma a reforma volebného systému</w:t>
      </w:r>
    </w:p>
    <w:p w14:paraId="3C7B2F26" w14:textId="4D45341D" w:rsidR="00850A80" w:rsidRPr="00935C6E" w:rsidRDefault="00850A80" w:rsidP="00563AA6">
      <w:pPr>
        <w:spacing w:after="240"/>
        <w:ind w:left="567" w:hanging="567"/>
      </w:pPr>
      <w:r w:rsidRPr="00935C6E">
        <w:t>8.</w:t>
      </w:r>
      <w:r w:rsidRPr="00935C6E">
        <w:tab/>
        <w:t xml:space="preserve">je presvedčený, že regulačný rámec pre voľby do Európskeho parlamentu sa musí zrevidovať a zmodernizovať s cieľom zvýšiť volebnú stopu občanov a znížiť regulačnú fragmentáciu medzi 27 členskými štátmi, a to aj prostredníctvom jediného spoločného volebného dňa a jednotného minimálneho veku oprávňujúceho na účasť vo voľbách; pripomína, že rozhodnutie Rady (EÚ, </w:t>
      </w:r>
      <w:proofErr w:type="spellStart"/>
      <w:r w:rsidRPr="00935C6E">
        <w:t>Euratom</w:t>
      </w:r>
      <w:proofErr w:type="spellEnd"/>
      <w:r w:rsidRPr="00935C6E">
        <w:t>) 2018/994 by podľa očakávaní malo priniesť významné pozitívne kroky v tomto smere, rovnako ako niekoľko návrhov v rámci prerokúvaného návrhu nového volebného zákona z 3. mája 2022; opakuje svoju výzvu Rade, aby konštruktívne spolupracovala s</w:t>
      </w:r>
      <w:r w:rsidR="00563AA6" w:rsidRPr="00935C6E">
        <w:t> Európskym p</w:t>
      </w:r>
      <w:r w:rsidRPr="00935C6E">
        <w:t>arlamentom s cieľom umožniť rýchle schválenie; pripomína, že 26 z 27 členských štátov už ratifikovalo revíziu z roku 2018 a zaväzuje sa kriticky vyhodnotiť, prečo sa jej vykonávanie v rôznych členských štátoch oneskorilo;</w:t>
      </w:r>
    </w:p>
    <w:p w14:paraId="5CCCA41D" w14:textId="3518E5E7" w:rsidR="00850A80" w:rsidRPr="00935C6E" w:rsidRDefault="00850A80" w:rsidP="00563AA6">
      <w:pPr>
        <w:spacing w:after="240"/>
        <w:ind w:left="567" w:hanging="567"/>
      </w:pPr>
      <w:r w:rsidRPr="00935C6E">
        <w:t>9.</w:t>
      </w:r>
      <w:r w:rsidRPr="00935C6E">
        <w:tab/>
        <w:t xml:space="preserve">vyjadruje poľutovanie nad tým, že nové navrhované pravidlá týkajúce sa práva voliť a byť volený vo voľbách do </w:t>
      </w:r>
      <w:r w:rsidR="00563AA6" w:rsidRPr="00935C6E">
        <w:t>Európskeho p</w:t>
      </w:r>
      <w:r w:rsidRPr="00935C6E">
        <w:t xml:space="preserve">arlamentu pre migrujúcich občanov neboli prijaté Radou pred voľbami v roku 2024 dostatočne včasne; poukazuje na to, že úplné uplatňovanie volebných práv migrujúcich občanov vo voľbách do </w:t>
      </w:r>
      <w:r w:rsidR="00563AA6" w:rsidRPr="00935C6E">
        <w:t>Európskeho p</w:t>
      </w:r>
      <w:r w:rsidRPr="00935C6E">
        <w:t xml:space="preserve">arlamentu, ktoré im prislúchajú podľa zmlúv, stále sťažujú neodôvodnené prekážky brániace demokratickej účasti, ako je nedostatočná informovanosť o platných podmienkach a pravidlách; uznáva, že predložený návrh smernice Rady by riešil niektoré z týchto prekážok; vyjadruje však poľutovanie nad tým, že hoci Rada formálne </w:t>
      </w:r>
      <w:r w:rsidRPr="00935C6E">
        <w:lastRenderedPageBreak/>
        <w:t xml:space="preserve">dodržala článok 22 ods. 2 ZFEÚ, nijak zmysluplne sa nezaoberala podstatou stanoviska </w:t>
      </w:r>
      <w:r w:rsidR="00563AA6" w:rsidRPr="00935C6E">
        <w:t>Európskeho p</w:t>
      </w:r>
      <w:r w:rsidRPr="00935C6E">
        <w:t>arlamentu; opakuje najmä svoje návrhy, aby bolo možné zapísať voliča do zoznamu voličov hneď, ako si zaregistruje svoje miesto pobytu, aby sa sprísnili jazykové a informačné požiadavky pre miestne orgány, aby sa uľahčilo uplatňovanie volebného práva nedostatočne zastúpenými skupinami voličov a aby sa posilnili kampane členských štátov na zvyšovanie informovanosti s aktívnym zapojením občianskej spoločnosti; vyzýva členské štáty, aby zabezpečili, že ich občania žijúci v zahraničí sa budú môcť zúčastniť na voľbách do Európskeho parlamentu, a to aj posilnením konzulárnych služieb a umožnením hlasovania poštou; zdôrazňuje, že je dôležité, aby všetky členské štáty zabezpečili neobmedzený prístup do volebných miestností pre starších ľudí a osoby so zdravotným postihnutím;</w:t>
      </w:r>
    </w:p>
    <w:p w14:paraId="4BCC1F71" w14:textId="17389102" w:rsidR="00850A80" w:rsidRPr="00935C6E" w:rsidRDefault="00850A80" w:rsidP="00563AA6">
      <w:pPr>
        <w:spacing w:after="240"/>
        <w:ind w:left="567" w:hanging="567"/>
      </w:pPr>
      <w:r w:rsidRPr="00935C6E">
        <w:t>10.</w:t>
      </w:r>
      <w:r w:rsidRPr="00935C6E">
        <w:tab/>
        <w:t xml:space="preserve">rozhodne podporuje úsilie politických strán o ďalší rozvoj uplatňovania postupu navrhovania hlavných kandidátov (tzv. </w:t>
      </w:r>
      <w:proofErr w:type="spellStart"/>
      <w:r w:rsidRPr="00935C6E">
        <w:t>Spitzenkandidaten</w:t>
      </w:r>
      <w:proofErr w:type="spellEnd"/>
      <w:r w:rsidRPr="00935C6E">
        <w:t xml:space="preserve">) s cieľom vytvoriť súvis medzi voľbami, zložením </w:t>
      </w:r>
      <w:r w:rsidR="00563AA6" w:rsidRPr="00935C6E">
        <w:t>Európskeho p</w:t>
      </w:r>
      <w:r w:rsidRPr="00935C6E">
        <w:t>arlamentu a nominovaním predsedu Komisie, aby sa zvýšila transparentnosť vymenovania výkonnej moci EÚ pre občanov; zdôrazňuje, že tento postup umožnil občanom účinne ovplyvniť nomináciu predsedu Komisie, čo predstavuje významný krok vpred s priamou úlohou občanov; vyjadruje uznanie európskym politickým stranám za to, že nominovali svojich kandidátov v dostatočnom predstihu pred voľbami; konštatuje, že tento proces bol tentoraz pomerne úspešný, keďže predsedníčka Komisie, ktorú síce nebolo možné priamo voliť hlasovaním, bola hlavnou kandidátkou politickej strany, ktorá získala najviac hlasov; poukazuje na to, že voľba predsedu Komisie v európskych voľbách by zvýšila jeho povinnosť zodpovedať sa, ako aj jeho demokratickú legitimitu; je však naďalej presvedčený, že naďalej chýba niekoľko kľúčových faktorov úspechu, ako sú pokračujúci rozvoj a konsolidácia európskej demokratickej sféry, čo bráni plnému využitiu potenciálu tohto neformálneho a neregulovaného politického procesu;</w:t>
      </w:r>
    </w:p>
    <w:p w14:paraId="3A33A058" w14:textId="77777777" w:rsidR="00850A80" w:rsidRPr="00935C6E" w:rsidRDefault="00850A80" w:rsidP="00935C6E">
      <w:pPr>
        <w:spacing w:after="240"/>
        <w:ind w:left="567" w:hanging="567"/>
        <w:rPr>
          <w:sz w:val="22"/>
        </w:rPr>
      </w:pPr>
      <w:r w:rsidRPr="00935C6E">
        <w:t>11.</w:t>
      </w:r>
      <w:r w:rsidRPr="00935C6E">
        <w:tab/>
        <w:t xml:space="preserve">zdôrazňuje dôležitú úlohu európskych politických strán, pokiaľ ide o príspevok do diskusie o otázkach európskej verejnej politiky a formovanie európskeho politického povedomia; domnieva sa, že tieto strany môžu ponúknuť veľmi potrebnú protiváhu šíreniu dezinformácií a mylných informácií pred voľbami; víta dohodu dosiahnutú o prepracovanom znení nariadenia (EÚ, </w:t>
      </w:r>
      <w:proofErr w:type="spellStart"/>
      <w:r w:rsidRPr="00935C6E">
        <w:t>Euratom</w:t>
      </w:r>
      <w:proofErr w:type="spellEnd"/>
      <w:r w:rsidRPr="00935C6E">
        <w:t>) č. 1141/2014 o štatúte a financovaní európskych politických strán a európskych politických nadácií, ktoré odstráni zostávajúce medzery, zabezpečí právnu zrozumiteľnosť a pomôže odblokovať európske politické strany a umožní im prevziať úlohu, ktorú im priznávajú zmluvy, a to aj zvýšením ich viditeľnosti v členských štátoch počas volebnej kampane a pri propagácii hlavných kandidátov;</w:t>
      </w:r>
    </w:p>
    <w:p w14:paraId="7D5861A1" w14:textId="77777777" w:rsidR="00850A80" w:rsidRPr="00935C6E" w:rsidRDefault="00850A80" w:rsidP="00563AA6">
      <w:pPr>
        <w:spacing w:after="240"/>
        <w:ind w:left="567" w:hanging="567"/>
        <w:rPr>
          <w:sz w:val="22"/>
        </w:rPr>
      </w:pPr>
      <w:r w:rsidRPr="00935C6E">
        <w:t>12.</w:t>
      </w:r>
      <w:r w:rsidRPr="00935C6E">
        <w:tab/>
        <w:t xml:space="preserve">vyzýva členské štáty, aby zaviedli zákaz zahraničných darov vrátane nepeňažných aj peňažných príspevkov alebo dávok a obmedzenie darov politickým stranám a kandidátom; domnieva sa, že politickí predstavitelia, ktorým zahraničný aktér ponúkol peňažný alebo nepeňažný príspevok a/alebo ktorí takýto príspevok prijali, musia mať povinnosť oznámiť to príslušným orgánom a táto informácia by sa mala postúpiť na úroveň EÚ, aby sa umožnilo </w:t>
      </w:r>
      <w:proofErr w:type="spellStart"/>
      <w:r w:rsidRPr="00935C6E">
        <w:t>celoúnijné</w:t>
      </w:r>
      <w:proofErr w:type="spellEnd"/>
      <w:r w:rsidRPr="00935C6E">
        <w:t xml:space="preserve"> monitorovanie;</w:t>
      </w:r>
    </w:p>
    <w:p w14:paraId="05704984" w14:textId="77777777" w:rsidR="00850A80" w:rsidRPr="00935C6E" w:rsidRDefault="00850A80" w:rsidP="00563AA6">
      <w:pPr>
        <w:pStyle w:val="NormalHanging12a"/>
      </w:pPr>
      <w:r w:rsidRPr="00935C6E">
        <w:t>13.</w:t>
      </w:r>
      <w:r w:rsidRPr="00935C6E">
        <w:tab/>
        <w:t xml:space="preserve">zdôrazňuje potrebu posilniť úlohu a viditeľnosť európskych politických nadácií v európskej demokratickej sfére; pripomína, že tieto nadácie zohrávajú kľúčovú úlohu pri rozvoji cezhraničnej politickej diskusie, politického výskumu a občianskej výchovy, čím prispievajú k formovaniu skutočne európskej verejnej mienky; vyzýva na poskytnutie primeraných nástrojov a zdrojov, ktoré im umožnia podporovať európske </w:t>
      </w:r>
      <w:r w:rsidRPr="00935C6E">
        <w:lastRenderedPageBreak/>
        <w:t xml:space="preserve">politické strany v ich úsilí o zapojenie občanov, presadzovanie európskych hodnôt a zmysluplnú účasť na budúcich volebných kampaniach; pripomína, že pripravovaná správa Komisie o uplatňovaní nariadenia (EÚ, </w:t>
      </w:r>
      <w:proofErr w:type="spellStart"/>
      <w:r w:rsidRPr="00935C6E">
        <w:t>Euratom</w:t>
      </w:r>
      <w:proofErr w:type="spellEnd"/>
      <w:r w:rsidRPr="00935C6E">
        <w:t xml:space="preserve">) č. 1141/2014 o štatúte a financovaní európskych politických strán a európskych politických nadácií (čaká sa na prepracovanie) by mala venovať osobitnú pozornosť pravidlám, ktorými sa riadi financovanie európskych politických nadácií, a v prípade potreby by mala navrhnúť zmeny nariadenia; </w:t>
      </w:r>
    </w:p>
    <w:p w14:paraId="3FC0F1D1" w14:textId="2886C71D" w:rsidR="00850A80" w:rsidRPr="00935C6E" w:rsidRDefault="00850A80" w:rsidP="00563AA6">
      <w:pPr>
        <w:pStyle w:val="NormalHanging12a"/>
      </w:pPr>
      <w:r w:rsidRPr="00935C6E">
        <w:t>14.</w:t>
      </w:r>
      <w:r w:rsidRPr="00935C6E">
        <w:tab/>
        <w:t>zdôrazňuje, že treba ďalšie inštitucionálne úsilie o posilnenie vplyvu európskych voličov na správnu vecí verejných v EÚ; v tejto súvislosti poukazuje na prebiehajúci postup zmeny zmlúv, ktorý sa začal v nadväznosti na Konferenciu o budúcnosti Európy; zdôrazňuje svoj návrh, aby sa úlohy Rady a</w:t>
      </w:r>
      <w:r w:rsidR="00563AA6" w:rsidRPr="00935C6E">
        <w:t> Európskeho p</w:t>
      </w:r>
      <w:r w:rsidRPr="00935C6E">
        <w:t xml:space="preserve">arlamentu pri vymenúvaní a schvaľovaní predsedu Komisie zmenili tak, aby presnejšie odrážali výsledky volieb do Európskeho parlamentu; zdôrazňuje tiež svoj návrh udeliť Parlamentu právo legislatívnej iniciatívy, ktorého vykonávanie by vytvorilo priamy vzťah medzi hlasmi odovzdanými občanmi ich parlamentným zástupcom a politickými výstupmi na úrovni EÚ; zdôrazňuje tiež svoj návrh na modernizáciu vyšetrovacích právomocí </w:t>
      </w:r>
      <w:r w:rsidR="00563AA6" w:rsidRPr="00935C6E">
        <w:t>Európskeho p</w:t>
      </w:r>
      <w:r w:rsidRPr="00935C6E">
        <w:t>arlamentu s cieľom posilniť demokratickú kontrolu nad výkonnou mocou EÚ; vyzýva Európsku radu, aby dodržiavala zmluvy a bez zbytočného odkladu hlasovala o zvolaní konventu s cieľom prediskutovať tieto návrhy;</w:t>
      </w:r>
    </w:p>
    <w:p w14:paraId="6809C6D9" w14:textId="77777777" w:rsidR="00850A80" w:rsidRPr="00935C6E" w:rsidRDefault="00850A80" w:rsidP="00563AA6">
      <w:pPr>
        <w:pStyle w:val="NormalHanging12a"/>
        <w:rPr>
          <w:bCs/>
        </w:rPr>
      </w:pPr>
      <w:r w:rsidRPr="00935C6E">
        <w:rPr>
          <w:rStyle w:val="BoldItalic"/>
          <w:color w:val="000000"/>
        </w:rPr>
        <w:t>Inštitucionálna odolnosť</w:t>
      </w:r>
    </w:p>
    <w:p w14:paraId="5A1E708F" w14:textId="77777777" w:rsidR="00850A80" w:rsidRPr="00935C6E" w:rsidRDefault="00850A80" w:rsidP="00563AA6">
      <w:pPr>
        <w:pStyle w:val="NormalHanging12a"/>
      </w:pPr>
      <w:r w:rsidRPr="00935C6E">
        <w:t>15.</w:t>
      </w:r>
      <w:r w:rsidRPr="00935C6E">
        <w:tab/>
        <w:t>zdôrazňuje, že je dôležité posilniť prepojenie medzi miestnymi, regionálnymi, národnými a európskymi otázkami; v tejto súvislosti víta aktívne a pozitívne zapojenie miestnych a regionálnych lídrov do európskych tém a diskusií, najmä v predvolebnom období, a to aj prostredníctvom činnosti Výboru regiónov a jeho sietí a kampaní;</w:t>
      </w:r>
    </w:p>
    <w:p w14:paraId="5CD11635" w14:textId="77777777" w:rsidR="00850A80" w:rsidRPr="00935C6E" w:rsidRDefault="00850A80" w:rsidP="00563AA6">
      <w:pPr>
        <w:spacing w:after="240"/>
        <w:ind w:left="567" w:hanging="567"/>
        <w:rPr>
          <w:color w:val="00B050"/>
        </w:rPr>
      </w:pPr>
      <w:r w:rsidRPr="00935C6E">
        <w:t>16.</w:t>
      </w:r>
      <w:r w:rsidRPr="00935C6E">
        <w:tab/>
        <w:t>pripomína, že boj proti antidemokratickej rétorike je najúčinnejší na úrovni, ktorá je najbližšie k občanom, a to aj prostredníctvom aktívneho zapojenia miestnych a regionálnych lídrov; v tejto súvislosti vyzdvihuje najmä v regiónoch, ktoré čelia hospodárskej stagnácii a kde dlhodobé rozdiely zvyšujú podporu euroskeptických strán, pozitívnu úlohu politiky súdržnosti EÚ, ktorá musí uprednostňovať základné regionálne potreby a zabezpečiť, aby sa na nikoho nezabudlo;</w:t>
      </w:r>
    </w:p>
    <w:p w14:paraId="32392C16" w14:textId="77777777" w:rsidR="00850A80" w:rsidRPr="00935C6E" w:rsidRDefault="00850A80" w:rsidP="00563AA6">
      <w:pPr>
        <w:spacing w:after="240"/>
        <w:ind w:left="567" w:hanging="567"/>
      </w:pPr>
      <w:r w:rsidRPr="00935C6E">
        <w:t>17.</w:t>
      </w:r>
      <w:r w:rsidRPr="00935C6E">
        <w:tab/>
        <w:t xml:space="preserve">vyjadruje hlboké znepokojenie nad rastúcim počtom vnútorných a vonkajších hrozieb, ktoré narúšajú štruktúru európskej demokracie; odsudzuje skutočnosť, že niektorí kandidáti vrátane kandidátov z vládnucich strán v členských štátoch počas kampane otvorene využívali nepravdivé a zahraničím podporované </w:t>
      </w:r>
      <w:proofErr w:type="spellStart"/>
      <w:r w:rsidRPr="00935C6E">
        <w:t>naratívy</w:t>
      </w:r>
      <w:proofErr w:type="spellEnd"/>
      <w:r w:rsidRPr="00935C6E">
        <w:t xml:space="preserve"> o EÚ, pričom podnecovali nálady proti EÚ;</w:t>
      </w:r>
    </w:p>
    <w:p w14:paraId="4BF6706C" w14:textId="77777777" w:rsidR="00850A80" w:rsidRPr="00935C6E" w:rsidRDefault="00850A80" w:rsidP="00563AA6">
      <w:pPr>
        <w:spacing w:after="240"/>
        <w:ind w:left="567" w:hanging="567"/>
      </w:pPr>
      <w:r w:rsidRPr="00935C6E">
        <w:t>18.</w:t>
      </w:r>
      <w:r w:rsidRPr="00935C6E">
        <w:tab/>
        <w:t xml:space="preserve">opakuje svoje hlboké a dlhodobé znepokojenie nad pretrvávajúcim trendom škodlivého zasahovania do európskych demokratických procesov vrátane dezinformácií; vyjadruje hlboké znepokojenie nad tým, že vlády niektorých členských štátov aktívne prispievajú k šíreniu dezinformácií; odsudzuje najmä dezinformačné kampane na internete sponzorované štátnymi a neštátnymi subjektmi z Ruska a krajín mimo EÚ, ktoré sa snažia polarizovať európskych voličov a zasievať medzi nich nedôveru; konštatuje, že k zahraničnému zasahovaniu dochádza pred voľbami a vrcholí v predvolebnom období; odsudzuje viacerých poslancov Európskeho parlamentu ktorí ochotne spolupracujú s mediálnou platformou </w:t>
      </w:r>
      <w:proofErr w:type="spellStart"/>
      <w:r w:rsidRPr="00935C6E">
        <w:t>Voice</w:t>
      </w:r>
      <w:proofErr w:type="spellEnd"/>
      <w:r w:rsidRPr="00935C6E">
        <w:t xml:space="preserve"> of </w:t>
      </w:r>
      <w:proofErr w:type="spellStart"/>
      <w:r w:rsidRPr="00935C6E">
        <w:t>Europe</w:t>
      </w:r>
      <w:proofErr w:type="spellEnd"/>
      <w:r w:rsidRPr="00935C6E">
        <w:t xml:space="preserve">, ktorá je predmetom trestného vyšetrovania, s cieľom podporiť kremeľské </w:t>
      </w:r>
      <w:proofErr w:type="spellStart"/>
      <w:r w:rsidRPr="00935C6E">
        <w:t>naratívy</w:t>
      </w:r>
      <w:proofErr w:type="spellEnd"/>
      <w:r w:rsidRPr="00935C6E">
        <w:t xml:space="preserve"> o útočnej vojne na Ukrajine;</w:t>
      </w:r>
    </w:p>
    <w:p w14:paraId="6C6A19AE" w14:textId="77777777" w:rsidR="00850A80" w:rsidRPr="00935C6E" w:rsidRDefault="00850A80" w:rsidP="00563AA6">
      <w:pPr>
        <w:spacing w:after="240"/>
        <w:ind w:left="567" w:hanging="567"/>
      </w:pPr>
      <w:r w:rsidRPr="00935C6E">
        <w:lastRenderedPageBreak/>
        <w:t>19.</w:t>
      </w:r>
      <w:r w:rsidRPr="00935C6E">
        <w:tab/>
        <w:t xml:space="preserve">opakuje svoju výzvu Komisii a členským štátom, aby zintenzívnili úsilie v boji proti zahraničnému zasahovaniu a dezinformáciám prostredníctvom viacvrstvovej, koordinovanej a medziodvetvovej stratégie s primeranými finančnými zdrojmi, aby EÚ a jej členské štáty zaviedli vhodné opatrenia na predvídanie a zabezpečenie odolnosti, ako aj odrádzajúce nástroje; v tejto súvislosti vyzýva Komisiu, Európsku službu pre vonkajšiu činnosť a členské štáty, aby ďalej posilňovali strategickú reakciu Únie na dezinformácie a zahraničnú manipuláciu s informáciami a zahraničné zasahovanie, a poukazuje na mnohé politické snahy EÚ v posledných rokoch vrátane aktu o digitálnych službách, posilneného Kódexu postupov proti šíreniu dezinformácií a iniciatív v rámci akčného plánu pre demokraciu; so znepokojením uznáva, že online platformy majú neprimeraný vplyv na verejnú diskusiu; so znepokojením berie na vedomie správy o politicky motivovaných rozhodnutiach niektorých platforiem, ktoré môžu ohroziť slobodu prejavu a demokratický pluralizmus; </w:t>
      </w:r>
    </w:p>
    <w:p w14:paraId="5D177C88" w14:textId="77777777" w:rsidR="00850A80" w:rsidRPr="00935C6E" w:rsidRDefault="00850A80" w:rsidP="00563AA6">
      <w:pPr>
        <w:spacing w:after="240"/>
        <w:ind w:left="567" w:hanging="567"/>
      </w:pPr>
      <w:r w:rsidRPr="00935C6E">
        <w:t>20.</w:t>
      </w:r>
      <w:r w:rsidRPr="00935C6E">
        <w:tab/>
        <w:t>zdôrazňuje význam vyváženého a slobodného mediálneho prostredia v členských štátoch ako kľúčového piliera európskej demokracie, najmä vo volebných cykloch; uznáva, že hoci je EÚ svetovým lídrom v oblasti slobody médií a v roku 2024 bol prijatý európsky akt o slobode médií a nadobudla účinnosť smernica o strategických žalobách proti verejnej účasti</w:t>
      </w:r>
      <w:r w:rsidRPr="00935C6E">
        <w:rPr>
          <w:rStyle w:val="FootnoteReference"/>
        </w:rPr>
        <w:footnoteReference w:id="15"/>
      </w:r>
      <w:r w:rsidRPr="00935C6E">
        <w:t xml:space="preserve">, rastúci vnútorný a vonkajší tlak na mediálne prostredie EÚ si vyžaduje ďalšie posilnenie slobody médií v EÚ, a to aj pred voľbami do Európskeho parlamentu; pripomína, že v niektorých členských štátoch došlo v roku 2024 k nárastu útokov na novinárov; </w:t>
      </w:r>
    </w:p>
    <w:p w14:paraId="5779A6F6" w14:textId="77777777" w:rsidR="00850A80" w:rsidRPr="00935C6E" w:rsidRDefault="00850A80" w:rsidP="00563AA6">
      <w:pPr>
        <w:spacing w:after="240"/>
        <w:ind w:left="567" w:hanging="567"/>
      </w:pPr>
      <w:r w:rsidRPr="00935C6E">
        <w:t>21.</w:t>
      </w:r>
      <w:r w:rsidRPr="00935C6E">
        <w:tab/>
        <w:t>čo najdôraznejšie odsudzuje všetky formy politického násilia; vyjadruje hlboké znepokojenie nad sériou incidentov, ku ktorým došlo pred voľbami v roku 2024; nabáda Komisiu a členské štáty, aby za prioritu považovali predchádzanie politickému násiliu posilnením zákonov, rámcov a politík, ktoré chránia politikov, politických kandidátov, aktivistov, novinárov a občanov pred násilím a obťažovaním počas volebného obdobia; zdôrazňuje význam komplexného prístupu, ktorý zahŕňa prevenciu, ochranu a vzdelávanie s cieľom znížiť výskyt politického násilia, najmä podporou informovanosti o nebezpečenstvách politického násilia a podporou kultúry tolerancie a rešpektovania rôznych politických názorov; upozorňuje, že volebné podvody sa nezačínajú v deň volieb, ale sú dôsledkom rozpadu právneho štátu, demokratických zásad, slobody tlače a slobody prejavu a šírenia zahraničných dezinformácií a propagandy; so znepokojením konštatuje, že systémové problémy môžu ovplyvniť rozsah súdržného vykonávania slobodných a spravodlivých volieb vo všetkých členských štátoch;</w:t>
      </w:r>
    </w:p>
    <w:p w14:paraId="384DD22C" w14:textId="5591731C" w:rsidR="00850A80" w:rsidRPr="00935C6E" w:rsidRDefault="00850A80" w:rsidP="00563AA6">
      <w:pPr>
        <w:spacing w:after="240"/>
        <w:ind w:left="567" w:hanging="567"/>
      </w:pPr>
      <w:r w:rsidRPr="00935C6E">
        <w:t>22.</w:t>
      </w:r>
      <w:r w:rsidRPr="00935C6E">
        <w:tab/>
        <w:t xml:space="preserve">je hlboko znepokojený nárastom a volebným úspechom </w:t>
      </w:r>
      <w:proofErr w:type="spellStart"/>
      <w:r w:rsidRPr="00935C6E">
        <w:t>protisystémových</w:t>
      </w:r>
      <w:proofErr w:type="spellEnd"/>
      <w:r w:rsidRPr="00935C6E">
        <w:t xml:space="preserve"> a otvorene </w:t>
      </w:r>
      <w:proofErr w:type="spellStart"/>
      <w:r w:rsidRPr="00935C6E">
        <w:t>protieurópskych</w:t>
      </w:r>
      <w:proofErr w:type="spellEnd"/>
      <w:r w:rsidRPr="00935C6E">
        <w:t xml:space="preserve"> strán počas volieb v roku 2024; poukazuje na to, že tento posun vedie k </w:t>
      </w:r>
      <w:proofErr w:type="spellStart"/>
      <w:r w:rsidRPr="00935C6E">
        <w:t>radikalizácii</w:t>
      </w:r>
      <w:proofErr w:type="spellEnd"/>
      <w:r w:rsidRPr="00935C6E">
        <w:t xml:space="preserve"> politických diskusií a ďalšej polarizácii </w:t>
      </w:r>
      <w:r w:rsidR="00563AA6" w:rsidRPr="00935C6E">
        <w:t>Európskeho p</w:t>
      </w:r>
      <w:r w:rsidRPr="00935C6E">
        <w:t>arlamentu a navyše poskytuje širšiu platformu na šírenie zahraničných dezinformácií a propagandy;</w:t>
      </w:r>
      <w:r w:rsidRPr="00935C6E">
        <w:rPr>
          <w:color w:val="00B050"/>
        </w:rPr>
        <w:t xml:space="preserve"> </w:t>
      </w:r>
      <w:r w:rsidRPr="00935C6E">
        <w:t xml:space="preserve">odsudzuje akúkoľvek formu politickej rétoriky, ktorá podporuje nenávistné prejavy, diskrimináciu, xenofóbiu alebo násilie, a naliehavo vyzýva všetkých politických aktérov, aby sa zapojili do konštruktívneho dialógu založeného na faktoch, ktorý rešpektuje demokratické hodnoty, ľudské práva a zásady právneho štátu; zaväzuje sa ďalej reformovať a zlepšovať fungovanie Únie s cieľom lepšie plniť očakávania </w:t>
      </w:r>
      <w:r w:rsidRPr="00935C6E">
        <w:lastRenderedPageBreak/>
        <w:t>občanov; vyzýva všetkých príslušných aktérov, aby aktívnejšie informovali o pozitívnom prínose EÚ ku každodennému životu a bezpečnosti všetkých európskych občanov prostredníctvom svojich politík;</w:t>
      </w:r>
    </w:p>
    <w:p w14:paraId="1C84BA07" w14:textId="77777777" w:rsidR="00850A80" w:rsidRPr="00935C6E" w:rsidRDefault="00850A80" w:rsidP="00563AA6">
      <w:pPr>
        <w:spacing w:after="240"/>
        <w:ind w:left="570" w:hanging="570"/>
        <w:rPr>
          <w:sz w:val="22"/>
        </w:rPr>
      </w:pPr>
      <w:r w:rsidRPr="00935C6E">
        <w:t>23.</w:t>
      </w:r>
      <w:r w:rsidRPr="00935C6E">
        <w:tab/>
        <w:t xml:space="preserve">zaväzuje sa, že tieto rámce vyhodnotí prostredníctvom svojho Osobitného výboru pre európsky štít na obranu demokracie, ktorého mandát udelený plénom zahŕňa riešenie zasahovania do politík demokratických procesov a vykonávanie opatrení na zachovanie spravodlivosti a integrity volieb, ako aj politík </w:t>
      </w:r>
      <w:proofErr w:type="spellStart"/>
      <w:r w:rsidRPr="00935C6E">
        <w:t>prispievajúcich</w:t>
      </w:r>
      <w:proofErr w:type="spellEnd"/>
      <w:r w:rsidRPr="00935C6E">
        <w:t xml:space="preserve"> k demokratickým procesom EÚ; zdôrazňuje, že výbor teda slúži ako kľúčový nástroj na predchádzanie škodlivému zasahovaniu tým, že identifikuje možné medzery, nedostatky a prekrývania, ktoré by sa mohli zneužiť; zároveň vyzýva Komisiu, aby v plnej miere a bez zbytočného odkladu presadzovala tieto regulačné rámce, najmä v prípade platforiem, ktoré naďalej otvorene vzdorujú regulačným orgánom EÚ;</w:t>
      </w:r>
    </w:p>
    <w:p w14:paraId="2389DF2B" w14:textId="77777777" w:rsidR="00850A80" w:rsidRPr="00935C6E" w:rsidRDefault="00850A80" w:rsidP="00563AA6">
      <w:pPr>
        <w:pStyle w:val="NormalHanging12a"/>
      </w:pPr>
      <w:r w:rsidRPr="00935C6E">
        <w:t>24.</w:t>
      </w:r>
      <w:r w:rsidRPr="00935C6E">
        <w:tab/>
        <w:t>uznáva význam kybernetickej bezpečnosti a kybernetickej infraštruktúry pri ochrane integrity volieb do Európskeho parlamentu; varuje pred potenciálnymi rizikami operácií ovplyvňovania založených na umelej inteligencii;</w:t>
      </w:r>
    </w:p>
    <w:p w14:paraId="7B4339DA" w14:textId="77777777" w:rsidR="00850A80" w:rsidRPr="00935C6E" w:rsidRDefault="00850A80" w:rsidP="00563AA6">
      <w:pPr>
        <w:spacing w:after="240"/>
        <w:ind w:left="567" w:hanging="567"/>
      </w:pPr>
      <w:r w:rsidRPr="00935C6E">
        <w:t>25.</w:t>
      </w:r>
      <w:r w:rsidRPr="00935C6E">
        <w:tab/>
        <w:t>poukazuje na to, že výsledky vnútroštátnych volieb nepriamo ovplyvňujú aj zloženie európskych inštitúcií, napr. vymenovaním dezignovaných komisárov alebo účasťou vládnucich národných politických väčšiny na zasadnutiach Rady; v tejto súvislosti zdôrazňuje význam demokratického charakteru všeobecných volieb v každom členskom štáte;</w:t>
      </w:r>
    </w:p>
    <w:p w14:paraId="310085AB" w14:textId="77777777" w:rsidR="00850A80" w:rsidRPr="00935C6E" w:rsidRDefault="00850A80" w:rsidP="00563AA6">
      <w:pPr>
        <w:spacing w:after="240"/>
        <w:ind w:left="567" w:hanging="567"/>
      </w:pPr>
      <w:r w:rsidRPr="00935C6E">
        <w:t>26.</w:t>
      </w:r>
      <w:r w:rsidRPr="00935C6E">
        <w:tab/>
        <w:t xml:space="preserve">konštatuje, že európska demokracia môže prosperovať len vtedy, ak budú posilnené a bránené európske demokratické a volebné procesy; v tejto súvislosti zdôrazňuje, že treba podporovať slobodné a spravodlivé voľby a zároveň chrániť ich integritu pred vnútornými aj vonkajšími hrozbami pre demokraciu EÚ; so znepokojením konštatuje, že šírenie dezinformácií a vplyv niektorých platforiem sociálnych médií zostávajú nekontrolované; zdôrazňuje mimoriadny význam presadzovania celého v súčasnosti platného právneho rámca s cieľom zabezpečiť integritu celého volebného procesu; </w:t>
      </w:r>
    </w:p>
    <w:p w14:paraId="7021C63F" w14:textId="5ABF55DF" w:rsidR="00563AA6" w:rsidRPr="00935C6E" w:rsidRDefault="00563AA6" w:rsidP="00563AA6">
      <w:pPr>
        <w:widowControl/>
        <w:spacing w:after="240"/>
        <w:jc w:val="center"/>
        <w:rPr>
          <w:szCs w:val="24"/>
        </w:rPr>
      </w:pPr>
      <w:r w:rsidRPr="00935C6E">
        <w:rPr>
          <w:szCs w:val="24"/>
        </w:rPr>
        <w:t>°</w:t>
      </w:r>
    </w:p>
    <w:p w14:paraId="489E5061" w14:textId="7C7E8641" w:rsidR="00563AA6" w:rsidRPr="00935C6E" w:rsidRDefault="00563AA6" w:rsidP="00563AA6">
      <w:pPr>
        <w:widowControl/>
        <w:spacing w:after="240"/>
        <w:jc w:val="center"/>
        <w:rPr>
          <w:szCs w:val="24"/>
        </w:rPr>
      </w:pPr>
      <w:r w:rsidRPr="00935C6E">
        <w:rPr>
          <w:szCs w:val="24"/>
        </w:rPr>
        <w:t>°     °</w:t>
      </w:r>
    </w:p>
    <w:p w14:paraId="33F2F213" w14:textId="5F2501FF" w:rsidR="00E365E1" w:rsidRPr="00935C6E" w:rsidRDefault="00850A80" w:rsidP="00563AA6">
      <w:pPr>
        <w:pStyle w:val="NormalHanging12a"/>
        <w:ind w:left="0" w:firstLine="0"/>
      </w:pPr>
      <w:r w:rsidRPr="00935C6E">
        <w:rPr>
          <w:szCs w:val="24"/>
        </w:rPr>
        <w:t>27.</w:t>
      </w:r>
      <w:r w:rsidRPr="00935C6E">
        <w:rPr>
          <w:szCs w:val="24"/>
        </w:rPr>
        <w:tab/>
        <w:t>poveruje svoju predsedníčku, aby postúpila toto uznesenie Rade a Komisii.</w:t>
      </w:r>
    </w:p>
    <w:sectPr w:rsidR="00E365E1" w:rsidRPr="00935C6E" w:rsidSect="00FD15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52D26" w14:textId="77777777" w:rsidR="0020384C" w:rsidRPr="00FD158C" w:rsidRDefault="0020384C">
      <w:r w:rsidRPr="00FD158C">
        <w:separator/>
      </w:r>
    </w:p>
  </w:endnote>
  <w:endnote w:type="continuationSeparator" w:id="0">
    <w:p w14:paraId="3D9B6E19" w14:textId="77777777" w:rsidR="0020384C" w:rsidRPr="00FD158C" w:rsidRDefault="0020384C">
      <w:r w:rsidRPr="00FD15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B328E" w14:textId="77777777" w:rsidR="00064002" w:rsidRPr="00FD15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A7C00" w14:textId="77777777" w:rsidR="00064002" w:rsidRPr="00FD15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2ECA2" w14:textId="77777777" w:rsidR="00064002" w:rsidRPr="00FD15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762A0" w14:textId="77777777" w:rsidR="0020384C" w:rsidRPr="00FD158C" w:rsidRDefault="0020384C">
      <w:r w:rsidRPr="00FD158C">
        <w:separator/>
      </w:r>
    </w:p>
  </w:footnote>
  <w:footnote w:type="continuationSeparator" w:id="0">
    <w:p w14:paraId="05A10BF3" w14:textId="77777777" w:rsidR="0020384C" w:rsidRPr="00FD158C" w:rsidRDefault="0020384C">
      <w:r w:rsidRPr="00FD158C">
        <w:continuationSeparator/>
      </w:r>
    </w:p>
  </w:footnote>
  <w:footnote w:id="1">
    <w:p w14:paraId="212EE2AB" w14:textId="09A0914A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 xml:space="preserve">Ú. v. EÚ L 329, 30.12.1993, s. 34, ELI: </w:t>
      </w:r>
      <w:r w:rsidRPr="00ED12DF">
        <w:rPr>
          <w:rStyle w:val="Hyperlink"/>
          <w:sz w:val="24"/>
          <w:szCs w:val="24"/>
          <w:lang w:val="sk-SK"/>
        </w:rPr>
        <w:t>http://data.europa.eu/eli/dir/1993/109/oj</w:t>
      </w:r>
      <w:r w:rsidRPr="00ED12DF">
        <w:rPr>
          <w:sz w:val="24"/>
          <w:szCs w:val="24"/>
          <w:lang w:val="sk-SK"/>
        </w:rPr>
        <w:t>.</w:t>
      </w:r>
    </w:p>
  </w:footnote>
  <w:footnote w:id="2">
    <w:p w14:paraId="1EBA71CC" w14:textId="42EE20B3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 xml:space="preserve">Ú. v. EÚ L 178, 16.7.2018, s. </w:t>
      </w:r>
      <w:r w:rsidRPr="00ED12DF">
        <w:rPr>
          <w:sz w:val="24"/>
          <w:szCs w:val="24"/>
          <w:lang w:val="sk-SK"/>
        </w:rPr>
        <w:t xml:space="preserve">1, ELI: </w:t>
      </w:r>
      <w:hyperlink r:id="rId1" w:history="1">
        <w:r w:rsidRPr="00ED12DF">
          <w:rPr>
            <w:rStyle w:val="Hyperlink"/>
            <w:sz w:val="24"/>
            <w:szCs w:val="24"/>
            <w:lang w:val="sk-SK"/>
          </w:rPr>
          <w:t>http://data.europa.eu/eli/dec/2018/994/oj</w:t>
        </w:r>
      </w:hyperlink>
      <w:r w:rsidRPr="00ED12DF">
        <w:rPr>
          <w:sz w:val="24"/>
          <w:szCs w:val="24"/>
          <w:lang w:val="sk-SK"/>
        </w:rPr>
        <w:t>.</w:t>
      </w:r>
    </w:p>
  </w:footnote>
  <w:footnote w:id="3">
    <w:p w14:paraId="71AC5102" w14:textId="158BBFC6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 xml:space="preserve">Ú. v. EÚ L 317, 4.11.2014, s. </w:t>
      </w:r>
      <w:r w:rsidRPr="00ED12DF">
        <w:rPr>
          <w:sz w:val="24"/>
          <w:szCs w:val="24"/>
          <w:lang w:val="sk-SK"/>
        </w:rPr>
        <w:t xml:space="preserve">1, ELI: </w:t>
      </w:r>
      <w:hyperlink r:id="rId2" w:history="1">
        <w:r w:rsidRPr="00ED12DF">
          <w:rPr>
            <w:rStyle w:val="Hyperlink"/>
            <w:sz w:val="24"/>
            <w:szCs w:val="24"/>
            <w:lang w:val="sk-SK"/>
          </w:rPr>
          <w:t>http://data.europa.eu/eli/reg/2014/1141/oj</w:t>
        </w:r>
      </w:hyperlink>
      <w:r w:rsidRPr="00ED12DF">
        <w:rPr>
          <w:color w:val="0000FF"/>
          <w:sz w:val="24"/>
          <w:szCs w:val="24"/>
          <w:u w:val="single" w:color="0000FF"/>
          <w:lang w:val="sk-SK"/>
        </w:rPr>
        <w:t xml:space="preserve">. </w:t>
      </w:r>
    </w:p>
  </w:footnote>
  <w:footnote w:id="4">
    <w:p w14:paraId="7AACB8E0" w14:textId="5C4296D9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rStyle w:val="FootnoteReference"/>
          <w:sz w:val="24"/>
          <w:szCs w:val="24"/>
          <w:vertAlign w:val="baseline"/>
          <w:lang w:val="sk-SK"/>
        </w:rPr>
        <w:t>Ú. v. EÚ C 125, 5.4.2023, s. 485.</w:t>
      </w:r>
    </w:p>
  </w:footnote>
  <w:footnote w:id="5">
    <w:p w14:paraId="4F3D7305" w14:textId="3AA3F842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 xml:space="preserve">Ú. v. </w:t>
      </w:r>
      <w:r w:rsidRPr="00ED12DF">
        <w:rPr>
          <w:sz w:val="24"/>
          <w:szCs w:val="24"/>
          <w:lang w:val="sk-SK"/>
        </w:rPr>
        <w:t xml:space="preserve">EÚ L, 2024/900, 20.3.2024, ELI: </w:t>
      </w:r>
      <w:hyperlink r:id="rId3" w:history="1">
        <w:r w:rsidRPr="00ED12DF">
          <w:rPr>
            <w:rStyle w:val="Hyperlink"/>
            <w:sz w:val="24"/>
            <w:szCs w:val="24"/>
            <w:lang w:val="sk-SK"/>
          </w:rPr>
          <w:t>http://data.europa.eu/eli/reg/2024/900/oj</w:t>
        </w:r>
      </w:hyperlink>
      <w:r w:rsidRPr="00ED12DF">
        <w:rPr>
          <w:sz w:val="24"/>
          <w:szCs w:val="24"/>
          <w:lang w:val="sk-SK"/>
        </w:rPr>
        <w:t>.</w:t>
      </w:r>
    </w:p>
  </w:footnote>
  <w:footnote w:id="6">
    <w:p w14:paraId="03725439" w14:textId="73EDC913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 xml:space="preserve">Ú. v. EÚ L 277, 27.10.2022, s. </w:t>
      </w:r>
      <w:r w:rsidRPr="00ED12DF">
        <w:rPr>
          <w:sz w:val="24"/>
          <w:szCs w:val="24"/>
          <w:lang w:val="sk-SK"/>
        </w:rPr>
        <w:t xml:space="preserve">1, ELI: </w:t>
      </w:r>
      <w:hyperlink r:id="rId4" w:history="1">
        <w:r w:rsidRPr="00ED12DF">
          <w:rPr>
            <w:rStyle w:val="Hyperlink"/>
            <w:sz w:val="24"/>
            <w:szCs w:val="24"/>
            <w:lang w:val="sk-SK"/>
          </w:rPr>
          <w:t>http://data.europa.eu/eli/reg/2022/2065/oj</w:t>
        </w:r>
      </w:hyperlink>
      <w:r w:rsidRPr="00ED12DF">
        <w:rPr>
          <w:sz w:val="24"/>
          <w:szCs w:val="24"/>
          <w:lang w:val="sk-SK"/>
        </w:rPr>
        <w:t>.</w:t>
      </w:r>
    </w:p>
  </w:footnote>
  <w:footnote w:id="7">
    <w:p w14:paraId="5415B42C" w14:textId="0B37032C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 xml:space="preserve">Ú. v. </w:t>
      </w:r>
      <w:r w:rsidRPr="00ED12DF">
        <w:rPr>
          <w:sz w:val="24"/>
          <w:szCs w:val="24"/>
          <w:lang w:val="sk-SK"/>
        </w:rPr>
        <w:t>EÚ L</w:t>
      </w:r>
      <w:r w:rsidR="00ED3FB8">
        <w:rPr>
          <w:sz w:val="24"/>
          <w:szCs w:val="24"/>
          <w:lang w:val="sk-SK"/>
        </w:rPr>
        <w:t>,</w:t>
      </w:r>
      <w:r w:rsidRPr="00ED12DF">
        <w:rPr>
          <w:sz w:val="24"/>
          <w:szCs w:val="24"/>
          <w:lang w:val="sk-SK"/>
        </w:rPr>
        <w:t xml:space="preserve"> 2024/1689, 12.7.2024, ELI: </w:t>
      </w:r>
      <w:hyperlink r:id="rId5" w:history="1">
        <w:r w:rsidRPr="00ED12DF">
          <w:rPr>
            <w:rStyle w:val="Hyperlink"/>
            <w:sz w:val="24"/>
            <w:szCs w:val="24"/>
            <w:lang w:val="sk-SK"/>
          </w:rPr>
          <w:t>http://data.europa.eu/eli/reg/2024/1689/oj</w:t>
        </w:r>
      </w:hyperlink>
      <w:r w:rsidRPr="00ED12DF">
        <w:rPr>
          <w:sz w:val="24"/>
          <w:szCs w:val="24"/>
          <w:lang w:val="sk-SK"/>
        </w:rPr>
        <w:t>.</w:t>
      </w:r>
    </w:p>
  </w:footnote>
  <w:footnote w:id="8">
    <w:p w14:paraId="5FADCEEE" w14:textId="411337E6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>Ú. v. EÚ C 465, 6.12.2022, s. 171.</w:t>
      </w:r>
    </w:p>
  </w:footnote>
  <w:footnote w:id="9">
    <w:p w14:paraId="29E85D39" w14:textId="4FF58807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>Ú. v. EÚ C 425, 20.10.2021, s. 98.</w:t>
      </w:r>
    </w:p>
  </w:footnote>
  <w:footnote w:id="10">
    <w:p w14:paraId="524D289A" w14:textId="08334C78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>Ú. v. </w:t>
      </w:r>
      <w:r w:rsidRPr="00ED12DF">
        <w:rPr>
          <w:sz w:val="24"/>
          <w:szCs w:val="24"/>
          <w:lang w:val="sk-SK"/>
        </w:rPr>
        <w:t xml:space="preserve">EÚ C, C/2024/4160, 2.8.2024, ELI: </w:t>
      </w:r>
      <w:hyperlink r:id="rId6" w:history="1">
        <w:r w:rsidRPr="00ED12DF">
          <w:rPr>
            <w:rStyle w:val="Hyperlink"/>
            <w:sz w:val="24"/>
            <w:szCs w:val="24"/>
            <w:lang w:val="sk-SK"/>
          </w:rPr>
          <w:t>http://data.europa.eu/eli/C/2024/4160/oj</w:t>
        </w:r>
      </w:hyperlink>
      <w:r w:rsidRPr="00ED12DF">
        <w:rPr>
          <w:sz w:val="24"/>
          <w:szCs w:val="24"/>
          <w:lang w:val="sk-SK"/>
        </w:rPr>
        <w:t>.</w:t>
      </w:r>
    </w:p>
  </w:footnote>
  <w:footnote w:id="11">
    <w:p w14:paraId="751B6E10" w14:textId="090D06A2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>Ú. v. </w:t>
      </w:r>
      <w:r w:rsidRPr="00ED12DF">
        <w:rPr>
          <w:sz w:val="24"/>
          <w:szCs w:val="24"/>
          <w:lang w:val="sk-SK"/>
        </w:rPr>
        <w:t xml:space="preserve">EÚ C, C/2025/1811, 4.4.2025, ELI: </w:t>
      </w:r>
      <w:hyperlink r:id="rId7" w:history="1">
        <w:r w:rsidRPr="00ED12DF">
          <w:rPr>
            <w:rStyle w:val="Hyperlink"/>
            <w:sz w:val="24"/>
            <w:szCs w:val="24"/>
            <w:lang w:val="sk-SK"/>
          </w:rPr>
          <w:t>http://data.europa.eu/eli/C/2025/1811/oj</w:t>
        </w:r>
      </w:hyperlink>
      <w:r w:rsidRPr="00ED12DF">
        <w:rPr>
          <w:sz w:val="24"/>
          <w:szCs w:val="24"/>
          <w:lang w:val="sk-SK"/>
        </w:rPr>
        <w:t xml:space="preserve">. </w:t>
      </w:r>
    </w:p>
  </w:footnote>
  <w:footnote w:id="12">
    <w:p w14:paraId="385A5F03" w14:textId="28B8FFC4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>Ú. v. </w:t>
      </w:r>
      <w:r w:rsidRPr="00ED12DF">
        <w:rPr>
          <w:sz w:val="24"/>
          <w:szCs w:val="24"/>
          <w:lang w:val="sk-SK"/>
        </w:rPr>
        <w:t xml:space="preserve">EÚ C, C/2025/1981, 11.4.2025, ELI: </w:t>
      </w:r>
      <w:hyperlink r:id="rId8" w:history="1">
        <w:r w:rsidRPr="00ED12DF">
          <w:rPr>
            <w:rStyle w:val="Hyperlink"/>
            <w:sz w:val="24"/>
            <w:szCs w:val="24"/>
            <w:lang w:val="sk-SK"/>
          </w:rPr>
          <w:t>http://data.europa.eu/eli/C/2025/1981/oj</w:t>
        </w:r>
      </w:hyperlink>
      <w:r w:rsidRPr="00ED12DF">
        <w:rPr>
          <w:sz w:val="24"/>
          <w:szCs w:val="24"/>
          <w:lang w:val="sk-SK"/>
        </w:rPr>
        <w:t xml:space="preserve">. </w:t>
      </w:r>
    </w:p>
  </w:footnote>
  <w:footnote w:id="13">
    <w:p w14:paraId="7DFBD206" w14:textId="09A2A6FB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>Ú. v. </w:t>
      </w:r>
      <w:r w:rsidRPr="00ED12DF">
        <w:rPr>
          <w:sz w:val="24"/>
          <w:szCs w:val="24"/>
          <w:lang w:val="sk-SK"/>
        </w:rPr>
        <w:t>EÚ </w:t>
      </w:r>
      <w:r w:rsidR="00245545" w:rsidRPr="00ED12DF">
        <w:rPr>
          <w:sz w:val="24"/>
          <w:szCs w:val="24"/>
          <w:lang w:val="sk-SK"/>
        </w:rPr>
        <w:t xml:space="preserve">C, </w:t>
      </w:r>
      <w:r w:rsidRPr="00ED12DF">
        <w:rPr>
          <w:sz w:val="24"/>
          <w:szCs w:val="24"/>
          <w:lang w:val="sk-SK"/>
        </w:rPr>
        <w:t xml:space="preserve">C/2024/4216, 24.7.2024, ELI: </w:t>
      </w:r>
      <w:hyperlink r:id="rId9" w:history="1">
        <w:r w:rsidRPr="00ED12DF">
          <w:rPr>
            <w:rStyle w:val="Hyperlink"/>
            <w:sz w:val="24"/>
            <w:szCs w:val="24"/>
            <w:lang w:val="sk-SK"/>
          </w:rPr>
          <w:t>http://data.europa.eu/eli/C/2024/4216/oj</w:t>
        </w:r>
      </w:hyperlink>
      <w:r w:rsidRPr="00ED12DF">
        <w:rPr>
          <w:sz w:val="24"/>
          <w:szCs w:val="24"/>
          <w:lang w:val="sk-SK"/>
        </w:rPr>
        <w:t>.</w:t>
      </w:r>
    </w:p>
  </w:footnote>
  <w:footnote w:id="14">
    <w:p w14:paraId="40B52B83" w14:textId="1F662BE4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hyperlink r:id="rId10" w:history="1">
        <w:r w:rsidRPr="00ED12DF">
          <w:rPr>
            <w:rStyle w:val="Hyperlink"/>
            <w:sz w:val="24"/>
            <w:szCs w:val="24"/>
            <w:lang w:val="sk-SK"/>
          </w:rPr>
          <w:t>Záverečná správa volebnej pozorovateľskej misie ODIHR – Maďarsko, 2022</w:t>
        </w:r>
      </w:hyperlink>
      <w:r w:rsidRPr="00ED12DF">
        <w:rPr>
          <w:sz w:val="24"/>
          <w:szCs w:val="24"/>
          <w:lang w:val="sk-SK"/>
        </w:rPr>
        <w:t>.</w:t>
      </w:r>
    </w:p>
  </w:footnote>
  <w:footnote w:id="15">
    <w:p w14:paraId="015319D5" w14:textId="1C403188" w:rsidR="00850A80" w:rsidRPr="00ED12DF" w:rsidRDefault="00850A80" w:rsidP="00FD158C">
      <w:pPr>
        <w:pStyle w:val="FootnoteText"/>
        <w:ind w:left="567" w:hanging="567"/>
        <w:rPr>
          <w:sz w:val="24"/>
          <w:szCs w:val="24"/>
          <w:lang w:val="sk-SK"/>
        </w:rPr>
      </w:pPr>
      <w:r w:rsidRPr="00ED12DF">
        <w:rPr>
          <w:rStyle w:val="FootnoteReference"/>
          <w:sz w:val="24"/>
          <w:szCs w:val="24"/>
          <w:lang w:val="sk-SK"/>
        </w:rPr>
        <w:footnoteRef/>
      </w:r>
      <w:r w:rsidR="00FD158C" w:rsidRPr="00ED12DF">
        <w:rPr>
          <w:sz w:val="24"/>
          <w:szCs w:val="24"/>
          <w:lang w:val="sk-SK"/>
        </w:rPr>
        <w:t xml:space="preserve"> </w:t>
      </w:r>
      <w:r w:rsidR="00FD158C" w:rsidRPr="00ED12DF">
        <w:rPr>
          <w:sz w:val="24"/>
          <w:szCs w:val="24"/>
          <w:lang w:val="sk-SK"/>
        </w:rPr>
        <w:tab/>
      </w:r>
      <w:r w:rsidRPr="00ED12DF">
        <w:rPr>
          <w:sz w:val="24"/>
          <w:szCs w:val="24"/>
          <w:lang w:val="sk-SK"/>
        </w:rPr>
        <w:t xml:space="preserve">Smernica Európskeho parlamentu a Rady (EÚ) 2024/1069 z 11. apríla 2024 o ochrane osôb zapojených do verejnej účasti pred zjavne neopodstatnenými nárokmi alebo zneužívajúcimi súdnymi konaniami („strategické žaloby proti verejnej účasti“) (Ú. v. </w:t>
      </w:r>
      <w:r w:rsidRPr="00ED12DF">
        <w:rPr>
          <w:sz w:val="24"/>
          <w:szCs w:val="24"/>
          <w:lang w:val="sk-SK"/>
        </w:rPr>
        <w:t xml:space="preserve">EÚ L, 2024/1069, 16.4.2024, ELI: </w:t>
      </w:r>
      <w:hyperlink r:id="rId11" w:history="1">
        <w:r w:rsidRPr="00ED12DF">
          <w:rPr>
            <w:rStyle w:val="Hyperlink"/>
            <w:sz w:val="24"/>
            <w:szCs w:val="24"/>
            <w:lang w:val="sk-SK"/>
          </w:rPr>
          <w:t>http://data.europa.eu/eli/dir/2024/1069/oj</w:t>
        </w:r>
      </w:hyperlink>
      <w:r w:rsidRPr="00ED12DF">
        <w:rPr>
          <w:sz w:val="24"/>
          <w:szCs w:val="24"/>
          <w:lang w:val="sk-SK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3841E" w14:textId="77777777" w:rsidR="00064002" w:rsidRPr="00FD15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E883D" w14:textId="77777777" w:rsidR="00064002" w:rsidRPr="00FD15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3AAB" w14:textId="77777777" w:rsidR="00064002" w:rsidRPr="00FD15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17612645">
    <w:abstractNumId w:val="9"/>
  </w:num>
  <w:num w:numId="2" w16cid:durableId="1683896566">
    <w:abstractNumId w:val="9"/>
  </w:num>
  <w:num w:numId="3" w16cid:durableId="2063402123">
    <w:abstractNumId w:val="7"/>
  </w:num>
  <w:num w:numId="4" w16cid:durableId="650521712">
    <w:abstractNumId w:val="7"/>
  </w:num>
  <w:num w:numId="5" w16cid:durableId="1397166907">
    <w:abstractNumId w:val="6"/>
  </w:num>
  <w:num w:numId="6" w16cid:durableId="715620060">
    <w:abstractNumId w:val="6"/>
  </w:num>
  <w:num w:numId="7" w16cid:durableId="1622803622">
    <w:abstractNumId w:val="5"/>
  </w:num>
  <w:num w:numId="8" w16cid:durableId="442773979">
    <w:abstractNumId w:val="5"/>
  </w:num>
  <w:num w:numId="9" w16cid:durableId="862787895">
    <w:abstractNumId w:val="4"/>
  </w:num>
  <w:num w:numId="10" w16cid:durableId="99186676">
    <w:abstractNumId w:val="4"/>
  </w:num>
  <w:num w:numId="11" w16cid:durableId="1273587417">
    <w:abstractNumId w:val="8"/>
  </w:num>
  <w:num w:numId="12" w16cid:durableId="845172550">
    <w:abstractNumId w:val="8"/>
  </w:num>
  <w:num w:numId="13" w16cid:durableId="1988509299">
    <w:abstractNumId w:val="3"/>
  </w:num>
  <w:num w:numId="14" w16cid:durableId="775950075">
    <w:abstractNumId w:val="3"/>
  </w:num>
  <w:num w:numId="15" w16cid:durableId="438110163">
    <w:abstractNumId w:val="2"/>
  </w:num>
  <w:num w:numId="16" w16cid:durableId="1754547769">
    <w:abstractNumId w:val="2"/>
  </w:num>
  <w:num w:numId="17" w16cid:durableId="60911259">
    <w:abstractNumId w:val="1"/>
  </w:num>
  <w:num w:numId="18" w16cid:durableId="1877425693">
    <w:abstractNumId w:val="1"/>
  </w:num>
  <w:num w:numId="19" w16cid:durableId="1746605494">
    <w:abstractNumId w:val="0"/>
  </w:num>
  <w:num w:numId="20" w16cid:durableId="1078749281">
    <w:abstractNumId w:val="0"/>
  </w:num>
  <w:num w:numId="21" w16cid:durableId="767043787">
    <w:abstractNumId w:val="9"/>
  </w:num>
  <w:num w:numId="22" w16cid:durableId="1530101557">
    <w:abstractNumId w:val="7"/>
  </w:num>
  <w:num w:numId="23" w16cid:durableId="22483051">
    <w:abstractNumId w:val="6"/>
  </w:num>
  <w:num w:numId="24" w16cid:durableId="1960723365">
    <w:abstractNumId w:val="5"/>
  </w:num>
  <w:num w:numId="25" w16cid:durableId="549458528">
    <w:abstractNumId w:val="4"/>
  </w:num>
  <w:num w:numId="26" w16cid:durableId="1723552567">
    <w:abstractNumId w:val="8"/>
  </w:num>
  <w:num w:numId="27" w16cid:durableId="35551940">
    <w:abstractNumId w:val="3"/>
  </w:num>
  <w:num w:numId="28" w16cid:durableId="1383138717">
    <w:abstractNumId w:val="2"/>
  </w:num>
  <w:num w:numId="29" w16cid:durableId="1321302997">
    <w:abstractNumId w:val="1"/>
  </w:num>
  <w:num w:numId="30" w16cid:durableId="1898275907">
    <w:abstractNumId w:val="0"/>
  </w:num>
  <w:num w:numId="31" w16cid:durableId="740059749">
    <w:abstractNumId w:val="9"/>
  </w:num>
  <w:num w:numId="32" w16cid:durableId="694232088">
    <w:abstractNumId w:val="7"/>
  </w:num>
  <w:num w:numId="33" w16cid:durableId="1278030366">
    <w:abstractNumId w:val="6"/>
  </w:num>
  <w:num w:numId="34" w16cid:durableId="1479688430">
    <w:abstractNumId w:val="5"/>
  </w:num>
  <w:num w:numId="35" w16cid:durableId="1663704180">
    <w:abstractNumId w:val="4"/>
  </w:num>
  <w:num w:numId="36" w16cid:durableId="752773450">
    <w:abstractNumId w:val="8"/>
  </w:num>
  <w:num w:numId="37" w16cid:durableId="980235498">
    <w:abstractNumId w:val="3"/>
  </w:num>
  <w:num w:numId="38" w16cid:durableId="111018465">
    <w:abstractNumId w:val="2"/>
  </w:num>
  <w:num w:numId="39" w16cid:durableId="1369335248">
    <w:abstractNumId w:val="1"/>
  </w:num>
  <w:num w:numId="40" w16cid:durableId="813570598">
    <w:abstractNumId w:val="0"/>
  </w:num>
  <w:num w:numId="41" w16cid:durableId="1021056560">
    <w:abstractNumId w:val="10"/>
  </w:num>
  <w:num w:numId="42" w16cid:durableId="696929027">
    <w:abstractNumId w:val="10"/>
  </w:num>
  <w:num w:numId="43" w16cid:durableId="655493704">
    <w:abstractNumId w:val="10"/>
  </w:num>
  <w:num w:numId="44" w16cid:durableId="7888587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56/2025"/>
    <w:docVar w:name="dvlangue" w:val="SK"/>
    <w:docVar w:name="dvnumam" w:val="0"/>
    <w:docVar w:name="dvpe" w:val="768.033"/>
    <w:docVar w:name="dvrapporteur" w:val="Spravodajkyňa: "/>
    <w:docVar w:name="dvtitre" w:val="Uznesenie Európskeho parlamentu z xx. septembra 2025 o zhodnotení volieb do Európskeho parlamentu v roku 2024(2025/2012(INI))"/>
  </w:docVars>
  <w:rsids>
    <w:rsidRoot w:val="0020384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384C"/>
    <w:rsid w:val="00245545"/>
    <w:rsid w:val="002767FF"/>
    <w:rsid w:val="002B18FE"/>
    <w:rsid w:val="002B5493"/>
    <w:rsid w:val="00343214"/>
    <w:rsid w:val="00361C00"/>
    <w:rsid w:val="00395FA1"/>
    <w:rsid w:val="003D347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AA6"/>
    <w:rsid w:val="005A3CBD"/>
    <w:rsid w:val="005C2568"/>
    <w:rsid w:val="005E2F5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A52"/>
    <w:rsid w:val="00842779"/>
    <w:rsid w:val="00850A80"/>
    <w:rsid w:val="00865F67"/>
    <w:rsid w:val="00881A7B"/>
    <w:rsid w:val="008840E5"/>
    <w:rsid w:val="00887B3E"/>
    <w:rsid w:val="008C2AC6"/>
    <w:rsid w:val="00915D28"/>
    <w:rsid w:val="00930C23"/>
    <w:rsid w:val="0093193B"/>
    <w:rsid w:val="00935C6E"/>
    <w:rsid w:val="009509D8"/>
    <w:rsid w:val="00950B64"/>
    <w:rsid w:val="00981893"/>
    <w:rsid w:val="00A1687D"/>
    <w:rsid w:val="00A2178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2DFF"/>
    <w:rsid w:val="00CF071A"/>
    <w:rsid w:val="00D058B8"/>
    <w:rsid w:val="00D56C11"/>
    <w:rsid w:val="00D834A0"/>
    <w:rsid w:val="00D872DF"/>
    <w:rsid w:val="00D91E21"/>
    <w:rsid w:val="00DA7FCD"/>
    <w:rsid w:val="00DB69EA"/>
    <w:rsid w:val="00E365E1"/>
    <w:rsid w:val="00E820A4"/>
    <w:rsid w:val="00EB006A"/>
    <w:rsid w:val="00EB4772"/>
    <w:rsid w:val="00ED12DF"/>
    <w:rsid w:val="00ED169E"/>
    <w:rsid w:val="00ED3FB8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8F73F"/>
  <w15:chartTrackingRefBased/>
  <w15:docId w15:val="{E7721606-1653-4E97-A585-16F2F746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50A8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850A80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850A80"/>
    <w:rPr>
      <w:b/>
      <w:i/>
      <w:u w:val="none"/>
    </w:rPr>
  </w:style>
  <w:style w:type="character" w:customStyle="1" w:styleId="Italic">
    <w:name w:val="Italic"/>
    <w:uiPriority w:val="1"/>
    <w:rsid w:val="00850A80"/>
    <w:rPr>
      <w:i/>
    </w:rPr>
  </w:style>
  <w:style w:type="character" w:styleId="Hyperlink">
    <w:name w:val="Hyperlink"/>
    <w:basedOn w:val="DefaultParagraphFont"/>
    <w:rsid w:val="00850A80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850A80"/>
    <w:rPr>
      <w:snapToGrid w:val="0"/>
      <w:sz w:val="24"/>
      <w:lang w:val="sk-SK" w:eastAsia="en-US"/>
    </w:rPr>
  </w:style>
  <w:style w:type="paragraph" w:styleId="Revision">
    <w:name w:val="Revision"/>
    <w:hidden/>
    <w:uiPriority w:val="99"/>
    <w:semiHidden/>
    <w:rsid w:val="00563AA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981/oj?locale=sk" TargetMode="External"/><Relationship Id="rId3" Type="http://schemas.openxmlformats.org/officeDocument/2006/relationships/hyperlink" Target="http://data.europa.eu/eli/reg/2024/900/oj?locale=sk" TargetMode="External"/><Relationship Id="rId7" Type="http://schemas.openxmlformats.org/officeDocument/2006/relationships/hyperlink" Target="http://data.europa.eu/eli/C/2025/1811/oj?locale=sk" TargetMode="External"/><Relationship Id="rId2" Type="http://schemas.openxmlformats.org/officeDocument/2006/relationships/hyperlink" Target="http://data.europa.eu/eli/reg/2014/1141/oj?locale=sk" TargetMode="External"/><Relationship Id="rId1" Type="http://schemas.openxmlformats.org/officeDocument/2006/relationships/hyperlink" Target="https://eur-lex.europa.eu/eli/dec/2018/994/oj?locale=sk" TargetMode="External"/><Relationship Id="rId6" Type="http://schemas.openxmlformats.org/officeDocument/2006/relationships/hyperlink" Target="http://data.europa.eu/eli/C/2024/4160/oj?locale=sk" TargetMode="External"/><Relationship Id="rId11" Type="http://schemas.openxmlformats.org/officeDocument/2006/relationships/hyperlink" Target="http://data.europa.eu/eli/dir/2024/1069/oj?locale=sk" TargetMode="External"/><Relationship Id="rId5" Type="http://schemas.openxmlformats.org/officeDocument/2006/relationships/hyperlink" Target="http://data.europa.eu/eli/reg/2024/1689/oj?locale=sk" TargetMode="External"/><Relationship Id="rId10" Type="http://schemas.openxmlformats.org/officeDocument/2006/relationships/hyperlink" Target="https://www.osce.org/files/f/documents/2/6/523568.pdf" TargetMode="External"/><Relationship Id="rId4" Type="http://schemas.openxmlformats.org/officeDocument/2006/relationships/hyperlink" Target="http://data.europa.eu/eli/reg/2022/2065/oj?locale=sk" TargetMode="External"/><Relationship Id="rId9" Type="http://schemas.openxmlformats.org/officeDocument/2006/relationships/hyperlink" Target="http://data.europa.eu/eli/C/2024/4216/oj?locale=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A9444-5588-444E-9097-F63284B09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4409</Words>
  <Characters>27326</Characters>
  <Application>Microsoft Office Word</Application>
  <DocSecurity>0</DocSecurity>
  <Lines>227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2025-10-17T07:48:00Z</dcterms:created>
  <dcterms:modified xsi:type="dcterms:W3CDTF">2025-10-17T07:48:00Z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A10-0156/2025</vt:lpwstr>
  </property>
  <property fmtid="{D5CDD505-2E9C-101B-9397-08002B2CF9AE}" pid="4" name="&lt;Type&gt;">
    <vt:lpwstr>RR</vt:lpwstr>
  </property>
</Properties>
</file>