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0C9F" w14:paraId="2CEE6479" w14:textId="77777777" w:rsidTr="0010095E">
        <w:trPr>
          <w:trHeight w:hRule="exact" w:val="1418"/>
        </w:trPr>
        <w:tc>
          <w:tcPr>
            <w:tcW w:w="6804" w:type="dxa"/>
            <w:shd w:val="clear" w:color="auto" w:fill="auto"/>
            <w:vAlign w:val="center"/>
          </w:tcPr>
          <w:p w14:paraId="563E1AFF" w14:textId="77777777" w:rsidR="00751A4A" w:rsidRPr="00C10C9F" w:rsidRDefault="0057565D" w:rsidP="0010095E">
            <w:pPr>
              <w:pStyle w:val="EPName"/>
            </w:pPr>
            <w:r w:rsidRPr="00C10C9F">
              <w:t>Europa-Parlamentet</w:t>
            </w:r>
          </w:p>
          <w:p w14:paraId="279E7A63" w14:textId="77777777" w:rsidR="00751A4A" w:rsidRPr="00C10C9F" w:rsidRDefault="005F1B17" w:rsidP="005F1B17">
            <w:pPr>
              <w:pStyle w:val="EPTerm"/>
              <w:rPr>
                <w:rStyle w:val="HideTWBExt"/>
                <w:noProof w:val="0"/>
                <w:vanish w:val="0"/>
                <w:color w:val="auto"/>
              </w:rPr>
            </w:pPr>
            <w:r w:rsidRPr="00C10C9F">
              <w:t>2024</w:t>
            </w:r>
            <w:r w:rsidR="00817416" w:rsidRPr="00C10C9F">
              <w:t>-202</w:t>
            </w:r>
            <w:r w:rsidRPr="00C10C9F">
              <w:t>9</w:t>
            </w:r>
          </w:p>
        </w:tc>
        <w:tc>
          <w:tcPr>
            <w:tcW w:w="2268" w:type="dxa"/>
            <w:shd w:val="clear" w:color="auto" w:fill="auto"/>
          </w:tcPr>
          <w:p w14:paraId="05C9E1F7" w14:textId="77777777" w:rsidR="00751A4A" w:rsidRPr="00C10C9F" w:rsidRDefault="00187494" w:rsidP="0010095E">
            <w:pPr>
              <w:pStyle w:val="EPLogo"/>
            </w:pPr>
            <w:r w:rsidRPr="00C10C9F">
              <w:rPr>
                <w:noProof/>
                <w:lang w:eastAsia="ja-JP"/>
              </w:rPr>
              <w:drawing>
                <wp:inline distT="0" distB="0" distL="0" distR="0" wp14:anchorId="34EE6416" wp14:editId="38826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914215" w14:textId="77777777" w:rsidR="00D058B8" w:rsidRPr="00C10C9F" w:rsidRDefault="00D058B8" w:rsidP="004C5D52">
      <w:pPr>
        <w:pStyle w:val="LineTop"/>
      </w:pPr>
    </w:p>
    <w:p w14:paraId="6FA10E72" w14:textId="77777777" w:rsidR="00680577" w:rsidRPr="00C10C9F" w:rsidRDefault="0057565D" w:rsidP="00680577">
      <w:pPr>
        <w:pStyle w:val="EPBodyTA1"/>
      </w:pPr>
      <w:r w:rsidRPr="00C10C9F">
        <w:t>VEDTAGNE TEKSTER</w:t>
      </w:r>
    </w:p>
    <w:p w14:paraId="10B41E0F" w14:textId="77777777" w:rsidR="00D058B8" w:rsidRPr="00C10C9F" w:rsidRDefault="00D058B8" w:rsidP="00D058B8">
      <w:pPr>
        <w:pStyle w:val="LineBottom"/>
      </w:pPr>
    </w:p>
    <w:p w14:paraId="68F1D5A0" w14:textId="24BE422A" w:rsidR="0057565D" w:rsidRPr="00C10C9F" w:rsidRDefault="0057565D" w:rsidP="0057565D">
      <w:pPr>
        <w:pStyle w:val="ATHeading1"/>
      </w:pPr>
      <w:bookmarkStart w:id="0" w:name="TANumber"/>
      <w:r w:rsidRPr="00C10C9F">
        <w:t>P10_</w:t>
      </w:r>
      <w:proofErr w:type="gramStart"/>
      <w:r w:rsidRPr="00C10C9F">
        <w:t>TA(</w:t>
      </w:r>
      <w:proofErr w:type="gramEnd"/>
      <w:r w:rsidRPr="00C10C9F">
        <w:t>2025)0</w:t>
      </w:r>
      <w:r w:rsidR="007C06EA">
        <w:t>203</w:t>
      </w:r>
      <w:bookmarkEnd w:id="0"/>
    </w:p>
    <w:p w14:paraId="209D5376" w14:textId="77777777" w:rsidR="0057565D" w:rsidRPr="00C10C9F" w:rsidRDefault="0057565D" w:rsidP="0057565D">
      <w:pPr>
        <w:pStyle w:val="ATHeading2"/>
      </w:pPr>
      <w:bookmarkStart w:id="1" w:name="title"/>
      <w:r w:rsidRPr="00C10C9F">
        <w:t>Anmodning om ophævelse af Péter Magyars immunitet</w:t>
      </w:r>
      <w:bookmarkEnd w:id="1"/>
    </w:p>
    <w:p w14:paraId="4E97A4C4" w14:textId="77777777" w:rsidR="0057565D" w:rsidRPr="00C10C9F" w:rsidRDefault="0057565D" w:rsidP="0057565D">
      <w:pPr>
        <w:rPr>
          <w:i/>
          <w:vanish/>
        </w:rPr>
      </w:pPr>
      <w:r w:rsidRPr="00C10C9F">
        <w:rPr>
          <w:i/>
        </w:rPr>
        <w:fldChar w:fldCharType="begin"/>
      </w:r>
      <w:r w:rsidRPr="00C10C9F">
        <w:rPr>
          <w:i/>
        </w:rPr>
        <w:instrText xml:space="preserve"> TC"(</w:instrText>
      </w:r>
      <w:bookmarkStart w:id="2" w:name="DocNumber"/>
      <w:r w:rsidRPr="00C10C9F">
        <w:rPr>
          <w:i/>
        </w:rPr>
        <w:instrText>A10-0180/2025</w:instrText>
      </w:r>
      <w:bookmarkEnd w:id="2"/>
      <w:r w:rsidRPr="00C10C9F">
        <w:rPr>
          <w:i/>
        </w:rPr>
        <w:instrText xml:space="preserve"> - Ordfører: Krzysztof Śmiszek)"\l3 \n&gt; \* MERGEFORMAT </w:instrText>
      </w:r>
      <w:r w:rsidRPr="00C10C9F">
        <w:rPr>
          <w:i/>
        </w:rPr>
        <w:fldChar w:fldCharType="end"/>
      </w:r>
    </w:p>
    <w:p w14:paraId="2A98D74F" w14:textId="77777777" w:rsidR="0057565D" w:rsidRPr="00C10C9F" w:rsidRDefault="0057565D" w:rsidP="0057565D">
      <w:pPr>
        <w:rPr>
          <w:vanish/>
        </w:rPr>
      </w:pPr>
      <w:bookmarkStart w:id="3" w:name="Commission"/>
      <w:r w:rsidRPr="00C10C9F">
        <w:rPr>
          <w:vanish/>
        </w:rPr>
        <w:t>Retsudvalget</w:t>
      </w:r>
      <w:bookmarkEnd w:id="3"/>
    </w:p>
    <w:p w14:paraId="4488BEF3" w14:textId="77777777" w:rsidR="0057565D" w:rsidRPr="00C10C9F" w:rsidRDefault="0057565D" w:rsidP="0057565D">
      <w:pPr>
        <w:rPr>
          <w:vanish/>
        </w:rPr>
      </w:pPr>
      <w:bookmarkStart w:id="4" w:name="PE"/>
      <w:r w:rsidRPr="00C10C9F">
        <w:rPr>
          <w:vanish/>
        </w:rPr>
        <w:t>PE770.241</w:t>
      </w:r>
      <w:bookmarkEnd w:id="4"/>
    </w:p>
    <w:p w14:paraId="4D125488" w14:textId="3AAC1D99" w:rsidR="0057565D" w:rsidRPr="00C10C9F" w:rsidRDefault="0057565D" w:rsidP="0057565D">
      <w:pPr>
        <w:pStyle w:val="ATHeading3"/>
      </w:pPr>
      <w:bookmarkStart w:id="5" w:name="Sujet"/>
      <w:r w:rsidRPr="00C10C9F">
        <w:t xml:space="preserve">Europa-Parlamentets afgørelse af </w:t>
      </w:r>
      <w:r w:rsidR="00EA399C">
        <w:t>7</w:t>
      </w:r>
      <w:r w:rsidRPr="00C10C9F">
        <w:t>. oktober 2025 om anmodning om ophævelse af Péter Magyars immunitet</w:t>
      </w:r>
      <w:bookmarkEnd w:id="5"/>
      <w:r w:rsidRPr="00C10C9F">
        <w:t xml:space="preserve"> </w:t>
      </w:r>
      <w:bookmarkStart w:id="6" w:name="References"/>
      <w:r w:rsidRPr="00C10C9F">
        <w:t>(2024/2063(IMM))</w:t>
      </w:r>
      <w:bookmarkEnd w:id="6"/>
    </w:p>
    <w:p w14:paraId="749CC70C" w14:textId="77777777" w:rsidR="00A77D77" w:rsidRPr="00C10C9F" w:rsidRDefault="00A77D77" w:rsidP="00A77D77">
      <w:pPr>
        <w:pStyle w:val="EPComma"/>
      </w:pPr>
      <w:bookmarkStart w:id="7" w:name="TextBodyBegin"/>
      <w:bookmarkEnd w:id="7"/>
      <w:r w:rsidRPr="00C10C9F">
        <w:rPr>
          <w:i/>
        </w:rPr>
        <w:t>Europa-Parlamentet,</w:t>
      </w:r>
    </w:p>
    <w:p w14:paraId="3D8CFFCF" w14:textId="3C624D9F" w:rsidR="00A77D77" w:rsidRPr="00C10C9F" w:rsidRDefault="00A77D77" w:rsidP="00A77D77">
      <w:pPr>
        <w:pStyle w:val="NormalHanging12a"/>
      </w:pPr>
      <w:r w:rsidRPr="00C10C9F">
        <w:t>–</w:t>
      </w:r>
      <w:r w:rsidRPr="00C10C9F">
        <w:tab/>
        <w:t xml:space="preserve">der henviser til anmodning af 26. september 2024 om ophævelse af Péter Magyars immunitet, som er fremsendt af den ungarske </w:t>
      </w:r>
      <w:r w:rsidR="00EA399C">
        <w:t>rigsadvokat</w:t>
      </w:r>
      <w:r w:rsidR="00EA399C" w:rsidRPr="00C10C9F">
        <w:t xml:space="preserve"> </w:t>
      </w:r>
      <w:r w:rsidRPr="00C10C9F">
        <w:t xml:space="preserve">i forbindelse med en straffesag mod </w:t>
      </w:r>
      <w:r w:rsidR="00D476BF">
        <w:t>ham</w:t>
      </w:r>
      <w:r w:rsidRPr="00C10C9F">
        <w:t>, og hvorom der blev givet meddelelse på plenarmødet den 10. oktober 2024,</w:t>
      </w:r>
    </w:p>
    <w:p w14:paraId="653E8A21" w14:textId="77777777" w:rsidR="00A77D77" w:rsidRPr="00C10C9F" w:rsidRDefault="00A77D77" w:rsidP="00A77D77">
      <w:pPr>
        <w:pStyle w:val="NormalHanging12a"/>
        <w:widowControl/>
      </w:pPr>
      <w:r w:rsidRPr="00C10C9F">
        <w:t>–</w:t>
      </w:r>
      <w:r w:rsidRPr="00C10C9F">
        <w:tab/>
        <w:t>der har hørt Péter Magyar den 24. juni 2025, jf. forretningsordenens artikel 9, stk. 6,</w:t>
      </w:r>
    </w:p>
    <w:p w14:paraId="2B45FD57" w14:textId="2248A016" w:rsidR="00A77D77" w:rsidRPr="00C10C9F" w:rsidRDefault="00A77D77" w:rsidP="00A77D77">
      <w:pPr>
        <w:pStyle w:val="NormalHanging12a"/>
        <w:widowControl/>
      </w:pPr>
      <w:r w:rsidRPr="00C10C9F">
        <w:t>–</w:t>
      </w:r>
      <w:r w:rsidRPr="00C10C9F">
        <w:tab/>
        <w:t xml:space="preserve">der henviser til yderligere oplysninger fremsendt af den ungarske </w:t>
      </w:r>
      <w:r w:rsidR="00EA399C">
        <w:t>rigsadvokat</w:t>
      </w:r>
      <w:r w:rsidRPr="00C10C9F">
        <w:t>,</w:t>
      </w:r>
    </w:p>
    <w:p w14:paraId="3714B4EB" w14:textId="77777777" w:rsidR="00A77D77" w:rsidRPr="00C10C9F" w:rsidRDefault="00A77D77" w:rsidP="00A77D77">
      <w:pPr>
        <w:pStyle w:val="NormalHanging12a"/>
        <w:widowControl/>
      </w:pPr>
      <w:r w:rsidRPr="00C10C9F">
        <w:t>–</w:t>
      </w:r>
      <w:r w:rsidRPr="00C10C9F">
        <w:tab/>
        <w:t>der henviser til artikel 8 og 9 i protokol nr. 7 vedrørende Den Europæiske Unions privilegier og immuniteter samt artikel 6, stk. 2, i akten af 20. september 1976 om almindelige direkte valg af medlemmerne af Europa-Parlamentet,</w:t>
      </w:r>
    </w:p>
    <w:p w14:paraId="306D6BB2" w14:textId="77777777" w:rsidR="00A77D77" w:rsidRPr="00C10C9F" w:rsidRDefault="00A77D77" w:rsidP="00A77D77">
      <w:pPr>
        <w:pStyle w:val="NormalHanging12a"/>
        <w:widowControl/>
      </w:pPr>
      <w:r w:rsidRPr="00C10C9F">
        <w:t>–</w:t>
      </w:r>
      <w:r w:rsidRPr="00C10C9F">
        <w:tab/>
        <w:t>der henviser til artikel </w:t>
      </w:r>
      <w:r w:rsidRPr="00C10C9F">
        <w:rPr>
          <w:color w:val="000000"/>
          <w:shd w:val="clear" w:color="auto" w:fill="FFFFFF"/>
        </w:rPr>
        <w:t>4, stk. 2, i den ungarske grundlov</w:t>
      </w:r>
      <w:r w:rsidRPr="00C10C9F">
        <w:t>,</w:t>
      </w:r>
    </w:p>
    <w:p w14:paraId="70C95AB6" w14:textId="77777777" w:rsidR="00A77D77" w:rsidRPr="00C10C9F" w:rsidRDefault="00A77D77" w:rsidP="00A77D77">
      <w:pPr>
        <w:pStyle w:val="NormalHanging12a"/>
        <w:widowControl/>
      </w:pPr>
      <w:r w:rsidRPr="00C10C9F">
        <w:t>–</w:t>
      </w:r>
      <w:r w:rsidRPr="00C10C9F">
        <w:tab/>
        <w:t>der henviser til de domme, som Den Europæiske Unions Domstol har afsagt den 21. oktober 2008, 19. marts 2010, 6. september 2011, 17. januar 2013, 19. december 2019 og 5. juli 2023</w:t>
      </w:r>
      <w:r w:rsidRPr="00C10C9F">
        <w:rPr>
          <w:rStyle w:val="FootnoteReference"/>
          <w:color w:val="000000"/>
        </w:rPr>
        <w:footnoteReference w:id="1"/>
      </w:r>
      <w:r w:rsidRPr="00C10C9F">
        <w:t>,</w:t>
      </w:r>
    </w:p>
    <w:p w14:paraId="77A9EA28" w14:textId="77777777" w:rsidR="00A77D77" w:rsidRPr="00C10C9F" w:rsidRDefault="00A77D77" w:rsidP="00A77D77">
      <w:pPr>
        <w:pStyle w:val="NormalHanging12a"/>
        <w:widowControl/>
      </w:pPr>
      <w:r w:rsidRPr="00C10C9F">
        <w:t>–</w:t>
      </w:r>
      <w:r w:rsidRPr="00C10C9F">
        <w:tab/>
        <w:t>der henviser til forretningsordenens artikel 5, stk. 2, artikel 6, stk. 1, og artikel 9,</w:t>
      </w:r>
    </w:p>
    <w:p w14:paraId="4C88EC0E" w14:textId="77777777" w:rsidR="00A77D77" w:rsidRPr="00C10C9F" w:rsidRDefault="00A77D77" w:rsidP="00A77D77">
      <w:pPr>
        <w:pStyle w:val="NormalHanging12a"/>
        <w:widowControl/>
      </w:pPr>
      <w:r w:rsidRPr="00C10C9F">
        <w:lastRenderedPageBreak/>
        <w:t>–</w:t>
      </w:r>
      <w:r w:rsidRPr="00C10C9F">
        <w:tab/>
        <w:t>der henviser til betænkning fra Retsudvalget (A10-0180/2025),</w:t>
      </w:r>
    </w:p>
    <w:p w14:paraId="3BD4A1BD" w14:textId="76AD3209" w:rsidR="00A77D77" w:rsidRPr="00C10C9F" w:rsidRDefault="00A77D77" w:rsidP="00A77D77">
      <w:pPr>
        <w:pStyle w:val="NormalHanging12a"/>
        <w:widowControl/>
      </w:pPr>
      <w:r w:rsidRPr="00C10C9F">
        <w:t>A.</w:t>
      </w:r>
      <w:r w:rsidRPr="00C10C9F">
        <w:tab/>
        <w:t xml:space="preserve">der henviser til, at den ungarske </w:t>
      </w:r>
      <w:r w:rsidR="00EA399C">
        <w:t>rigsadvokat</w:t>
      </w:r>
      <w:r w:rsidR="00EA399C" w:rsidRPr="00C10C9F">
        <w:t xml:space="preserve"> </w:t>
      </w:r>
      <w:r w:rsidR="00D476BF">
        <w:t xml:space="preserve">den 26. september 2024 </w:t>
      </w:r>
      <w:r w:rsidRPr="00C10C9F">
        <w:t>fremsendt</w:t>
      </w:r>
      <w:r w:rsidR="00D476BF">
        <w:t>e</w:t>
      </w:r>
      <w:r w:rsidRPr="00C10C9F">
        <w:t xml:space="preserve"> en anmodning om ophævelse af immunitet</w:t>
      </w:r>
      <w:r w:rsidR="00D476BF">
        <w:t>en</w:t>
      </w:r>
      <w:r w:rsidRPr="00C10C9F">
        <w:t xml:space="preserve"> for Péter Magyar, medlem af Europa-Parlamentet</w:t>
      </w:r>
      <w:r w:rsidR="00D476BF">
        <w:t xml:space="preserve"> valgt i Ungarn</w:t>
      </w:r>
      <w:r w:rsidRPr="00C10C9F">
        <w:t>, i forbindelse med anklager om et formodet tyveri for en mindre værdi, som skal være begået i strid med § 370, stk. 1, og § 370, stk. 2, litra a), i lov C af 2012 (den ungarske straffelov);</w:t>
      </w:r>
    </w:p>
    <w:p w14:paraId="674DA287" w14:textId="77777777" w:rsidR="00A77D77" w:rsidRPr="00C10C9F" w:rsidRDefault="00A77D77" w:rsidP="00A77D77">
      <w:pPr>
        <w:pStyle w:val="BodyText"/>
        <w:shd w:val="clear" w:color="auto" w:fill="auto"/>
        <w:ind w:left="567" w:hanging="567"/>
        <w:jc w:val="left"/>
      </w:pPr>
      <w:r w:rsidRPr="00C10C9F">
        <w:rPr>
          <w:shd w:val="clear" w:color="auto" w:fill="FFFFFF"/>
        </w:rPr>
        <w:t>B.</w:t>
      </w:r>
      <w:r w:rsidRPr="00C10C9F">
        <w:rPr>
          <w:shd w:val="clear" w:color="auto" w:fill="FFFFFF"/>
        </w:rPr>
        <w:tab/>
      </w:r>
      <w:r w:rsidRPr="00C10C9F">
        <w:t>der henviser til, at det af anmodningen fremgår, at Péter Magyar den 21. juni 2024 var i en klub i Budapest, hvor han blev genkendt af den forurettede part, der optog en video af ham; der henviser til, at det endvidere fremgår af anmodningen, at der opstod et mindre håndgemæng mellem Péter Magyar og den forurettede part, hvorved Péter Magyar trak telefonen ud af den forurettede parts hånd for at stoppe optagelsen, lagde telefonen i sin egen lomme og gik sin vej; der henviser til, at der opstod et andet skænderi mellem de to, som endte med, at de blev smidt ud af klubben af sikkerhedsvagterne; der henviser til, at Péter Magyar på trods af den forurettede parts anmodninger om at aflevere telefonen angiveligt smed den forurettede parts telefon i Donau;</w:t>
      </w:r>
    </w:p>
    <w:p w14:paraId="28611133" w14:textId="77777777" w:rsidR="00A77D77" w:rsidRPr="00C10C9F" w:rsidRDefault="00A77D77" w:rsidP="00A77D77">
      <w:pPr>
        <w:pStyle w:val="NormalHanging12a"/>
        <w:widowControl/>
      </w:pPr>
      <w:r w:rsidRPr="00C10C9F">
        <w:t>C.</w:t>
      </w:r>
      <w:r w:rsidRPr="00C10C9F">
        <w:tab/>
        <w:t>der henviser til, at politidykkere, der blev tilkaldt til stedet, ifølge anmodningen hentede telefonen til en værdi af ca. 130 000-150 000 HUF op fra Donau og afleverede den tilbage til den forurettede part i funktionsdygtig stand;</w:t>
      </w:r>
    </w:p>
    <w:p w14:paraId="2EDDAA8B" w14:textId="77777777" w:rsidR="00A77D77" w:rsidRPr="00C10C9F" w:rsidRDefault="00A77D77" w:rsidP="00A77D77">
      <w:pPr>
        <w:pStyle w:val="NormalHanging12a"/>
        <w:widowControl/>
      </w:pPr>
      <w:r w:rsidRPr="00C10C9F">
        <w:t>D.</w:t>
      </w:r>
      <w:r w:rsidRPr="00C10C9F">
        <w:tab/>
        <w:t>der henviser til, at Péter Magyar blev valgt til Europa-Parlamentet ved valget til Europa-Parlamentet i juni 2024; der henviser til, at resultaterne af valget til Europa-Parlamentet i Ungarn blev bekendtgjort af de ungarske myndigheder den 14. juni 2024 og omfattede Péter Magyar blandt de medlemmer af Europa-Parlamentet, der officielt blev erklæret valgt i Ungarn;</w:t>
      </w:r>
      <w:r w:rsidRPr="00C10C9F">
        <w:rPr>
          <w:shd w:val="clear" w:color="auto" w:fill="FFFFFF"/>
        </w:rPr>
        <w:t xml:space="preserve"> </w:t>
      </w:r>
      <w:r w:rsidRPr="00C10C9F">
        <w:t>der henviser til, at Péter Magyar således var medlem af Europa-Parlamentet på tidspunktet for den formodede lovovertrædelse og de undersøgelser, der blev foretaget af de kompetente myndigheder;</w:t>
      </w:r>
    </w:p>
    <w:p w14:paraId="08E4683F" w14:textId="6214A811" w:rsidR="00A77D77" w:rsidRPr="00C10C9F" w:rsidRDefault="00A77D77" w:rsidP="00A77D77">
      <w:pPr>
        <w:pStyle w:val="NormalHanging12a"/>
        <w:widowControl/>
      </w:pPr>
      <w:r w:rsidRPr="00C10C9F">
        <w:t>E.</w:t>
      </w:r>
      <w:r w:rsidRPr="00C10C9F">
        <w:tab/>
        <w:t>der henviser til, at den formodede lovovertrædelse ikke udgør, og den deraf følgende anmodning om ophævelse af Péter Magyars immunitet ikke vedrører</w:t>
      </w:r>
      <w:r w:rsidR="00EA399C">
        <w:t>,</w:t>
      </w:r>
      <w:r w:rsidRPr="00C10C9F">
        <w:t xml:space="preserve"> en meningstilkendegivelse</w:t>
      </w:r>
      <w:r w:rsidR="00EA399C">
        <w:t xml:space="preserve"> </w:t>
      </w:r>
      <w:r w:rsidRPr="00C10C9F">
        <w:t>eller en stemme</w:t>
      </w:r>
      <w:r w:rsidR="00EA399C">
        <w:t>afgivelse</w:t>
      </w:r>
      <w:r w:rsidRPr="00C10C9F">
        <w:t xml:space="preserve"> under udøvelsen af </w:t>
      </w:r>
      <w:r w:rsidR="00EA399C">
        <w:t xml:space="preserve">hans </w:t>
      </w:r>
      <w:r w:rsidRPr="00C10C9F">
        <w:t>hverv som omhandlet i artikel 8 i protokol nr. 7 vedrørende Den Europæiske Unions privilegier og immuniteter;</w:t>
      </w:r>
    </w:p>
    <w:p w14:paraId="3D7FF2E2" w14:textId="77777777" w:rsidR="00A77D77" w:rsidRPr="00C10C9F" w:rsidRDefault="00A77D77" w:rsidP="00A77D77">
      <w:pPr>
        <w:pStyle w:val="NormalHanging12a"/>
        <w:widowControl/>
      </w:pPr>
      <w:r w:rsidRPr="00C10C9F">
        <w:t>F.</w:t>
      </w:r>
      <w:r w:rsidRPr="00C10C9F">
        <w:tab/>
        <w:t>der henviser til, at Europa-Parlamentets medlemmer i henhold til artikel 9, stk. 1, litra a), i protokol nr. 7 vedrørende Den Europæiske Unions privilegier og immuniteter på deres eget lands område nyder de immuniteter, der tilstås medlemmerne af deres lands lovgivende forsamling;</w:t>
      </w:r>
    </w:p>
    <w:p w14:paraId="70959234" w14:textId="7B4D732A" w:rsidR="00A77D77" w:rsidRPr="00C10C9F" w:rsidRDefault="00A77D77" w:rsidP="00A77D77">
      <w:pPr>
        <w:pStyle w:val="NormalHanging12a"/>
        <w:widowControl/>
      </w:pPr>
      <w:r w:rsidRPr="00C10C9F">
        <w:t>G.</w:t>
      </w:r>
      <w:r w:rsidRPr="00C10C9F">
        <w:tab/>
        <w:t>der henviser til, at det fremgår af artikel 4, stk. 2, i den ungarske grundlov, at medlemmerne af de</w:t>
      </w:r>
      <w:r w:rsidR="00802A27">
        <w:t>n</w:t>
      </w:r>
      <w:r w:rsidRPr="00C10C9F">
        <w:t xml:space="preserve"> ungarske </w:t>
      </w:r>
      <w:r w:rsidR="00802A27">
        <w:t xml:space="preserve">nationalforsamling </w:t>
      </w:r>
      <w:r w:rsidRPr="00C10C9F">
        <w:t>er berettiget til parlamentarisk immunitet;</w:t>
      </w:r>
      <w:r w:rsidRPr="00C10C9F">
        <w:rPr>
          <w:color w:val="000000"/>
          <w:shd w:val="clear" w:color="auto" w:fill="FFFFFF"/>
        </w:rPr>
        <w:t xml:space="preserve"> </w:t>
      </w:r>
      <w:r w:rsidRPr="00C10C9F">
        <w:t xml:space="preserve">der henviser til, at i henhold til § 79, stk. 2, i lov XXXVI af 2012 om nationalforsamlingen nyder en person, der er registreret med endelig og bindende virkning som kandidat, samme immunitet som medlemmerne, indtil valgresultatet bliver endeligt og bindende, og der henviser til, at medlemmerne i henhold til § 79, stk. 1, i samme lov under alle omstændigheder nyder immunitet fra den dag, de bliver valgt; </w:t>
      </w:r>
      <w:r w:rsidRPr="00C10C9F">
        <w:rPr>
          <w:color w:val="000000"/>
          <w:shd w:val="clear" w:color="auto" w:fill="FFFFFF"/>
        </w:rPr>
        <w:t xml:space="preserve">der henviser til, at i henhold til § 74, stk. 1, i lov XXXVI af 2012 om nationalforsamlingen kan der kun indledes eller føres straffesager eller, hvis der ikke gives frivilligt afkald på </w:t>
      </w:r>
      <w:r w:rsidRPr="00C10C9F">
        <w:rPr>
          <w:color w:val="000000"/>
          <w:shd w:val="clear" w:color="auto" w:fill="FFFFFF"/>
        </w:rPr>
        <w:lastRenderedPageBreak/>
        <w:t xml:space="preserve">immuniteten i det konkrete tilfælde, forseelsessager og anvendes </w:t>
      </w:r>
      <w:r w:rsidR="00EA399C">
        <w:rPr>
          <w:color w:val="000000"/>
          <w:shd w:val="clear" w:color="auto" w:fill="FFFFFF"/>
        </w:rPr>
        <w:t xml:space="preserve">strafferetlige </w:t>
      </w:r>
      <w:r w:rsidRPr="00C10C9F">
        <w:rPr>
          <w:color w:val="000000"/>
          <w:shd w:val="clear" w:color="auto" w:fill="FFFFFF"/>
        </w:rPr>
        <w:t xml:space="preserve">tvangsforanstaltninger mod et medlem efter forudgående </w:t>
      </w:r>
      <w:r w:rsidR="00E87CE5">
        <w:rPr>
          <w:color w:val="000000"/>
          <w:shd w:val="clear" w:color="auto" w:fill="FFFFFF"/>
        </w:rPr>
        <w:t>samtykke</w:t>
      </w:r>
      <w:r w:rsidR="00E87CE5" w:rsidRPr="00C10C9F">
        <w:rPr>
          <w:color w:val="000000"/>
          <w:shd w:val="clear" w:color="auto" w:fill="FFFFFF"/>
        </w:rPr>
        <w:t xml:space="preserve"> </w:t>
      </w:r>
      <w:r w:rsidRPr="00C10C9F">
        <w:rPr>
          <w:color w:val="000000"/>
          <w:shd w:val="clear" w:color="auto" w:fill="FFFFFF"/>
        </w:rPr>
        <w:t>fra nationalforsamlingen;</w:t>
      </w:r>
    </w:p>
    <w:p w14:paraId="3516C762" w14:textId="055F380B" w:rsidR="00A77D77" w:rsidRPr="00C10C9F" w:rsidRDefault="00A77D77" w:rsidP="00A77D77">
      <w:pPr>
        <w:pStyle w:val="NormalHanging12a"/>
        <w:widowControl/>
      </w:pPr>
      <w:r w:rsidRPr="00C10C9F">
        <w:t>H.</w:t>
      </w:r>
      <w:r w:rsidRPr="00C10C9F">
        <w:tab/>
        <w:t xml:space="preserve">der henviser til, at </w:t>
      </w:r>
      <w:r w:rsidR="003A4F34" w:rsidRPr="00C10C9F">
        <w:t>parlamentarisk immunitet</w:t>
      </w:r>
      <w:r w:rsidR="003A4F34">
        <w:t xml:space="preserve"> i henhold til</w:t>
      </w:r>
      <w:r w:rsidRPr="00C10C9F">
        <w:t xml:space="preserve"> forretningsordenens artikel 5, stk. </w:t>
      </w:r>
      <w:proofErr w:type="gramStart"/>
      <w:r w:rsidRPr="00C10C9F">
        <w:t>2,  ikke</w:t>
      </w:r>
      <w:proofErr w:type="gramEnd"/>
      <w:r w:rsidRPr="00C10C9F">
        <w:t xml:space="preserve"> er et medlems personlige privilegium, men derimod en garanti for Europa-Parlamentets uafhængighed som helhed og for dets medlemmers uafhængighed;</w:t>
      </w:r>
    </w:p>
    <w:p w14:paraId="45EBC30F" w14:textId="77777777" w:rsidR="00A77D77" w:rsidRPr="00C10C9F" w:rsidRDefault="00A77D77" w:rsidP="00F55B60">
      <w:pPr>
        <w:widowControl/>
        <w:spacing w:after="240"/>
        <w:ind w:left="567" w:hanging="567"/>
      </w:pPr>
      <w:r w:rsidRPr="00C10C9F">
        <w:t>I.</w:t>
      </w:r>
      <w:r w:rsidRPr="00C10C9F">
        <w:tab/>
        <w:t xml:space="preserve">der henviser til, at formålet med immuniteten i protokol nr. 7 vedrørende Den Europæiske Unions privilegier og immuniteter er at beskytte Parlamentet og dets medlemmer mod retsforfølgning i relation til aktiviteter, der udføres under udøvelsen af det parlamentariske hverv, og som ikke kan adskilles fra dette hverv; </w:t>
      </w:r>
    </w:p>
    <w:p w14:paraId="1D54CFF7" w14:textId="77777777" w:rsidR="00A77D77" w:rsidRPr="00C10C9F" w:rsidRDefault="00A77D77" w:rsidP="00A77D77">
      <w:pPr>
        <w:pStyle w:val="NormalHanging12a"/>
      </w:pPr>
      <w:r w:rsidRPr="00C10C9F">
        <w:t>J.</w:t>
      </w:r>
      <w:r w:rsidRPr="00C10C9F">
        <w:tab/>
        <w:t>der henviser til, at det følger af EU-Domstolens retspraksis, at Parlamentet "på grund af den politiske karakter af en beslutning, der træffes, fordi der er anmodet om ophævelse (...) af immuniteten, har et meget vidt skøn med hensyn til, hvad en sådan beslutning skal gå ud på"</w:t>
      </w:r>
      <w:r w:rsidRPr="00C10C9F">
        <w:rPr>
          <w:vertAlign w:val="superscript"/>
        </w:rPr>
        <w:footnoteReference w:id="2"/>
      </w:r>
      <w:r w:rsidRPr="00C10C9F">
        <w:t>;</w:t>
      </w:r>
    </w:p>
    <w:p w14:paraId="59BAFAC4" w14:textId="5FB7DB9B" w:rsidR="00A77D77" w:rsidRPr="00C10C9F" w:rsidRDefault="00A77D77" w:rsidP="00A77D77">
      <w:pPr>
        <w:pStyle w:val="NormalHanging12a"/>
      </w:pPr>
      <w:r w:rsidRPr="00C10C9F">
        <w:t xml:space="preserve">K. </w:t>
      </w:r>
      <w:r w:rsidRPr="00C10C9F">
        <w:tab/>
        <w:t>der henviser til, at Péter Magyar er formand for partiet Tisza (</w:t>
      </w:r>
      <w:proofErr w:type="spellStart"/>
      <w:r w:rsidRPr="00C10C9F">
        <w:t>Tisztelet</w:t>
      </w:r>
      <w:proofErr w:type="spellEnd"/>
      <w:r w:rsidRPr="00C10C9F">
        <w:t xml:space="preserve"> </w:t>
      </w:r>
      <w:proofErr w:type="spellStart"/>
      <w:r w:rsidRPr="00C10C9F">
        <w:t>és</w:t>
      </w:r>
      <w:proofErr w:type="spellEnd"/>
      <w:r w:rsidRPr="00C10C9F">
        <w:t xml:space="preserve"> </w:t>
      </w:r>
      <w:proofErr w:type="spellStart"/>
      <w:r w:rsidRPr="00C10C9F">
        <w:t>Szabadság</w:t>
      </w:r>
      <w:proofErr w:type="spellEnd"/>
      <w:r w:rsidRPr="00C10C9F">
        <w:t xml:space="preserve"> </w:t>
      </w:r>
      <w:proofErr w:type="spellStart"/>
      <w:r w:rsidRPr="00C10C9F">
        <w:t>Párt</w:t>
      </w:r>
      <w:proofErr w:type="spellEnd"/>
      <w:r w:rsidRPr="00C10C9F">
        <w:t xml:space="preserve">) og var dette partis spidskandidat ved valget til Europa-Parlamentet i 2024; der henviser til, at Péter Magyar har været en stærk modstander af den ungarske regerings politikker og holdninger, herunder dem, der vedrører Unionen; der henviser til, at de faktiske omstændigheder, der gav anledning til anmodningen om ophævelse af immuniteten, uoverensstemmelserne i den måde, hvorpå politiets efterforskning blev gennemført, herunder </w:t>
      </w:r>
      <w:r w:rsidR="00EA399C">
        <w:t>den ungarske rigsadvokat</w:t>
      </w:r>
      <w:r w:rsidR="00E87CE5">
        <w:t xml:space="preserve"> </w:t>
      </w:r>
      <w:r w:rsidRPr="00C10C9F">
        <w:t xml:space="preserve">ufuldstændige svar vedrørende proportionaliteten af de foranstaltninger, som myndighederne traf i sagen om Péter Magyar i forhold til lignende situationer med elementer af mindre værdi, og den manglende klarhed i de kompetente myndigheders svar vedrørende den retlige kvalificering af den formodede strafbare handling, som Péter Magyar blev anklaget for, giver anledning til bekymring for, at hensigten med sagen kan have været at skade </w:t>
      </w:r>
      <w:r w:rsidR="00E87CE5" w:rsidRPr="00C10C9F">
        <w:t>Péter Magyar</w:t>
      </w:r>
      <w:r w:rsidR="00E87CE5">
        <w:t>s</w:t>
      </w:r>
      <w:r w:rsidR="00E87CE5" w:rsidRPr="00C10C9F">
        <w:t xml:space="preserve"> </w:t>
      </w:r>
      <w:r w:rsidRPr="00C10C9F">
        <w:t xml:space="preserve">omdømme; </w:t>
      </w:r>
    </w:p>
    <w:p w14:paraId="753313D8" w14:textId="724C1467" w:rsidR="00A77D77" w:rsidRPr="00C10C9F" w:rsidRDefault="00A77D77" w:rsidP="00A77D77">
      <w:pPr>
        <w:pStyle w:val="NormalHanging12a"/>
      </w:pPr>
      <w:r w:rsidRPr="00C10C9F">
        <w:t>L.</w:t>
      </w:r>
      <w:r w:rsidRPr="00C10C9F">
        <w:tab/>
        <w:t xml:space="preserve">der henviser til, at det således lader til, at der i den foreliggende sag foreligger </w:t>
      </w:r>
      <w:proofErr w:type="spellStart"/>
      <w:r w:rsidRPr="00C10C9F">
        <w:t>fumus</w:t>
      </w:r>
      <w:proofErr w:type="spellEnd"/>
      <w:r w:rsidRPr="00C10C9F">
        <w:t xml:space="preserve"> </w:t>
      </w:r>
      <w:proofErr w:type="spellStart"/>
      <w:r w:rsidRPr="00C10C9F">
        <w:t>persecutionis</w:t>
      </w:r>
      <w:proofErr w:type="spellEnd"/>
      <w:r w:rsidRPr="00C10C9F">
        <w:t>, dvs. "faktiske omstændigheder"</w:t>
      </w:r>
      <w:r w:rsidRPr="00C10C9F">
        <w:rPr>
          <w:vertAlign w:val="superscript"/>
        </w:rPr>
        <w:footnoteReference w:id="3"/>
      </w:r>
      <w:r w:rsidRPr="00C10C9F">
        <w:t xml:space="preserve">, der tyder på, at den pågældende retssag er blevet indledt med det formål at undergrave Péter Magyars politiske virke, </w:t>
      </w:r>
      <w:r w:rsidR="00E87CE5">
        <w:t xml:space="preserve">og </w:t>
      </w:r>
      <w:r w:rsidRPr="00C10C9F">
        <w:t>navnlig hans virke som medlem af Europa-Parlamentet;</w:t>
      </w:r>
    </w:p>
    <w:p w14:paraId="438D3782" w14:textId="77777777" w:rsidR="00A77D77" w:rsidRPr="00C10C9F" w:rsidRDefault="00A77D77" w:rsidP="00A77D77">
      <w:pPr>
        <w:pStyle w:val="NormalHanging12a"/>
        <w:widowControl/>
      </w:pPr>
      <w:r w:rsidRPr="00C10C9F">
        <w:t>M.</w:t>
      </w:r>
      <w:r w:rsidRPr="00C10C9F">
        <w:tab/>
        <w:t>der henviser til, at Parlamentet på den ene side ikke kan sidestilles med en domstol, og at medlemmet på den anden side i forbindelse med en procedure om ophævelse af immunitet ikke kan betragtes som en "anklaget"</w:t>
      </w:r>
      <w:r w:rsidRPr="00C10C9F">
        <w:rPr>
          <w:vertAlign w:val="superscript"/>
        </w:rPr>
        <w:footnoteReference w:id="4"/>
      </w:r>
    </w:p>
    <w:p w14:paraId="1B9761C0" w14:textId="77777777" w:rsidR="00A77D77" w:rsidRPr="00C10C9F" w:rsidRDefault="00A77D77" w:rsidP="00A77D77">
      <w:pPr>
        <w:pStyle w:val="NormalHanging12a"/>
      </w:pPr>
      <w:r w:rsidRPr="00C10C9F">
        <w:t>1.</w:t>
      </w:r>
      <w:r w:rsidRPr="00C10C9F">
        <w:tab/>
        <w:t>vedtager ikke at ophæve Péter Magyars immunitet;</w:t>
      </w:r>
    </w:p>
    <w:p w14:paraId="6A99AA5E" w14:textId="1A018CB2" w:rsidR="00E365E1" w:rsidRPr="00C10C9F" w:rsidRDefault="00A77D77" w:rsidP="00021C6D">
      <w:pPr>
        <w:ind w:left="567" w:hanging="567"/>
      </w:pPr>
      <w:r w:rsidRPr="00C10C9F">
        <w:t>2.</w:t>
      </w:r>
      <w:r w:rsidRPr="00C10C9F">
        <w:tab/>
        <w:t>pålægger sin formand straks at sende denne afgørelse og det kompetente udvalgs betænkning til Ungarns kompetente myndigheder og Péter Magyar.</w:t>
      </w:r>
    </w:p>
    <w:sectPr w:rsidR="00E365E1" w:rsidRPr="00C10C9F" w:rsidSect="00C10C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326B6" w14:textId="77777777" w:rsidR="0057565D" w:rsidRPr="00C10C9F" w:rsidRDefault="0057565D">
      <w:r w:rsidRPr="00C10C9F">
        <w:separator/>
      </w:r>
    </w:p>
  </w:endnote>
  <w:endnote w:type="continuationSeparator" w:id="0">
    <w:p w14:paraId="207851CA" w14:textId="77777777" w:rsidR="0057565D" w:rsidRPr="00C10C9F" w:rsidRDefault="0057565D">
      <w:r w:rsidRPr="00C10C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B061C" w14:textId="77777777" w:rsidR="00064002" w:rsidRPr="00C10C9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DC73" w14:textId="77777777" w:rsidR="00064002" w:rsidRPr="00C10C9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A7A9" w14:textId="77777777" w:rsidR="00064002" w:rsidRPr="00C10C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9921A" w14:textId="77777777" w:rsidR="0057565D" w:rsidRPr="00C10C9F" w:rsidRDefault="0057565D">
      <w:r w:rsidRPr="00C10C9F">
        <w:separator/>
      </w:r>
    </w:p>
  </w:footnote>
  <w:footnote w:type="continuationSeparator" w:id="0">
    <w:p w14:paraId="3E29FA00" w14:textId="77777777" w:rsidR="0057565D" w:rsidRPr="00C10C9F" w:rsidRDefault="0057565D">
      <w:r w:rsidRPr="00C10C9F">
        <w:continuationSeparator/>
      </w:r>
    </w:p>
  </w:footnote>
  <w:footnote w:id="1">
    <w:p w14:paraId="7057956A" w14:textId="023AD72B" w:rsidR="00A77D77" w:rsidRPr="00C10C9F" w:rsidRDefault="00A77D77" w:rsidP="00C10C9F">
      <w:pPr>
        <w:pStyle w:val="FootnoteText"/>
        <w:ind w:left="567" w:hanging="567"/>
        <w:rPr>
          <w:sz w:val="24"/>
          <w:lang w:val="da-DK"/>
        </w:rPr>
      </w:pPr>
      <w:r w:rsidRPr="00C10C9F">
        <w:rPr>
          <w:rStyle w:val="FootnoteReference"/>
          <w:sz w:val="24"/>
          <w:szCs w:val="16"/>
          <w:lang w:val="da-DK"/>
        </w:rPr>
        <w:footnoteRef/>
      </w:r>
      <w:r w:rsidR="00C10C9F" w:rsidRPr="00C10C9F">
        <w:rPr>
          <w:sz w:val="24"/>
          <w:lang w:val="da-DK"/>
        </w:rPr>
        <w:t xml:space="preserve"> </w:t>
      </w:r>
      <w:r w:rsidR="00C10C9F" w:rsidRPr="00C10C9F">
        <w:rPr>
          <w:sz w:val="24"/>
          <w:lang w:val="da-DK"/>
        </w:rPr>
        <w:tab/>
      </w:r>
      <w:r w:rsidRPr="00C10C9F">
        <w:rPr>
          <w:sz w:val="24"/>
          <w:lang w:val="da-DK"/>
        </w:rPr>
        <w:t xml:space="preserve">Domstolens dom af 21. oktober 2008, </w:t>
      </w:r>
      <w:proofErr w:type="spellStart"/>
      <w:r w:rsidRPr="00C10C9F">
        <w:rPr>
          <w:sz w:val="24"/>
          <w:lang w:val="da-DK"/>
        </w:rPr>
        <w:t>Marra</w:t>
      </w:r>
      <w:proofErr w:type="spellEnd"/>
      <w:r w:rsidRPr="00C10C9F">
        <w:rPr>
          <w:sz w:val="24"/>
          <w:lang w:val="da-DK"/>
        </w:rPr>
        <w:t xml:space="preserve"> mod De </w:t>
      </w:r>
      <w:proofErr w:type="spellStart"/>
      <w:r w:rsidRPr="00C10C9F">
        <w:rPr>
          <w:sz w:val="24"/>
          <w:lang w:val="da-DK"/>
        </w:rPr>
        <w:t>Gregorio</w:t>
      </w:r>
      <w:proofErr w:type="spellEnd"/>
      <w:r w:rsidRPr="00C10C9F">
        <w:rPr>
          <w:sz w:val="24"/>
          <w:lang w:val="da-DK"/>
        </w:rPr>
        <w:t xml:space="preserve"> og </w:t>
      </w:r>
      <w:proofErr w:type="spellStart"/>
      <w:r w:rsidRPr="00C10C9F">
        <w:rPr>
          <w:sz w:val="24"/>
          <w:lang w:val="da-DK"/>
        </w:rPr>
        <w:t>Clemente</w:t>
      </w:r>
      <w:proofErr w:type="spellEnd"/>
      <w:r w:rsidRPr="00C10C9F">
        <w:rPr>
          <w:sz w:val="24"/>
          <w:lang w:val="da-DK"/>
        </w:rPr>
        <w:t xml:space="preserve">, C-200/07 og C-201/07, ECLI:EU:C:2008:579; Rettens dom af 19. marts 2010, </w:t>
      </w:r>
      <w:proofErr w:type="spellStart"/>
      <w:r w:rsidRPr="00C10C9F">
        <w:rPr>
          <w:sz w:val="24"/>
          <w:lang w:val="da-DK"/>
        </w:rPr>
        <w:t>Gollnisch</w:t>
      </w:r>
      <w:proofErr w:type="spellEnd"/>
      <w:r w:rsidRPr="00C10C9F">
        <w:rPr>
          <w:sz w:val="24"/>
          <w:lang w:val="da-DK"/>
        </w:rPr>
        <w:t xml:space="preserve"> mod Parlamentet, T-42/06, ECLI:EU:T:2010:102; Domstolens dom af 6. september 2011, </w:t>
      </w:r>
      <w:proofErr w:type="spellStart"/>
      <w:r w:rsidRPr="00C10C9F">
        <w:rPr>
          <w:sz w:val="24"/>
          <w:lang w:val="da-DK"/>
        </w:rPr>
        <w:t>Patriciello</w:t>
      </w:r>
      <w:proofErr w:type="spellEnd"/>
      <w:r w:rsidRPr="00C10C9F">
        <w:rPr>
          <w:sz w:val="24"/>
          <w:lang w:val="da-DK"/>
        </w:rPr>
        <w:t xml:space="preserve">, C-163/10, ECLI: EU:C:2011:543; Rettens dom af 17. januar 2013, </w:t>
      </w:r>
      <w:proofErr w:type="spellStart"/>
      <w:r w:rsidRPr="00C10C9F">
        <w:rPr>
          <w:sz w:val="24"/>
          <w:lang w:val="da-DK"/>
        </w:rPr>
        <w:t>Gollnisch</w:t>
      </w:r>
      <w:proofErr w:type="spellEnd"/>
      <w:r w:rsidRPr="00C10C9F">
        <w:rPr>
          <w:sz w:val="24"/>
          <w:lang w:val="da-DK"/>
        </w:rPr>
        <w:t xml:space="preserve"> mod Parlamentet, T-346/11 og T-347/11, ECLI:EU:T:2013:23; Domstolens dom af 19. december 2019, </w:t>
      </w:r>
      <w:proofErr w:type="spellStart"/>
      <w:r w:rsidRPr="00C10C9F">
        <w:rPr>
          <w:sz w:val="24"/>
          <w:lang w:val="da-DK"/>
        </w:rPr>
        <w:t>Junqueras</w:t>
      </w:r>
      <w:proofErr w:type="spellEnd"/>
      <w:r w:rsidRPr="00C10C9F">
        <w:rPr>
          <w:sz w:val="24"/>
          <w:lang w:val="da-DK"/>
        </w:rPr>
        <w:t xml:space="preserve"> Vies, C-502/19, ECLI:EU:C:2019:1115; Rettens dom af 5. juli 2023, </w:t>
      </w:r>
      <w:proofErr w:type="spellStart"/>
      <w:r w:rsidRPr="00C10C9F">
        <w:rPr>
          <w:sz w:val="24"/>
          <w:lang w:val="da-DK"/>
        </w:rPr>
        <w:t>Puigdemont</w:t>
      </w:r>
      <w:proofErr w:type="spellEnd"/>
      <w:r w:rsidRPr="00C10C9F">
        <w:rPr>
          <w:sz w:val="24"/>
          <w:lang w:val="da-DK"/>
        </w:rPr>
        <w:t xml:space="preserve"> i </w:t>
      </w:r>
      <w:proofErr w:type="spellStart"/>
      <w:r w:rsidRPr="00C10C9F">
        <w:rPr>
          <w:sz w:val="24"/>
          <w:lang w:val="da-DK"/>
        </w:rPr>
        <w:t>Casamajó</w:t>
      </w:r>
      <w:proofErr w:type="spellEnd"/>
      <w:r w:rsidRPr="00C10C9F">
        <w:rPr>
          <w:sz w:val="24"/>
          <w:lang w:val="da-DK"/>
        </w:rPr>
        <w:t xml:space="preserve"> m.fl. mod Parlamentet, T-272/21, ECLI:EU:T:2023:373.</w:t>
      </w:r>
    </w:p>
  </w:footnote>
  <w:footnote w:id="2">
    <w:p w14:paraId="6B0C03C8" w14:textId="62D84C19" w:rsidR="00A77D77" w:rsidRPr="00C10C9F" w:rsidRDefault="00A77D77" w:rsidP="00C10C9F">
      <w:pPr>
        <w:pStyle w:val="FootnoteText"/>
        <w:ind w:left="567" w:hanging="567"/>
        <w:rPr>
          <w:sz w:val="24"/>
          <w:lang w:val="da-DK"/>
        </w:rPr>
      </w:pPr>
      <w:r w:rsidRPr="00C10C9F">
        <w:rPr>
          <w:rStyle w:val="FootnoteReference"/>
          <w:sz w:val="24"/>
          <w:lang w:val="da-DK"/>
        </w:rPr>
        <w:footnoteRef/>
      </w:r>
      <w:r w:rsidR="00C10C9F" w:rsidRPr="00C10C9F">
        <w:rPr>
          <w:sz w:val="24"/>
          <w:lang w:val="da-DK"/>
        </w:rPr>
        <w:t xml:space="preserve"> </w:t>
      </w:r>
      <w:r w:rsidR="00C10C9F" w:rsidRPr="00C10C9F">
        <w:rPr>
          <w:sz w:val="24"/>
          <w:lang w:val="da-DK"/>
        </w:rPr>
        <w:tab/>
      </w:r>
      <w:r w:rsidRPr="00C10C9F">
        <w:rPr>
          <w:sz w:val="24"/>
          <w:lang w:val="da-DK"/>
        </w:rPr>
        <w:t xml:space="preserve">Rettens dom af 17. januar 2013, </w:t>
      </w:r>
      <w:proofErr w:type="spellStart"/>
      <w:r w:rsidRPr="00C10C9F">
        <w:rPr>
          <w:sz w:val="24"/>
          <w:lang w:val="da-DK"/>
        </w:rPr>
        <w:t>Gollnisch</w:t>
      </w:r>
      <w:proofErr w:type="spellEnd"/>
      <w:r w:rsidRPr="00C10C9F">
        <w:rPr>
          <w:sz w:val="24"/>
          <w:lang w:val="da-DK"/>
        </w:rPr>
        <w:t xml:space="preserve"> mod Parlamentet, T-346/11 og T-347/11, ECLI:EU:T:2013:23, præmis 59 og den deri nævnte retspraksis.</w:t>
      </w:r>
    </w:p>
  </w:footnote>
  <w:footnote w:id="3">
    <w:p w14:paraId="46FA0EA9" w14:textId="6ADBC3AF" w:rsidR="00A77D77" w:rsidRPr="00C10C9F" w:rsidRDefault="00A77D77" w:rsidP="00C10C9F">
      <w:pPr>
        <w:pStyle w:val="FootnoteText"/>
        <w:ind w:left="567" w:hanging="567"/>
        <w:rPr>
          <w:sz w:val="24"/>
          <w:lang w:val="da-DK"/>
        </w:rPr>
      </w:pPr>
      <w:r w:rsidRPr="00C10C9F">
        <w:rPr>
          <w:rStyle w:val="FootnoteReference"/>
          <w:sz w:val="24"/>
          <w:lang w:val="da-DK"/>
        </w:rPr>
        <w:footnoteRef/>
      </w:r>
      <w:r w:rsidR="00C10C9F" w:rsidRPr="00C10C9F">
        <w:rPr>
          <w:sz w:val="24"/>
          <w:lang w:val="da-DK"/>
        </w:rPr>
        <w:t xml:space="preserve"> </w:t>
      </w:r>
      <w:r w:rsidR="00C10C9F" w:rsidRPr="00C10C9F">
        <w:rPr>
          <w:sz w:val="24"/>
          <w:lang w:val="da-DK"/>
        </w:rPr>
        <w:tab/>
      </w:r>
      <w:r w:rsidRPr="00C10C9F">
        <w:rPr>
          <w:sz w:val="24"/>
          <w:lang w:val="da-DK"/>
        </w:rPr>
        <w:t xml:space="preserve">Domstolens dom af 17. september 2020, </w:t>
      </w:r>
      <w:proofErr w:type="spellStart"/>
      <w:r w:rsidRPr="00C10C9F">
        <w:rPr>
          <w:sz w:val="24"/>
          <w:lang w:val="da-DK"/>
        </w:rPr>
        <w:t>Troszczynski</w:t>
      </w:r>
      <w:proofErr w:type="spellEnd"/>
      <w:r w:rsidRPr="00C10C9F">
        <w:rPr>
          <w:sz w:val="24"/>
          <w:lang w:val="da-DK"/>
        </w:rPr>
        <w:t xml:space="preserve"> mod Parlamentet, C-12/19 P, ECLI:EU:C:2020:725, præmis 26.</w:t>
      </w:r>
    </w:p>
  </w:footnote>
  <w:footnote w:id="4">
    <w:p w14:paraId="02113EBE" w14:textId="69A63F2E" w:rsidR="00A77D77" w:rsidRPr="00C10C9F" w:rsidRDefault="00A77D77" w:rsidP="00C10C9F">
      <w:pPr>
        <w:pStyle w:val="FootnoteText"/>
        <w:ind w:left="567" w:hanging="567"/>
        <w:rPr>
          <w:sz w:val="24"/>
          <w:lang w:val="da-DK"/>
        </w:rPr>
      </w:pPr>
      <w:r w:rsidRPr="00C10C9F">
        <w:rPr>
          <w:rStyle w:val="FootnoteReference"/>
          <w:sz w:val="24"/>
          <w:szCs w:val="16"/>
          <w:lang w:val="da-DK"/>
        </w:rPr>
        <w:footnoteRef/>
      </w:r>
      <w:r w:rsidR="00C10C9F" w:rsidRPr="00C10C9F">
        <w:rPr>
          <w:sz w:val="24"/>
          <w:lang w:val="da-DK"/>
        </w:rPr>
        <w:t xml:space="preserve"> </w:t>
      </w:r>
      <w:r w:rsidR="00C10C9F" w:rsidRPr="00C10C9F">
        <w:rPr>
          <w:sz w:val="24"/>
          <w:lang w:val="da-DK"/>
        </w:rPr>
        <w:tab/>
      </w:r>
      <w:r w:rsidRPr="00C10C9F">
        <w:rPr>
          <w:sz w:val="24"/>
          <w:lang w:val="da-DK"/>
        </w:rPr>
        <w:t xml:space="preserve">Rettens dom af 30. april 2019, </w:t>
      </w:r>
      <w:proofErr w:type="spellStart"/>
      <w:r w:rsidRPr="00C10C9F">
        <w:rPr>
          <w:sz w:val="24"/>
          <w:lang w:val="da-DK"/>
        </w:rPr>
        <w:t>Briois</w:t>
      </w:r>
      <w:proofErr w:type="spellEnd"/>
      <w:r w:rsidRPr="00C10C9F">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3BDF5" w14:textId="77777777" w:rsidR="00064002" w:rsidRPr="00C10C9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F3A1" w14:textId="77777777" w:rsidR="00064002" w:rsidRPr="00C10C9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9ECD0" w14:textId="77777777" w:rsidR="00064002" w:rsidRPr="00C10C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4983585">
    <w:abstractNumId w:val="9"/>
  </w:num>
  <w:num w:numId="2" w16cid:durableId="479539894">
    <w:abstractNumId w:val="9"/>
  </w:num>
  <w:num w:numId="3" w16cid:durableId="1593734082">
    <w:abstractNumId w:val="7"/>
  </w:num>
  <w:num w:numId="4" w16cid:durableId="1107627191">
    <w:abstractNumId w:val="7"/>
  </w:num>
  <w:num w:numId="5" w16cid:durableId="1190338449">
    <w:abstractNumId w:val="6"/>
  </w:num>
  <w:num w:numId="6" w16cid:durableId="111636962">
    <w:abstractNumId w:val="6"/>
  </w:num>
  <w:num w:numId="7" w16cid:durableId="1990863494">
    <w:abstractNumId w:val="5"/>
  </w:num>
  <w:num w:numId="8" w16cid:durableId="1807818129">
    <w:abstractNumId w:val="5"/>
  </w:num>
  <w:num w:numId="9" w16cid:durableId="367222516">
    <w:abstractNumId w:val="4"/>
  </w:num>
  <w:num w:numId="10" w16cid:durableId="600186544">
    <w:abstractNumId w:val="4"/>
  </w:num>
  <w:num w:numId="11" w16cid:durableId="1923247967">
    <w:abstractNumId w:val="8"/>
  </w:num>
  <w:num w:numId="12" w16cid:durableId="1472745380">
    <w:abstractNumId w:val="8"/>
  </w:num>
  <w:num w:numId="13" w16cid:durableId="163403407">
    <w:abstractNumId w:val="3"/>
  </w:num>
  <w:num w:numId="14" w16cid:durableId="357391950">
    <w:abstractNumId w:val="3"/>
  </w:num>
  <w:num w:numId="15" w16cid:durableId="1103037457">
    <w:abstractNumId w:val="2"/>
  </w:num>
  <w:num w:numId="16" w16cid:durableId="1011100325">
    <w:abstractNumId w:val="2"/>
  </w:num>
  <w:num w:numId="17" w16cid:durableId="1399741232">
    <w:abstractNumId w:val="1"/>
  </w:num>
  <w:num w:numId="18" w16cid:durableId="551311191">
    <w:abstractNumId w:val="1"/>
  </w:num>
  <w:num w:numId="19" w16cid:durableId="1791126173">
    <w:abstractNumId w:val="0"/>
  </w:num>
  <w:num w:numId="20" w16cid:durableId="761996067">
    <w:abstractNumId w:val="0"/>
  </w:num>
  <w:num w:numId="21" w16cid:durableId="747387449">
    <w:abstractNumId w:val="9"/>
  </w:num>
  <w:num w:numId="22" w16cid:durableId="1850756023">
    <w:abstractNumId w:val="7"/>
  </w:num>
  <w:num w:numId="23" w16cid:durableId="246766029">
    <w:abstractNumId w:val="6"/>
  </w:num>
  <w:num w:numId="24" w16cid:durableId="1820801538">
    <w:abstractNumId w:val="5"/>
  </w:num>
  <w:num w:numId="25" w16cid:durableId="49350123">
    <w:abstractNumId w:val="4"/>
  </w:num>
  <w:num w:numId="26" w16cid:durableId="904074630">
    <w:abstractNumId w:val="8"/>
  </w:num>
  <w:num w:numId="27" w16cid:durableId="35130939">
    <w:abstractNumId w:val="3"/>
  </w:num>
  <w:num w:numId="28" w16cid:durableId="1716004227">
    <w:abstractNumId w:val="2"/>
  </w:num>
  <w:num w:numId="29" w16cid:durableId="1178810620">
    <w:abstractNumId w:val="1"/>
  </w:num>
  <w:num w:numId="30" w16cid:durableId="694039457">
    <w:abstractNumId w:val="0"/>
  </w:num>
  <w:num w:numId="31" w16cid:durableId="1963150943">
    <w:abstractNumId w:val="9"/>
  </w:num>
  <w:num w:numId="32" w16cid:durableId="543560088">
    <w:abstractNumId w:val="7"/>
  </w:num>
  <w:num w:numId="33" w16cid:durableId="1273047900">
    <w:abstractNumId w:val="6"/>
  </w:num>
  <w:num w:numId="34" w16cid:durableId="1077244009">
    <w:abstractNumId w:val="5"/>
  </w:num>
  <w:num w:numId="35" w16cid:durableId="677002110">
    <w:abstractNumId w:val="4"/>
  </w:num>
  <w:num w:numId="36" w16cid:durableId="2013605662">
    <w:abstractNumId w:val="8"/>
  </w:num>
  <w:num w:numId="37" w16cid:durableId="784811144">
    <w:abstractNumId w:val="3"/>
  </w:num>
  <w:num w:numId="38" w16cid:durableId="1467239666">
    <w:abstractNumId w:val="2"/>
  </w:num>
  <w:num w:numId="39" w16cid:durableId="2039307211">
    <w:abstractNumId w:val="1"/>
  </w:num>
  <w:num w:numId="40" w16cid:durableId="724332986">
    <w:abstractNumId w:val="0"/>
  </w:num>
  <w:num w:numId="41" w16cid:durableId="1328561138">
    <w:abstractNumId w:val="10"/>
  </w:num>
  <w:num w:numId="42" w16cid:durableId="1597134456">
    <w:abstractNumId w:val="10"/>
  </w:num>
  <w:num w:numId="43" w16cid:durableId="2064138125">
    <w:abstractNumId w:val="10"/>
  </w:num>
  <w:num w:numId="44" w16cid:durableId="491988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5"/>
    <w:docVar w:name="dvlangue" w:val="DA"/>
    <w:docVar w:name="dvnumam" w:val="0"/>
    <w:docVar w:name="dvpe" w:val="770.241"/>
    <w:docVar w:name="dvrapporteur" w:val="Ordfører: "/>
    <w:docVar w:name="dvtitre" w:val="Europa-Parlamentets afgørelse af xx. oktober 2025 om anmodning om ophævelse af Péter Magyars immunitet(2024/2063(IMM))"/>
  </w:docVars>
  <w:rsids>
    <w:rsidRoot w:val="0057565D"/>
    <w:rsid w:val="00002272"/>
    <w:rsid w:val="00021C6D"/>
    <w:rsid w:val="00064002"/>
    <w:rsid w:val="000677B9"/>
    <w:rsid w:val="000831BA"/>
    <w:rsid w:val="000A18C1"/>
    <w:rsid w:val="000A42CC"/>
    <w:rsid w:val="000E7DD9"/>
    <w:rsid w:val="0010095E"/>
    <w:rsid w:val="00125B37"/>
    <w:rsid w:val="00167BAD"/>
    <w:rsid w:val="00187494"/>
    <w:rsid w:val="001F32AE"/>
    <w:rsid w:val="002767FF"/>
    <w:rsid w:val="002B18FE"/>
    <w:rsid w:val="002B5493"/>
    <w:rsid w:val="00343214"/>
    <w:rsid w:val="00361C00"/>
    <w:rsid w:val="00395FA1"/>
    <w:rsid w:val="003A4F3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565D"/>
    <w:rsid w:val="005C2568"/>
    <w:rsid w:val="005E2F20"/>
    <w:rsid w:val="005F1B17"/>
    <w:rsid w:val="006037C0"/>
    <w:rsid w:val="006631B6"/>
    <w:rsid w:val="00680577"/>
    <w:rsid w:val="006F74FA"/>
    <w:rsid w:val="00731ADD"/>
    <w:rsid w:val="00734777"/>
    <w:rsid w:val="00747932"/>
    <w:rsid w:val="00751A4A"/>
    <w:rsid w:val="00756632"/>
    <w:rsid w:val="00762C74"/>
    <w:rsid w:val="00783FCA"/>
    <w:rsid w:val="00786EC0"/>
    <w:rsid w:val="007B5430"/>
    <w:rsid w:val="007C06EA"/>
    <w:rsid w:val="007D1690"/>
    <w:rsid w:val="007E22AD"/>
    <w:rsid w:val="00802A27"/>
    <w:rsid w:val="00817416"/>
    <w:rsid w:val="00842779"/>
    <w:rsid w:val="00865F67"/>
    <w:rsid w:val="00881A7B"/>
    <w:rsid w:val="008840E5"/>
    <w:rsid w:val="00887B3E"/>
    <w:rsid w:val="008C2AC6"/>
    <w:rsid w:val="00930C23"/>
    <w:rsid w:val="0093193B"/>
    <w:rsid w:val="009509D8"/>
    <w:rsid w:val="00950B64"/>
    <w:rsid w:val="00981893"/>
    <w:rsid w:val="00A1687D"/>
    <w:rsid w:val="00A350F9"/>
    <w:rsid w:val="00A43E52"/>
    <w:rsid w:val="00A4678D"/>
    <w:rsid w:val="00A778C7"/>
    <w:rsid w:val="00A77D77"/>
    <w:rsid w:val="00AB441E"/>
    <w:rsid w:val="00AB6293"/>
    <w:rsid w:val="00AE0928"/>
    <w:rsid w:val="00AF3B82"/>
    <w:rsid w:val="00B12E95"/>
    <w:rsid w:val="00B22876"/>
    <w:rsid w:val="00B558F0"/>
    <w:rsid w:val="00BD48FE"/>
    <w:rsid w:val="00BD7BD8"/>
    <w:rsid w:val="00BE6ADC"/>
    <w:rsid w:val="00C05BFE"/>
    <w:rsid w:val="00C10C9F"/>
    <w:rsid w:val="00C23CD4"/>
    <w:rsid w:val="00C61C0C"/>
    <w:rsid w:val="00C941CB"/>
    <w:rsid w:val="00CC2357"/>
    <w:rsid w:val="00CD2CBE"/>
    <w:rsid w:val="00CF071A"/>
    <w:rsid w:val="00D058B8"/>
    <w:rsid w:val="00D476BF"/>
    <w:rsid w:val="00D56C11"/>
    <w:rsid w:val="00D834A0"/>
    <w:rsid w:val="00D872DF"/>
    <w:rsid w:val="00D91E21"/>
    <w:rsid w:val="00DA7FCD"/>
    <w:rsid w:val="00E365E1"/>
    <w:rsid w:val="00E820A4"/>
    <w:rsid w:val="00E87CE5"/>
    <w:rsid w:val="00EA399C"/>
    <w:rsid w:val="00EB006A"/>
    <w:rsid w:val="00EB4772"/>
    <w:rsid w:val="00ED169E"/>
    <w:rsid w:val="00ED4235"/>
    <w:rsid w:val="00F04346"/>
    <w:rsid w:val="00F075DC"/>
    <w:rsid w:val="00F149E9"/>
    <w:rsid w:val="00F5134D"/>
    <w:rsid w:val="00F55B6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DEFBF"/>
  <w15:chartTrackingRefBased/>
  <w15:docId w15:val="{71FA7A7A-F8DB-4BA4-9868-B7F8EEF6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77D77"/>
    <w:pPr>
      <w:spacing w:after="240"/>
      <w:ind w:left="567" w:hanging="567"/>
    </w:pPr>
  </w:style>
  <w:style w:type="paragraph" w:customStyle="1" w:styleId="EPComma">
    <w:name w:val="EPComma"/>
    <w:basedOn w:val="Normal"/>
    <w:rsid w:val="00A77D77"/>
    <w:pPr>
      <w:spacing w:before="480" w:after="240"/>
    </w:pPr>
  </w:style>
  <w:style w:type="paragraph" w:styleId="BodyText">
    <w:name w:val="Body Text"/>
    <w:basedOn w:val="Normal"/>
    <w:link w:val="BodyTextChar"/>
    <w:unhideWhenUsed/>
    <w:qFormat/>
    <w:rsid w:val="00A77D77"/>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A77D77"/>
    <w:rPr>
      <w:sz w:val="24"/>
      <w:szCs w:val="24"/>
      <w:shd w:val="clear" w:color="auto" w:fill="FFFFFF"/>
      <w:lang w:val="da-DK" w:eastAsia="hu-HU" w:bidi="hu-HU"/>
    </w:rPr>
  </w:style>
  <w:style w:type="paragraph" w:styleId="Revision">
    <w:name w:val="Revision"/>
    <w:hidden/>
    <w:uiPriority w:val="99"/>
    <w:semiHidden/>
    <w:rsid w:val="00D476B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1145</Words>
  <Characters>6373</Characters>
  <Application>Microsoft Office Word</Application>
  <DocSecurity>0</DocSecurity>
  <Lines>265</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2025-10-07T12:47:00Z</dcterms:created>
  <dcterms:modified xsi:type="dcterms:W3CDTF">2025-10-07T12:47:00Z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P10_TA-PROV(2025)0203_A10-0180_2025_</vt:lpwstr>
  </property>
  <property fmtid="{D5CDD505-2E9C-101B-9397-08002B2CF9AE}" pid="4" name="&lt;Type&gt;">
    <vt:lpwstr>RR</vt:lpwstr>
  </property>
</Properties>
</file>