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4B99" w14:paraId="6B5D1187" w14:textId="77777777" w:rsidTr="0010095E">
        <w:trPr>
          <w:trHeight w:hRule="exact" w:val="1418"/>
        </w:trPr>
        <w:tc>
          <w:tcPr>
            <w:tcW w:w="6804" w:type="dxa"/>
            <w:shd w:val="clear" w:color="auto" w:fill="auto"/>
            <w:vAlign w:val="center"/>
          </w:tcPr>
          <w:p w14:paraId="71F63465" w14:textId="77777777" w:rsidR="00751A4A" w:rsidRPr="00574B99" w:rsidRDefault="00EE1F02" w:rsidP="0010095E">
            <w:pPr>
              <w:pStyle w:val="EPName"/>
            </w:pPr>
            <w:r w:rsidRPr="00574B99">
              <w:t>Euroopan parlamentti</w:t>
            </w:r>
          </w:p>
          <w:p w14:paraId="0D44EA20" w14:textId="77777777" w:rsidR="00751A4A" w:rsidRPr="00574B99" w:rsidRDefault="005F1B17" w:rsidP="005F1B17">
            <w:pPr>
              <w:pStyle w:val="EPTerm"/>
              <w:rPr>
                <w:rStyle w:val="HideTWBExt"/>
                <w:noProof w:val="0"/>
                <w:vanish w:val="0"/>
                <w:color w:val="auto"/>
              </w:rPr>
            </w:pPr>
            <w:r w:rsidRPr="00574B99">
              <w:t>2024</w:t>
            </w:r>
            <w:r w:rsidR="00817416" w:rsidRPr="00574B99">
              <w:t>-202</w:t>
            </w:r>
            <w:r w:rsidRPr="00574B99">
              <w:t>9</w:t>
            </w:r>
          </w:p>
        </w:tc>
        <w:tc>
          <w:tcPr>
            <w:tcW w:w="2268" w:type="dxa"/>
            <w:shd w:val="clear" w:color="auto" w:fill="auto"/>
          </w:tcPr>
          <w:p w14:paraId="27D6829A" w14:textId="77777777" w:rsidR="00751A4A" w:rsidRPr="00574B99" w:rsidRDefault="00187494" w:rsidP="0010095E">
            <w:pPr>
              <w:pStyle w:val="EPLogo"/>
            </w:pPr>
            <w:r w:rsidRPr="00574B99">
              <w:rPr>
                <w:noProof/>
                <w:lang w:eastAsia="ja-JP"/>
              </w:rPr>
              <w:drawing>
                <wp:inline distT="0" distB="0" distL="0" distR="0" wp14:anchorId="2FE40DA1" wp14:editId="5AEB97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766219" w14:textId="77777777" w:rsidR="00D058B8" w:rsidRPr="00574B99" w:rsidRDefault="00D058B8" w:rsidP="004C5D52">
      <w:pPr>
        <w:pStyle w:val="LineTop"/>
      </w:pPr>
    </w:p>
    <w:p w14:paraId="149E553E" w14:textId="77777777" w:rsidR="00680577" w:rsidRPr="00574B99" w:rsidRDefault="00EE1F02" w:rsidP="00680577">
      <w:pPr>
        <w:pStyle w:val="EPBodyTA1"/>
      </w:pPr>
      <w:r w:rsidRPr="00574B99">
        <w:t>HYVÄKSYTYT TEKSTIT</w:t>
      </w:r>
    </w:p>
    <w:p w14:paraId="1938DE41" w14:textId="77777777" w:rsidR="00D058B8" w:rsidRPr="00574B99" w:rsidRDefault="00D058B8" w:rsidP="00D058B8">
      <w:pPr>
        <w:pStyle w:val="LineBottom"/>
      </w:pPr>
    </w:p>
    <w:p w14:paraId="35B315F7" w14:textId="55EB61F0" w:rsidR="00EE1F02" w:rsidRPr="00574B99" w:rsidRDefault="00EE1F02" w:rsidP="00EE1F02">
      <w:pPr>
        <w:pStyle w:val="ATHeading1"/>
      </w:pPr>
      <w:bookmarkStart w:id="0" w:name="TANumber"/>
      <w:r w:rsidRPr="00574B99">
        <w:t>P10_TA(2025)0</w:t>
      </w:r>
      <w:bookmarkEnd w:id="0"/>
      <w:r w:rsidR="00574B99" w:rsidRPr="00574B99">
        <w:t>203</w:t>
      </w:r>
    </w:p>
    <w:p w14:paraId="325E80F8" w14:textId="77777777" w:rsidR="00EE1F02" w:rsidRPr="00574B99" w:rsidRDefault="00EE1F02" w:rsidP="00EE1F02">
      <w:pPr>
        <w:pStyle w:val="ATHeading2"/>
      </w:pPr>
      <w:bookmarkStart w:id="1" w:name="title"/>
      <w:proofErr w:type="spellStart"/>
      <w:r w:rsidRPr="00574B99">
        <w:t>Péter</w:t>
      </w:r>
      <w:proofErr w:type="spellEnd"/>
      <w:r w:rsidRPr="00574B99">
        <w:t xml:space="preserve"> </w:t>
      </w:r>
      <w:proofErr w:type="spellStart"/>
      <w:r w:rsidRPr="00574B99">
        <w:t>Magyarin</w:t>
      </w:r>
      <w:proofErr w:type="spellEnd"/>
      <w:r w:rsidRPr="00574B99">
        <w:t xml:space="preserve"> koskemattomuuden pidättämistä koskeva pyyntö</w:t>
      </w:r>
      <w:bookmarkEnd w:id="1"/>
    </w:p>
    <w:p w14:paraId="6E867492" w14:textId="77777777" w:rsidR="00EE1F02" w:rsidRPr="00574B99" w:rsidRDefault="00EE1F02" w:rsidP="00EE1F02">
      <w:pPr>
        <w:rPr>
          <w:i/>
          <w:vanish/>
        </w:rPr>
      </w:pPr>
      <w:r w:rsidRPr="00574B99">
        <w:rPr>
          <w:i/>
        </w:rPr>
        <w:fldChar w:fldCharType="begin"/>
      </w:r>
      <w:r w:rsidRPr="00574B99">
        <w:rPr>
          <w:i/>
        </w:rPr>
        <w:instrText xml:space="preserve"> TC"(</w:instrText>
      </w:r>
      <w:bookmarkStart w:id="2" w:name="DocNumber"/>
      <w:r w:rsidRPr="00574B99">
        <w:rPr>
          <w:i/>
        </w:rPr>
        <w:instrText>A10-0180/2025</w:instrText>
      </w:r>
      <w:bookmarkEnd w:id="2"/>
      <w:r w:rsidRPr="00574B99">
        <w:rPr>
          <w:i/>
        </w:rPr>
        <w:instrText xml:space="preserve"> - Esittelijä: Krzysztof Śmiszek)"\l3 \n&gt; \* MERGEFORMAT </w:instrText>
      </w:r>
      <w:r w:rsidRPr="00574B99">
        <w:rPr>
          <w:i/>
        </w:rPr>
        <w:fldChar w:fldCharType="end"/>
      </w:r>
    </w:p>
    <w:p w14:paraId="3732F402" w14:textId="77777777" w:rsidR="00EE1F02" w:rsidRPr="00574B99" w:rsidRDefault="00EE1F02" w:rsidP="00EE1F02">
      <w:pPr>
        <w:rPr>
          <w:vanish/>
        </w:rPr>
      </w:pPr>
      <w:bookmarkStart w:id="3" w:name="Commission"/>
      <w:r w:rsidRPr="00574B99">
        <w:rPr>
          <w:vanish/>
        </w:rPr>
        <w:t>Oikeudellisten asioiden valiokunta</w:t>
      </w:r>
      <w:bookmarkEnd w:id="3"/>
    </w:p>
    <w:p w14:paraId="38C7CB04" w14:textId="77777777" w:rsidR="00EE1F02" w:rsidRPr="00574B99" w:rsidRDefault="00EE1F02" w:rsidP="00EE1F02">
      <w:pPr>
        <w:rPr>
          <w:vanish/>
        </w:rPr>
      </w:pPr>
      <w:bookmarkStart w:id="4" w:name="PE"/>
      <w:r w:rsidRPr="00574B99">
        <w:rPr>
          <w:vanish/>
        </w:rPr>
        <w:t>PE770.241</w:t>
      </w:r>
      <w:bookmarkEnd w:id="4"/>
    </w:p>
    <w:p w14:paraId="63C42D92" w14:textId="6B3EAEDD" w:rsidR="00EE1F02" w:rsidRPr="00574B99" w:rsidRDefault="00EE1F02" w:rsidP="00EE1F02">
      <w:pPr>
        <w:pStyle w:val="ATHeading3"/>
      </w:pPr>
      <w:bookmarkStart w:id="5" w:name="Sujet"/>
      <w:r w:rsidRPr="00574B99">
        <w:t xml:space="preserve">Euroopan parlamentin päätös </w:t>
      </w:r>
      <w:r w:rsidR="00DA2196" w:rsidRPr="00574B99">
        <w:t>7</w:t>
      </w:r>
      <w:r w:rsidRPr="00574B99">
        <w:t xml:space="preserve">. lokakuuta 2025 </w:t>
      </w:r>
      <w:proofErr w:type="spellStart"/>
      <w:r w:rsidRPr="00574B99">
        <w:t>Péter</w:t>
      </w:r>
      <w:proofErr w:type="spellEnd"/>
      <w:r w:rsidRPr="00574B99">
        <w:t xml:space="preserve"> </w:t>
      </w:r>
      <w:proofErr w:type="spellStart"/>
      <w:r w:rsidRPr="00574B99">
        <w:t>Magyarin</w:t>
      </w:r>
      <w:proofErr w:type="spellEnd"/>
      <w:r w:rsidRPr="00574B99">
        <w:t xml:space="preserve"> koskemattomuuden pidättämistä koskevasta pyynnöstä</w:t>
      </w:r>
      <w:bookmarkEnd w:id="5"/>
      <w:r w:rsidRPr="00574B99">
        <w:t xml:space="preserve"> </w:t>
      </w:r>
      <w:bookmarkStart w:id="6" w:name="References"/>
      <w:r w:rsidRPr="00574B99">
        <w:t>(2024/2063(IMM))</w:t>
      </w:r>
      <w:bookmarkEnd w:id="6"/>
    </w:p>
    <w:p w14:paraId="21991438" w14:textId="77777777" w:rsidR="00780B34" w:rsidRPr="00574B99" w:rsidRDefault="00780B34" w:rsidP="00780B34">
      <w:pPr>
        <w:pStyle w:val="EPComma"/>
      </w:pPr>
      <w:bookmarkStart w:id="7" w:name="TextBodyBegin"/>
      <w:bookmarkEnd w:id="7"/>
      <w:r w:rsidRPr="00574B99">
        <w:rPr>
          <w:i/>
          <w:iCs/>
        </w:rPr>
        <w:t>Euroopan parlamentti</w:t>
      </w:r>
      <w:r w:rsidRPr="00574B99">
        <w:t>, joka</w:t>
      </w:r>
    </w:p>
    <w:p w14:paraId="08A96111" w14:textId="1D8307ED" w:rsidR="00780B34" w:rsidRPr="00574B99" w:rsidRDefault="00780B34" w:rsidP="00780B34">
      <w:pPr>
        <w:pStyle w:val="NormalHanging12a"/>
      </w:pPr>
      <w:r w:rsidRPr="00574B99">
        <w:t>–</w:t>
      </w:r>
      <w:r w:rsidRPr="00574B99">
        <w:tab/>
        <w:t xml:space="preserve">ottaa huomioon </w:t>
      </w:r>
      <w:proofErr w:type="spellStart"/>
      <w:r w:rsidRPr="00574B99">
        <w:t>Péter</w:t>
      </w:r>
      <w:proofErr w:type="spellEnd"/>
      <w:r w:rsidRPr="00574B99">
        <w:t xml:space="preserve"> </w:t>
      </w:r>
      <w:proofErr w:type="spellStart"/>
      <w:r w:rsidRPr="00574B99">
        <w:t>Magyarin</w:t>
      </w:r>
      <w:proofErr w:type="spellEnd"/>
      <w:r w:rsidRPr="00574B99">
        <w:t xml:space="preserve"> koskemattomuuden pidättämistä koskevan pyynnön, jonka toimitti 26. syyskuuta 2024 Unkarin yleinen syyttäjä </w:t>
      </w:r>
      <w:r w:rsidR="00DA2196" w:rsidRPr="00574B99">
        <w:t>tätä</w:t>
      </w:r>
      <w:r w:rsidRPr="00574B99">
        <w:t xml:space="preserve"> vastaan vireillä olevassa rikosasiassa ja josta ilmoitettiin </w:t>
      </w:r>
      <w:r w:rsidR="00DA2196" w:rsidRPr="00574B99">
        <w:t xml:space="preserve">parlamentissa </w:t>
      </w:r>
      <w:r w:rsidRPr="00574B99">
        <w:t>10. lokakuuta 2024,</w:t>
      </w:r>
    </w:p>
    <w:p w14:paraId="64FD8FE8" w14:textId="77777777" w:rsidR="00780B34" w:rsidRPr="00574B99" w:rsidRDefault="00780B34" w:rsidP="00780B34">
      <w:pPr>
        <w:pStyle w:val="NormalHanging12a"/>
        <w:widowControl/>
      </w:pPr>
      <w:r w:rsidRPr="00574B99">
        <w:t>–</w:t>
      </w:r>
      <w:r w:rsidRPr="00574B99">
        <w:tab/>
        <w:t xml:space="preserve">on kuullut </w:t>
      </w:r>
      <w:proofErr w:type="spellStart"/>
      <w:r w:rsidRPr="00574B99">
        <w:t>Péter</w:t>
      </w:r>
      <w:proofErr w:type="spellEnd"/>
      <w:r w:rsidRPr="00574B99">
        <w:t xml:space="preserve"> </w:t>
      </w:r>
      <w:proofErr w:type="spellStart"/>
      <w:r w:rsidRPr="00574B99">
        <w:t>Magyaria</w:t>
      </w:r>
      <w:proofErr w:type="spellEnd"/>
      <w:r w:rsidRPr="00574B99">
        <w:t xml:space="preserve"> 24. kesäkuuta 2025 työjärjestyksen 9 artiklan 6 kohdan mukaisesti,</w:t>
      </w:r>
    </w:p>
    <w:p w14:paraId="6E86A31A" w14:textId="77777777" w:rsidR="00780B34" w:rsidRPr="00574B99" w:rsidRDefault="00780B34" w:rsidP="00780B34">
      <w:pPr>
        <w:pStyle w:val="NormalHanging12a"/>
        <w:widowControl/>
      </w:pPr>
      <w:r w:rsidRPr="00574B99">
        <w:t>–</w:t>
      </w:r>
      <w:r w:rsidRPr="00574B99">
        <w:tab/>
        <w:t>ottaa huomioon Unkarin yleisen syyttäjän toimittamat lisätiedot,</w:t>
      </w:r>
    </w:p>
    <w:p w14:paraId="3E2C04E5" w14:textId="77777777" w:rsidR="00780B34" w:rsidRPr="00574B99" w:rsidRDefault="00780B34" w:rsidP="00780B34">
      <w:pPr>
        <w:pStyle w:val="NormalHanging12a"/>
        <w:widowControl/>
      </w:pPr>
      <w:r w:rsidRPr="00574B99">
        <w:t>–</w:t>
      </w:r>
      <w:r w:rsidRPr="00574B99">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39C4A720" w14:textId="77777777" w:rsidR="00780B34" w:rsidRPr="00574B99" w:rsidRDefault="00780B34" w:rsidP="00780B34">
      <w:pPr>
        <w:pStyle w:val="NormalHanging12a"/>
        <w:widowControl/>
      </w:pPr>
      <w:r w:rsidRPr="00574B99">
        <w:t>–</w:t>
      </w:r>
      <w:r w:rsidRPr="00574B99">
        <w:tab/>
        <w:t xml:space="preserve">ottaa huomioon </w:t>
      </w:r>
      <w:r w:rsidRPr="00574B99">
        <w:rPr>
          <w:color w:val="000000"/>
          <w:shd w:val="clear" w:color="auto" w:fill="FFFFFF"/>
        </w:rPr>
        <w:t>Unkarin perustuslain 4 pykälän 2 momentin</w:t>
      </w:r>
      <w:r w:rsidRPr="00574B99">
        <w:t>,</w:t>
      </w:r>
    </w:p>
    <w:p w14:paraId="484C399C" w14:textId="77777777" w:rsidR="00780B34" w:rsidRPr="00574B99" w:rsidRDefault="00780B34" w:rsidP="00780B34">
      <w:pPr>
        <w:pStyle w:val="NormalHanging12a"/>
        <w:widowControl/>
      </w:pPr>
      <w:r w:rsidRPr="00574B99">
        <w:t>–</w:t>
      </w:r>
      <w:r w:rsidRPr="00574B99">
        <w:tab/>
        <w:t>ottaa huomioon Euroopan unionin tuomioistuimen 21. lokakuuta 2008, 19. maaliskuuta 2010, 6. syyskuuta 2011, 17. tammikuuta 2013, 19. joulukuuta 2019 ja 5. heinäkuuta 2023 antamat tuomiot</w:t>
      </w:r>
      <w:r w:rsidRPr="00574B99">
        <w:rPr>
          <w:rStyle w:val="FootnoteReference"/>
          <w:color w:val="000000"/>
        </w:rPr>
        <w:footnoteReference w:id="1"/>
      </w:r>
      <w:r w:rsidRPr="00574B99">
        <w:t>,</w:t>
      </w:r>
    </w:p>
    <w:p w14:paraId="2F4AFE59" w14:textId="77777777" w:rsidR="00780B34" w:rsidRPr="00574B99" w:rsidRDefault="00780B34" w:rsidP="00780B34">
      <w:pPr>
        <w:pStyle w:val="NormalHanging12a"/>
        <w:widowControl/>
      </w:pPr>
      <w:r w:rsidRPr="00574B99">
        <w:t>–</w:t>
      </w:r>
      <w:r w:rsidRPr="00574B99">
        <w:tab/>
        <w:t>ottaa huomioon työjärjestyksen 5 artiklan 2 kohdan, 6 artiklan 1 kohdan ja 9 artiklan,</w:t>
      </w:r>
    </w:p>
    <w:p w14:paraId="6B0C6CA7" w14:textId="77777777" w:rsidR="00780B34" w:rsidRPr="00574B99" w:rsidRDefault="00780B34" w:rsidP="00780B34">
      <w:pPr>
        <w:pStyle w:val="NormalHanging12a"/>
        <w:widowControl/>
      </w:pPr>
      <w:r w:rsidRPr="00574B99">
        <w:t>–</w:t>
      </w:r>
      <w:r w:rsidRPr="00574B99">
        <w:tab/>
        <w:t>ottaa huomioon oikeudellisten asioiden valiokunnan mietinnön (A10-0180/2025),</w:t>
      </w:r>
    </w:p>
    <w:p w14:paraId="56B13814" w14:textId="1637A452" w:rsidR="00780B34" w:rsidRPr="00574B99" w:rsidRDefault="00780B34" w:rsidP="00780B34">
      <w:pPr>
        <w:pStyle w:val="NormalHanging12a"/>
        <w:widowControl/>
      </w:pPr>
      <w:r w:rsidRPr="00574B99">
        <w:t>A.</w:t>
      </w:r>
      <w:r w:rsidRPr="00574B99">
        <w:tab/>
        <w:t xml:space="preserve">ottaa huomioon, että </w:t>
      </w:r>
      <w:r w:rsidR="003E0E21" w:rsidRPr="00574B99">
        <w:t xml:space="preserve">26. syyskuuta 2024 </w:t>
      </w:r>
      <w:r w:rsidRPr="00574B99">
        <w:t xml:space="preserve">Unkarin yleinen syyttäjä </w:t>
      </w:r>
      <w:r w:rsidR="00DA2196" w:rsidRPr="00574B99">
        <w:t xml:space="preserve">toimitti </w:t>
      </w:r>
      <w:r w:rsidR="008D474C" w:rsidRPr="00574B99">
        <w:t>Unkaris</w:t>
      </w:r>
      <w:r w:rsidR="00D55384" w:rsidRPr="00574B99">
        <w:t>ta</w:t>
      </w:r>
      <w:r w:rsidR="008D474C" w:rsidRPr="00574B99">
        <w:t xml:space="preserve"> valitun </w:t>
      </w:r>
      <w:r w:rsidRPr="00574B99">
        <w:t xml:space="preserve">Euroopan parlamentin jäsenen </w:t>
      </w:r>
      <w:proofErr w:type="spellStart"/>
      <w:r w:rsidRPr="00574B99">
        <w:t>Péter</w:t>
      </w:r>
      <w:proofErr w:type="spellEnd"/>
      <w:r w:rsidRPr="00574B99">
        <w:t xml:space="preserve"> </w:t>
      </w:r>
      <w:proofErr w:type="spellStart"/>
      <w:r w:rsidRPr="00574B99">
        <w:t>Magyarin</w:t>
      </w:r>
      <w:proofErr w:type="spellEnd"/>
      <w:r w:rsidRPr="00574B99">
        <w:t xml:space="preserve"> koskemattomuuden pidättämistä koskevan pyynnön, joka liittyy vuoden 2012 lain C (Unkarin rikoslaki) 370 pykälän </w:t>
      </w:r>
      <w:r w:rsidRPr="00574B99">
        <w:lastRenderedPageBreak/>
        <w:t>1 momentin ja 370 pykälän 2 momentin a kohdan mukaiseen väitettyyn näpistysrikkomukseen;</w:t>
      </w:r>
    </w:p>
    <w:p w14:paraId="67C14961" w14:textId="77777777" w:rsidR="00780B34" w:rsidRPr="00574B99" w:rsidRDefault="00780B34" w:rsidP="00780B34">
      <w:pPr>
        <w:pStyle w:val="BodyText"/>
        <w:widowControl/>
        <w:shd w:val="clear" w:color="auto" w:fill="auto"/>
        <w:ind w:left="567" w:hanging="567"/>
        <w:jc w:val="left"/>
      </w:pPr>
      <w:r w:rsidRPr="00574B99">
        <w:rPr>
          <w:shd w:val="clear" w:color="auto" w:fill="FFFFFF"/>
        </w:rPr>
        <w:t>B.</w:t>
      </w:r>
      <w:r w:rsidRPr="00574B99">
        <w:rPr>
          <w:shd w:val="clear" w:color="auto" w:fill="FFFFFF"/>
        </w:rPr>
        <w:tab/>
      </w:r>
      <w:r w:rsidRPr="00574B99">
        <w:t xml:space="preserve">ottaa huomioon, että pyynnössä todetaan, että </w:t>
      </w:r>
      <w:proofErr w:type="spellStart"/>
      <w:r w:rsidRPr="00574B99">
        <w:t>Péter</w:t>
      </w:r>
      <w:proofErr w:type="spellEnd"/>
      <w:r w:rsidRPr="00574B99">
        <w:t xml:space="preserve"> </w:t>
      </w:r>
      <w:proofErr w:type="spellStart"/>
      <w:r w:rsidRPr="00574B99">
        <w:t>Magyar</w:t>
      </w:r>
      <w:proofErr w:type="spellEnd"/>
      <w:r w:rsidRPr="00574B99">
        <w:t xml:space="preserve"> oli 21. kesäkuuta 2024 Budapestissa sijaitsevalla klubilla, missä vahinkoa kärsinyt osapuoli tunnisti hänet ja kuvasi hänestä videon; ottaa huomioon, että pyynnössä todetaan lisäksi, että </w:t>
      </w:r>
      <w:proofErr w:type="spellStart"/>
      <w:r w:rsidRPr="00574B99">
        <w:t>Péter</w:t>
      </w:r>
      <w:proofErr w:type="spellEnd"/>
      <w:r w:rsidRPr="00574B99">
        <w:t xml:space="preserve"> </w:t>
      </w:r>
      <w:proofErr w:type="spellStart"/>
      <w:r w:rsidRPr="00574B99">
        <w:t>Magyarin</w:t>
      </w:r>
      <w:proofErr w:type="spellEnd"/>
      <w:r w:rsidRPr="00574B99">
        <w:t xml:space="preserve"> ja vahinkoa kärsineen osapuolen välillä syntyi kärhämä, jonka aikana </w:t>
      </w:r>
      <w:proofErr w:type="spellStart"/>
      <w:r w:rsidRPr="00574B99">
        <w:t>Magyar</w:t>
      </w:r>
      <w:proofErr w:type="spellEnd"/>
      <w:r w:rsidRPr="00574B99">
        <w:t xml:space="preserve"> tempaisi puhelimen pois vahinkoa kärsineen osapuolen kädestä pysäyttääkseen videon kuvauksen, pisti puhelimen omaan taskuunsa ja käveli matkoihinsa; ottaa huomioon, että asianosaisten välillä syntyi toinen kiista, joka päättyi siihen, että vartijat poistivat heidät klubilta; ottaa huomioon, että vaikka vahinkoa kärsinyt osapuoli pyysi </w:t>
      </w:r>
      <w:proofErr w:type="spellStart"/>
      <w:r w:rsidRPr="00574B99">
        <w:t>Péter</w:t>
      </w:r>
      <w:proofErr w:type="spellEnd"/>
      <w:r w:rsidRPr="00574B99">
        <w:t xml:space="preserve"> </w:t>
      </w:r>
      <w:proofErr w:type="spellStart"/>
      <w:r w:rsidRPr="00574B99">
        <w:t>Magyaria</w:t>
      </w:r>
      <w:proofErr w:type="spellEnd"/>
      <w:r w:rsidRPr="00574B99">
        <w:t xml:space="preserve"> antamaan puhelimen takaisin, tämä väitetysti pudotti sen </w:t>
      </w:r>
      <w:proofErr w:type="spellStart"/>
      <w:r w:rsidRPr="00574B99">
        <w:t>Tonavajokeen</w:t>
      </w:r>
      <w:proofErr w:type="spellEnd"/>
      <w:r w:rsidRPr="00574B99">
        <w:t>;</w:t>
      </w:r>
    </w:p>
    <w:p w14:paraId="7D290093" w14:textId="77777777" w:rsidR="00780B34" w:rsidRPr="00574B99" w:rsidRDefault="00780B34" w:rsidP="00780B34">
      <w:pPr>
        <w:pStyle w:val="NormalHanging12a"/>
        <w:widowControl/>
      </w:pPr>
      <w:r w:rsidRPr="00574B99">
        <w:t>C.</w:t>
      </w:r>
      <w:r w:rsidRPr="00574B99">
        <w:tab/>
        <w:t>ottaa huomioon, että pyynnön mukaan paikalle hälytetyt poliisin sukeltajat löysivät 130 000–150 000 Unkarin forintin arvoisen puhelimen Tonavasta ja palauttivat sen vahinkoa kärsineelle osapuolelle toimintakunnossa;</w:t>
      </w:r>
    </w:p>
    <w:p w14:paraId="29080EA6" w14:textId="77777777" w:rsidR="00780B34" w:rsidRPr="00574B99" w:rsidRDefault="00780B34" w:rsidP="00780B34">
      <w:pPr>
        <w:pStyle w:val="NormalHanging12a"/>
        <w:widowControl/>
      </w:pPr>
      <w:r w:rsidRPr="00574B99">
        <w:t>D.</w:t>
      </w:r>
      <w:r w:rsidRPr="00574B99">
        <w:tab/>
      </w:r>
      <w:r w:rsidRPr="00574B99">
        <w:rPr>
          <w:shd w:val="clear" w:color="auto" w:fill="FFFFFF"/>
        </w:rPr>
        <w:t>ottaa huomioon</w:t>
      </w:r>
      <w:r w:rsidRPr="00574B99">
        <w:t xml:space="preserve">, että </w:t>
      </w:r>
      <w:proofErr w:type="spellStart"/>
      <w:r w:rsidRPr="00574B99">
        <w:t>Péter</w:t>
      </w:r>
      <w:proofErr w:type="spellEnd"/>
      <w:r w:rsidRPr="00574B99">
        <w:t xml:space="preserve"> </w:t>
      </w:r>
      <w:proofErr w:type="spellStart"/>
      <w:r w:rsidRPr="00574B99">
        <w:t>Magyar</w:t>
      </w:r>
      <w:proofErr w:type="spellEnd"/>
      <w:r w:rsidRPr="00574B99">
        <w:t xml:space="preserve"> </w:t>
      </w:r>
      <w:r w:rsidRPr="00574B99">
        <w:rPr>
          <w:shd w:val="clear" w:color="auto" w:fill="FFFFFF"/>
        </w:rPr>
        <w:t>valittiin Euroopan parlamenttiin kesäkuussa 2024 pidetyissä EU-vaaleissa</w:t>
      </w:r>
      <w:r w:rsidRPr="00574B99">
        <w:t xml:space="preserve">; ottaa huomioon, </w:t>
      </w:r>
      <w:r w:rsidRPr="00574B99">
        <w:rPr>
          <w:shd w:val="clear" w:color="auto" w:fill="FFFFFF"/>
        </w:rPr>
        <w:t>että Unkarin viranomaiset julistivat Unkarin EU-vaalien tulokset 14. kesäkuuta 2024 ja</w:t>
      </w:r>
      <w:r w:rsidRPr="00574B99">
        <w:t xml:space="preserve"> </w:t>
      </w:r>
      <w:proofErr w:type="spellStart"/>
      <w:r w:rsidRPr="00574B99">
        <w:t>Péter</w:t>
      </w:r>
      <w:proofErr w:type="spellEnd"/>
      <w:r w:rsidRPr="00574B99">
        <w:t xml:space="preserve"> </w:t>
      </w:r>
      <w:proofErr w:type="spellStart"/>
      <w:r w:rsidRPr="00574B99">
        <w:t>Magyar</w:t>
      </w:r>
      <w:proofErr w:type="spellEnd"/>
      <w:r w:rsidRPr="00574B99">
        <w:t xml:space="preserve"> </w:t>
      </w:r>
      <w:r w:rsidRPr="00574B99">
        <w:rPr>
          <w:shd w:val="clear" w:color="auto" w:fill="FFFFFF"/>
        </w:rPr>
        <w:t>oli Unkarissa virallisesti valituiksi julistettujen Euroopan parlamentin jäsenten joukossa</w:t>
      </w:r>
      <w:r w:rsidRPr="00574B99">
        <w:t>;</w:t>
      </w:r>
      <w:r w:rsidRPr="00574B99">
        <w:rPr>
          <w:shd w:val="clear" w:color="auto" w:fill="FFFFFF"/>
        </w:rPr>
        <w:t xml:space="preserve"> </w:t>
      </w:r>
      <w:r w:rsidRPr="00574B99">
        <w:t xml:space="preserve">toteaa, että näin ollen </w:t>
      </w:r>
      <w:proofErr w:type="spellStart"/>
      <w:r w:rsidRPr="00574B99">
        <w:t>Péter</w:t>
      </w:r>
      <w:proofErr w:type="spellEnd"/>
      <w:r w:rsidRPr="00574B99">
        <w:t xml:space="preserve"> </w:t>
      </w:r>
      <w:proofErr w:type="spellStart"/>
      <w:r w:rsidRPr="00574B99">
        <w:t>Magyar</w:t>
      </w:r>
      <w:proofErr w:type="spellEnd"/>
      <w:r w:rsidRPr="00574B99">
        <w:t xml:space="preserve"> oli Euroopan parlamentin jäsen väitetyn rikoksen tekohetkellä ja toimivaltaisten viranomaisten suorittamien tutkimusten aikaan;</w:t>
      </w:r>
    </w:p>
    <w:p w14:paraId="3526CAE6" w14:textId="77777777" w:rsidR="00780B34" w:rsidRPr="00574B99" w:rsidRDefault="00780B34" w:rsidP="00780B34">
      <w:pPr>
        <w:pStyle w:val="NormalHanging12a"/>
        <w:widowControl/>
      </w:pPr>
      <w:r w:rsidRPr="00574B99">
        <w:t>E.</w:t>
      </w:r>
      <w:r w:rsidRPr="00574B99">
        <w:tab/>
        <w:t xml:space="preserve">ottaa huomioon, että väitetty rikos ja sen seurauksena esitetty </w:t>
      </w:r>
      <w:proofErr w:type="spellStart"/>
      <w:r w:rsidRPr="00574B99">
        <w:t>Péter</w:t>
      </w:r>
      <w:proofErr w:type="spellEnd"/>
      <w:r w:rsidRPr="00574B99">
        <w:t xml:space="preserve"> </w:t>
      </w:r>
      <w:proofErr w:type="spellStart"/>
      <w:r w:rsidRPr="00574B99">
        <w:t>Magyarin</w:t>
      </w:r>
      <w:proofErr w:type="spellEnd"/>
      <w:r w:rsidRPr="00574B99">
        <w:t xml:space="preserve"> koskemattomuuden pidättämistä koskeva pyyntö eivät liity Euroopan unionin erioikeuksista ja vapauksista tehdyssä pöytäkirjassa N:o 7 olevassa 8 artiklassa tarkoitettuun, </w:t>
      </w:r>
      <w:proofErr w:type="spellStart"/>
      <w:r w:rsidRPr="00574B99">
        <w:t>Péter</w:t>
      </w:r>
      <w:proofErr w:type="spellEnd"/>
      <w:r w:rsidRPr="00574B99">
        <w:t xml:space="preserve"> </w:t>
      </w:r>
      <w:proofErr w:type="spellStart"/>
      <w:r w:rsidRPr="00574B99">
        <w:t>Magyarin</w:t>
      </w:r>
      <w:proofErr w:type="spellEnd"/>
      <w:r w:rsidRPr="00574B99">
        <w:t xml:space="preserve"> Euroopan parlamentin jäsenen tehtäviään hoitaessaan ilmaisemaan mielipiteeseen tai äänestykseen;</w:t>
      </w:r>
    </w:p>
    <w:p w14:paraId="2C42B62B" w14:textId="77777777" w:rsidR="00780B34" w:rsidRPr="00574B99" w:rsidRDefault="00780B34" w:rsidP="00780B34">
      <w:pPr>
        <w:pStyle w:val="NormalHanging12a"/>
        <w:widowControl/>
      </w:pPr>
      <w:r w:rsidRPr="00574B99">
        <w:t>F.</w:t>
      </w:r>
      <w:r w:rsidRPr="00574B99">
        <w:tab/>
        <w:t>ottaa huomioon, että Euroopan unionin erioikeuksista ja vapauksista tehdyssä pöytäkirjassa N:o 7 olevan 9 artiklan ensimmäisen kohdan a alakohdassa määrätään, että Euroopan parlamentin jäsenillä on oman valtionsa alueella kansanedustajille myönnetty koskemattomuus;</w:t>
      </w:r>
    </w:p>
    <w:p w14:paraId="16535695" w14:textId="77777777" w:rsidR="00780B34" w:rsidRPr="00574B99" w:rsidRDefault="00780B34" w:rsidP="00780B34">
      <w:pPr>
        <w:pStyle w:val="NormalHanging12a"/>
        <w:widowControl/>
      </w:pPr>
      <w:r w:rsidRPr="00574B99">
        <w:t>G.</w:t>
      </w:r>
      <w:r w:rsidRPr="00574B99">
        <w:tab/>
        <w:t>ottaa huomioon, että Unkarin perustuslain 4 pykälän 2 momentin mukaan Unkarin parlamentin jäsenillä on koskemattomuus;</w:t>
      </w:r>
      <w:r w:rsidRPr="00574B99">
        <w:rPr>
          <w:color w:val="000000"/>
          <w:shd w:val="clear" w:color="auto" w:fill="FFFFFF"/>
        </w:rPr>
        <w:t xml:space="preserve"> </w:t>
      </w:r>
      <w:r w:rsidRPr="00574B99">
        <w:t xml:space="preserve">ottaa huomioon, että kansallisesta parlamentista vuonna 2012 annetun lain XXXVI 79 pykälän 2 momentin mukaan henkilöllä, joka on lopullisesti ja sitovasti rekisteröity ehdokkaaksi, on sama koskemattomuus kuin jäsenillä siihen saakka, kunnes vaalien tulos tulee lopulliseksi ja sitovaksi, ja ottaa huomioon, että kyseisen lain 79 pykälän 1 momentin mukaan jäsenellä on joka tapauksessa koskemattomuus siitä päivästä, jona hänet valitaan; </w:t>
      </w:r>
      <w:r w:rsidRPr="00574B99">
        <w:rPr>
          <w:color w:val="000000"/>
          <w:shd w:val="clear" w:color="auto" w:fill="FFFFFF"/>
        </w:rPr>
        <w:t>ottaa huomioon, että kansallisesta parlamentista vuonna 2012 annetun lain nro XXXVI 74 pykälän 1 momentin nojalla rikosoikeudellinen menettely tai, siinä tapauksessa, että koskemattomuuden vapaaehtoisesta pidättämisestä kieltäydytään kyseisessä tapauksessa, rikkomusta koskeva menettely voidaan panna vireille tai toteuttaa ja pakkokeinoja soveltaa jäseneen ainoastaan kansalliskokouksen etukäteen antamalla suostumuksella;</w:t>
      </w:r>
    </w:p>
    <w:p w14:paraId="162D4622" w14:textId="77777777" w:rsidR="00780B34" w:rsidRPr="00574B99" w:rsidRDefault="00780B34" w:rsidP="000E64B8">
      <w:pPr>
        <w:pStyle w:val="NormalHanging12a"/>
      </w:pPr>
      <w:r w:rsidRPr="00574B99">
        <w:t>H.</w:t>
      </w:r>
      <w:r w:rsidRPr="00574B99">
        <w:tab/>
        <w:t>toteaa, että työjärjestyksen 5 artiklan 2 kohdan mukaisesti parlamentaarinen koskemattomuus ei ole jäsenen henkilökohtainen erioikeus vaan tae koko Euroopan parlamentin ja sen jäsenten riippumattomuudesta;</w:t>
      </w:r>
    </w:p>
    <w:p w14:paraId="61E83C13" w14:textId="77777777" w:rsidR="00780B34" w:rsidRPr="00574B99" w:rsidRDefault="00780B34" w:rsidP="000E64B8">
      <w:pPr>
        <w:pStyle w:val="NormalHanging12a"/>
      </w:pPr>
      <w:r w:rsidRPr="00574B99">
        <w:lastRenderedPageBreak/>
        <w:t>I.</w:t>
      </w:r>
      <w:r w:rsidRPr="00574B99">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14:paraId="5D47E10C" w14:textId="77777777" w:rsidR="00780B34" w:rsidRPr="00574B99" w:rsidRDefault="00780B34" w:rsidP="00780B34">
      <w:pPr>
        <w:pStyle w:val="NormalHanging12a"/>
      </w:pPr>
      <w:r w:rsidRPr="00574B99">
        <w:t>J.</w:t>
      </w:r>
      <w:r w:rsidRPr="00574B99">
        <w:tab/>
        <w:t xml:space="preserve">ottaa huomioon, että Euroopan unionin tuomioistuimen oikeuskäytännön mukaan parlamentilla on ”laaja harkintavalta sen osalta, minkä suuntaisen päätöksen se aikoo tehdä koskemattomuuden pidättämistä (...) koskevan pyynnön </w:t>
      </w:r>
      <w:proofErr w:type="gramStart"/>
      <w:r w:rsidRPr="00574B99">
        <w:t>johdosta</w:t>
      </w:r>
      <w:proofErr w:type="gramEnd"/>
      <w:r w:rsidRPr="00574B99">
        <w:t>, koska tällainen päätös on luonteeltaan poliittinen”</w:t>
      </w:r>
      <w:r w:rsidRPr="00574B99">
        <w:rPr>
          <w:vertAlign w:val="superscript"/>
        </w:rPr>
        <w:footnoteReference w:id="2"/>
      </w:r>
      <w:r w:rsidRPr="00574B99">
        <w:t>;</w:t>
      </w:r>
    </w:p>
    <w:p w14:paraId="299162D3" w14:textId="0D53EEA9" w:rsidR="00780B34" w:rsidRPr="00574B99" w:rsidRDefault="00780B34" w:rsidP="00780B34">
      <w:pPr>
        <w:pStyle w:val="NormalHanging12a"/>
      </w:pPr>
      <w:r w:rsidRPr="00574B99">
        <w:t>K.</w:t>
      </w:r>
      <w:r w:rsidRPr="00574B99">
        <w:tab/>
        <w:t xml:space="preserve">ottaa huomioon, että </w:t>
      </w:r>
      <w:proofErr w:type="spellStart"/>
      <w:r w:rsidRPr="00574B99">
        <w:t>Péter</w:t>
      </w:r>
      <w:proofErr w:type="spellEnd"/>
      <w:r w:rsidRPr="00574B99">
        <w:t xml:space="preserve"> </w:t>
      </w:r>
      <w:proofErr w:type="spellStart"/>
      <w:r w:rsidRPr="00574B99">
        <w:t>Magyar</w:t>
      </w:r>
      <w:proofErr w:type="spellEnd"/>
      <w:r w:rsidRPr="00574B99">
        <w:t xml:space="preserve"> on Tisza-puolueen (</w:t>
      </w:r>
      <w:proofErr w:type="spellStart"/>
      <w:r w:rsidRPr="00574B99">
        <w:t>Tisztelet</w:t>
      </w:r>
      <w:proofErr w:type="spellEnd"/>
      <w:r w:rsidRPr="00574B99">
        <w:t xml:space="preserve"> </w:t>
      </w:r>
      <w:proofErr w:type="spellStart"/>
      <w:r w:rsidRPr="00574B99">
        <w:t>és</w:t>
      </w:r>
      <w:proofErr w:type="spellEnd"/>
      <w:r w:rsidRPr="00574B99">
        <w:t xml:space="preserve"> </w:t>
      </w:r>
      <w:proofErr w:type="spellStart"/>
      <w:r w:rsidRPr="00574B99">
        <w:t>Szabadság</w:t>
      </w:r>
      <w:proofErr w:type="spellEnd"/>
      <w:r w:rsidRPr="00574B99">
        <w:t xml:space="preserve"> </w:t>
      </w:r>
      <w:proofErr w:type="spellStart"/>
      <w:r w:rsidRPr="00574B99">
        <w:t>Párt</w:t>
      </w:r>
      <w:proofErr w:type="spellEnd"/>
      <w:r w:rsidRPr="00574B99">
        <w:t xml:space="preserve">) puheenjohtaja ja kyseisen puolueen vuoden 2024 EU-vaalien ehdokasluettelon pääehdokas; ottaa huomioon, että </w:t>
      </w:r>
      <w:proofErr w:type="spellStart"/>
      <w:r w:rsidRPr="00574B99">
        <w:t>Péter</w:t>
      </w:r>
      <w:proofErr w:type="spellEnd"/>
      <w:r w:rsidRPr="00574B99">
        <w:t xml:space="preserve"> </w:t>
      </w:r>
      <w:proofErr w:type="spellStart"/>
      <w:r w:rsidRPr="00574B99">
        <w:t>Magyar</w:t>
      </w:r>
      <w:proofErr w:type="spellEnd"/>
      <w:r w:rsidRPr="00574B99">
        <w:t xml:space="preserve"> on vastustanut äänekkäästi Unkarin hallituksen politiikkaa ja kantoja, myös unionia koskevia politiikkatoimia ja kantoja; ottaa huomioon, että koskemattomuuden pidättämistä koskevan pyynnön taustalla olevat tosiseikat, epäjohdonmukaisuudet poliisitutkinnan suorittamisessa, mukaan lukien </w:t>
      </w:r>
      <w:r w:rsidR="008D474C" w:rsidRPr="00574B99">
        <w:t xml:space="preserve">Unkarin yleisen </w:t>
      </w:r>
      <w:r w:rsidRPr="00574B99">
        <w:t xml:space="preserve">syyttäjän puutteellinen vastaus liittyen viranomaisten </w:t>
      </w:r>
      <w:proofErr w:type="spellStart"/>
      <w:r w:rsidRPr="00574B99">
        <w:t>Péter</w:t>
      </w:r>
      <w:proofErr w:type="spellEnd"/>
      <w:r w:rsidRPr="00574B99">
        <w:t xml:space="preserve"> </w:t>
      </w:r>
      <w:proofErr w:type="spellStart"/>
      <w:r w:rsidRPr="00574B99">
        <w:t>Magyarin</w:t>
      </w:r>
      <w:proofErr w:type="spellEnd"/>
      <w:r w:rsidRPr="00574B99">
        <w:t xml:space="preserve"> asiassa toteuttamien toimien oikeasuhteisuuteen verrattuna samankaltaisiin tilanteisiin, joissa on kyse arvoltaan vähäisistä esineistä, sekä toimivaltaisten viranomaisten vastauksen epäselvyys sen väitetyn rikoksen oikeudellisesta luonnehdinnasta, josta </w:t>
      </w:r>
      <w:proofErr w:type="spellStart"/>
      <w:r w:rsidRPr="00574B99">
        <w:t>Péter</w:t>
      </w:r>
      <w:proofErr w:type="spellEnd"/>
      <w:r w:rsidRPr="00574B99">
        <w:t xml:space="preserve"> </w:t>
      </w:r>
      <w:proofErr w:type="spellStart"/>
      <w:r w:rsidRPr="00574B99">
        <w:t>Magyaria</w:t>
      </w:r>
      <w:proofErr w:type="spellEnd"/>
      <w:r w:rsidRPr="00574B99">
        <w:t xml:space="preserve"> syytettiin, herättävät huolta siitä, että menettelyn tarkoituksena on voinut olla vahingoittaa </w:t>
      </w:r>
      <w:proofErr w:type="spellStart"/>
      <w:r w:rsidR="008D474C" w:rsidRPr="00574B99">
        <w:t>Péter</w:t>
      </w:r>
      <w:proofErr w:type="spellEnd"/>
      <w:r w:rsidR="008D474C" w:rsidRPr="00574B99">
        <w:t xml:space="preserve"> </w:t>
      </w:r>
      <w:proofErr w:type="spellStart"/>
      <w:r w:rsidR="008D474C" w:rsidRPr="00574B99">
        <w:t>Magyarin</w:t>
      </w:r>
      <w:proofErr w:type="spellEnd"/>
      <w:r w:rsidR="008D474C" w:rsidRPr="00574B99">
        <w:t xml:space="preserve"> </w:t>
      </w:r>
      <w:r w:rsidRPr="00574B99">
        <w:t>mainetta;</w:t>
      </w:r>
    </w:p>
    <w:p w14:paraId="49890DD8" w14:textId="1B6A551A" w:rsidR="00780B34" w:rsidRPr="00574B99" w:rsidRDefault="00780B34" w:rsidP="00780B34">
      <w:pPr>
        <w:pStyle w:val="NormalHanging12a"/>
      </w:pPr>
      <w:r w:rsidRPr="00574B99">
        <w:t>L.</w:t>
      </w:r>
      <w:r w:rsidRPr="00574B99">
        <w:tab/>
        <w:t xml:space="preserve">ottaa huomioon, että näin ollen voidaan olettaa kyseessä olevan </w:t>
      </w:r>
      <w:proofErr w:type="spellStart"/>
      <w:r w:rsidRPr="00574B99">
        <w:t>fumus</w:t>
      </w:r>
      <w:proofErr w:type="spellEnd"/>
      <w:r w:rsidRPr="00574B99">
        <w:t xml:space="preserve"> </w:t>
      </w:r>
      <w:proofErr w:type="spellStart"/>
      <w:r w:rsidRPr="00574B99">
        <w:t>persecutionis</w:t>
      </w:r>
      <w:proofErr w:type="spellEnd"/>
      <w:r w:rsidRPr="00574B99">
        <w:t xml:space="preserve"> </w:t>
      </w:r>
      <w:r w:rsidR="004562CB" w:rsidRPr="00574B99">
        <w:noBreakHyphen/>
      </w:r>
      <w:r w:rsidRPr="00574B99">
        <w:t>tapaus, toisin sanoen olemassa on konkreettisia todisteita</w:t>
      </w:r>
      <w:r w:rsidRPr="00574B99">
        <w:rPr>
          <w:vertAlign w:val="superscript"/>
        </w:rPr>
        <w:footnoteReference w:id="3"/>
      </w:r>
      <w:r w:rsidRPr="00574B99">
        <w:t xml:space="preserve"> joilla voidaan osoittaa, että kyseinen kanne on pantu vireille </w:t>
      </w:r>
      <w:proofErr w:type="spellStart"/>
      <w:r w:rsidRPr="00574B99">
        <w:t>Péter</w:t>
      </w:r>
      <w:proofErr w:type="spellEnd"/>
      <w:r w:rsidRPr="00574B99">
        <w:t xml:space="preserve"> </w:t>
      </w:r>
      <w:proofErr w:type="spellStart"/>
      <w:r w:rsidRPr="00574B99">
        <w:t>Magyarin</w:t>
      </w:r>
      <w:proofErr w:type="spellEnd"/>
      <w:r w:rsidRPr="00574B99">
        <w:t xml:space="preserve"> poliittisen toiminnan </w:t>
      </w:r>
      <w:r w:rsidR="008D474C" w:rsidRPr="00574B99">
        <w:t>ja erityisesti</w:t>
      </w:r>
      <w:r w:rsidRPr="00574B99">
        <w:t xml:space="preserve"> hänen Euroopan parlamentin jäsenenä harjoittamansa toiminnan horjuttamiseksi;</w:t>
      </w:r>
    </w:p>
    <w:p w14:paraId="29E50577" w14:textId="77777777" w:rsidR="00780B34" w:rsidRPr="00574B99" w:rsidRDefault="00780B34" w:rsidP="00780B34">
      <w:pPr>
        <w:pStyle w:val="NormalHanging12a"/>
        <w:widowControl/>
      </w:pPr>
      <w:r w:rsidRPr="00574B99">
        <w:t>M.</w:t>
      </w:r>
      <w:r w:rsidRPr="00574B99">
        <w:tab/>
        <w:t>ottaa huomioon, että parlamenttia ei voida rinnastaa tuomioistuimeen eikä parlamentin jäsentä voida pitää koskemattomuuden pidättämistä koskevassa menettelyssä ”syytettynä”</w:t>
      </w:r>
      <w:r w:rsidRPr="00574B99">
        <w:rPr>
          <w:vertAlign w:val="superscript"/>
        </w:rPr>
        <w:footnoteReference w:id="4"/>
      </w:r>
      <w:r w:rsidRPr="00574B99">
        <w:t>;</w:t>
      </w:r>
    </w:p>
    <w:p w14:paraId="520F7295" w14:textId="77777777" w:rsidR="00780B34" w:rsidRPr="00574B99" w:rsidRDefault="00780B34" w:rsidP="00780B34">
      <w:pPr>
        <w:pStyle w:val="NormalHanging12a"/>
      </w:pPr>
      <w:r w:rsidRPr="00574B99">
        <w:t>1.</w:t>
      </w:r>
      <w:r w:rsidRPr="00574B99">
        <w:tab/>
        <w:t xml:space="preserve">päättää säilyttää </w:t>
      </w:r>
      <w:proofErr w:type="spellStart"/>
      <w:r w:rsidRPr="00574B99">
        <w:t>Péter</w:t>
      </w:r>
      <w:proofErr w:type="spellEnd"/>
      <w:r w:rsidRPr="00574B99">
        <w:t xml:space="preserve"> </w:t>
      </w:r>
      <w:proofErr w:type="spellStart"/>
      <w:r w:rsidRPr="00574B99">
        <w:t>Magyarin</w:t>
      </w:r>
      <w:proofErr w:type="spellEnd"/>
      <w:r w:rsidRPr="00574B99">
        <w:t xml:space="preserve"> koskemattomuuden;</w:t>
      </w:r>
    </w:p>
    <w:p w14:paraId="38561271" w14:textId="48C02DE0" w:rsidR="00E365E1" w:rsidRPr="00955210" w:rsidRDefault="00780B34" w:rsidP="000E64B8">
      <w:pPr>
        <w:pStyle w:val="NormalHanging12a"/>
        <w:widowControl/>
      </w:pPr>
      <w:r w:rsidRPr="00574B99">
        <w:t>2.</w:t>
      </w:r>
      <w:r w:rsidRPr="00574B99">
        <w:tab/>
        <w:t xml:space="preserve">kehottaa puhemiestä välittämään tämän päätöksen sekä asiasta vastaavan valiokunnan mietinnön viipymättä Unkarin toimivaltaisille viranomaisille ja </w:t>
      </w:r>
      <w:proofErr w:type="spellStart"/>
      <w:r w:rsidRPr="00574B99">
        <w:t>Péter</w:t>
      </w:r>
      <w:proofErr w:type="spellEnd"/>
      <w:r w:rsidRPr="00574B99">
        <w:t xml:space="preserve"> </w:t>
      </w:r>
      <w:proofErr w:type="spellStart"/>
      <w:r w:rsidRPr="00574B99">
        <w:t>Magyarille</w:t>
      </w:r>
      <w:proofErr w:type="spellEnd"/>
      <w:r w:rsidRPr="00574B99">
        <w:t>.</w:t>
      </w:r>
    </w:p>
    <w:sectPr w:rsidR="00E365E1" w:rsidRPr="00955210" w:rsidSect="0095521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891FE" w14:textId="77777777" w:rsidR="00EE1F02" w:rsidRPr="00955210" w:rsidRDefault="00EE1F02">
      <w:r w:rsidRPr="00955210">
        <w:separator/>
      </w:r>
    </w:p>
  </w:endnote>
  <w:endnote w:type="continuationSeparator" w:id="0">
    <w:p w14:paraId="1C3DF7C2" w14:textId="77777777" w:rsidR="00EE1F02" w:rsidRPr="00955210" w:rsidRDefault="00EE1F02">
      <w:r w:rsidRPr="009552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37E7F" w14:textId="77777777" w:rsidR="00EE1F02" w:rsidRPr="00955210" w:rsidRDefault="00EE1F02">
      <w:r w:rsidRPr="00955210">
        <w:separator/>
      </w:r>
    </w:p>
  </w:footnote>
  <w:footnote w:type="continuationSeparator" w:id="0">
    <w:p w14:paraId="02AF8D03" w14:textId="77777777" w:rsidR="00EE1F02" w:rsidRPr="00955210" w:rsidRDefault="00EE1F02">
      <w:r w:rsidRPr="00955210">
        <w:continuationSeparator/>
      </w:r>
    </w:p>
  </w:footnote>
  <w:footnote w:id="1">
    <w:p w14:paraId="1378F0B1" w14:textId="319B4476" w:rsidR="00780B34" w:rsidRPr="00955210" w:rsidRDefault="00780B34" w:rsidP="00955210">
      <w:pPr>
        <w:pStyle w:val="FootnoteText"/>
        <w:ind w:left="567" w:hanging="567"/>
        <w:rPr>
          <w:sz w:val="24"/>
          <w:lang w:val="fi-FI"/>
        </w:rPr>
      </w:pPr>
      <w:r w:rsidRPr="00955210">
        <w:rPr>
          <w:rStyle w:val="FootnoteReference"/>
          <w:sz w:val="24"/>
          <w:szCs w:val="16"/>
          <w:lang w:val="fi-FI"/>
        </w:rPr>
        <w:footnoteRef/>
      </w:r>
      <w:r w:rsidR="00955210" w:rsidRPr="00955210">
        <w:rPr>
          <w:sz w:val="24"/>
          <w:lang w:val="fi-FI"/>
        </w:rPr>
        <w:t xml:space="preserve"> </w:t>
      </w:r>
      <w:r w:rsidR="00955210" w:rsidRPr="00955210">
        <w:rPr>
          <w:sz w:val="24"/>
          <w:lang w:val="fi-FI"/>
        </w:rPr>
        <w:tab/>
      </w:r>
      <w:r w:rsidRPr="00955210">
        <w:rPr>
          <w:sz w:val="24"/>
          <w:lang w:val="fi-FI"/>
        </w:rPr>
        <w:t xml:space="preserve">Yhteisöjen tuomioistuimen tuomio 21.10.2008, </w:t>
      </w:r>
      <w:proofErr w:type="spellStart"/>
      <w:r w:rsidRPr="00955210">
        <w:rPr>
          <w:sz w:val="24"/>
          <w:lang w:val="fi-FI"/>
        </w:rPr>
        <w:t>Marra</w:t>
      </w:r>
      <w:proofErr w:type="spellEnd"/>
      <w:r w:rsidRPr="00955210">
        <w:rPr>
          <w:sz w:val="24"/>
          <w:lang w:val="fi-FI"/>
        </w:rPr>
        <w:t xml:space="preserve"> v. De </w:t>
      </w:r>
      <w:proofErr w:type="spellStart"/>
      <w:r w:rsidRPr="00955210">
        <w:rPr>
          <w:sz w:val="24"/>
          <w:lang w:val="fi-FI"/>
        </w:rPr>
        <w:t>Gregorio</w:t>
      </w:r>
      <w:proofErr w:type="spellEnd"/>
      <w:r w:rsidRPr="00955210">
        <w:rPr>
          <w:sz w:val="24"/>
          <w:lang w:val="fi-FI"/>
        </w:rPr>
        <w:t xml:space="preserve"> ja </w:t>
      </w:r>
      <w:proofErr w:type="spellStart"/>
      <w:r w:rsidRPr="00955210">
        <w:rPr>
          <w:sz w:val="24"/>
          <w:lang w:val="fi-FI"/>
        </w:rPr>
        <w:t>Clemente</w:t>
      </w:r>
      <w:proofErr w:type="spellEnd"/>
      <w:r w:rsidRPr="00955210">
        <w:rPr>
          <w:sz w:val="24"/>
          <w:lang w:val="fi-FI"/>
        </w:rPr>
        <w:t xml:space="preserve">, C-200/07 ja C-201/07, ECLI:EU:C:2008:579, unionin yleisen tuomioistuimen tuomio 19.3.2010, </w:t>
      </w:r>
      <w:proofErr w:type="spellStart"/>
      <w:r w:rsidRPr="00955210">
        <w:rPr>
          <w:sz w:val="24"/>
          <w:lang w:val="fi-FI"/>
        </w:rPr>
        <w:t>Gollnisch</w:t>
      </w:r>
      <w:proofErr w:type="spellEnd"/>
      <w:r w:rsidRPr="00955210">
        <w:rPr>
          <w:sz w:val="24"/>
          <w:lang w:val="fi-FI"/>
        </w:rPr>
        <w:t xml:space="preserve"> v. parlamentti, T-42/06, ECLI:EU:T:2010:102, unionin tuomioistuimen tuomio 6.9.2011, </w:t>
      </w:r>
      <w:proofErr w:type="spellStart"/>
      <w:r w:rsidRPr="00955210">
        <w:rPr>
          <w:sz w:val="24"/>
          <w:lang w:val="fi-FI"/>
        </w:rPr>
        <w:t>Patriciello</w:t>
      </w:r>
      <w:proofErr w:type="spellEnd"/>
      <w:r w:rsidRPr="00955210">
        <w:rPr>
          <w:sz w:val="24"/>
          <w:lang w:val="fi-FI"/>
        </w:rPr>
        <w:t xml:space="preserve">, C-163/10, ECLI:EU:C:2011:543, unionin yleisen tuomioistuimen tuomio 17.1.2013, </w:t>
      </w:r>
      <w:proofErr w:type="spellStart"/>
      <w:r w:rsidRPr="00955210">
        <w:rPr>
          <w:sz w:val="24"/>
          <w:lang w:val="fi-FI"/>
        </w:rPr>
        <w:t>Gollnisch</w:t>
      </w:r>
      <w:proofErr w:type="spellEnd"/>
      <w:r w:rsidRPr="00955210">
        <w:rPr>
          <w:sz w:val="24"/>
          <w:lang w:val="fi-FI"/>
        </w:rPr>
        <w:t xml:space="preserve"> v. parlamentti, T-346/11 ja T-347/11, ECLI:EU:T:2013:23, unionin tuomioistuimen tuomio 19.12.2019, </w:t>
      </w:r>
      <w:proofErr w:type="spellStart"/>
      <w:r w:rsidRPr="00955210">
        <w:rPr>
          <w:sz w:val="24"/>
          <w:lang w:val="fi-FI"/>
        </w:rPr>
        <w:t>Junqueras</w:t>
      </w:r>
      <w:proofErr w:type="spellEnd"/>
      <w:r w:rsidRPr="00955210">
        <w:rPr>
          <w:sz w:val="24"/>
          <w:lang w:val="fi-FI"/>
        </w:rPr>
        <w:t xml:space="preserve"> Vies, C-502/19, ECLI:EU:C:2019:1115 sekä unionin yleisen tuomioistuimen tuomio 5.7.2023, </w:t>
      </w:r>
      <w:proofErr w:type="spellStart"/>
      <w:r w:rsidRPr="00955210">
        <w:rPr>
          <w:sz w:val="24"/>
          <w:lang w:val="fi-FI"/>
        </w:rPr>
        <w:t>Puigdemont</w:t>
      </w:r>
      <w:proofErr w:type="spellEnd"/>
      <w:r w:rsidRPr="00955210">
        <w:rPr>
          <w:sz w:val="24"/>
          <w:lang w:val="fi-FI"/>
        </w:rPr>
        <w:t xml:space="preserve"> i </w:t>
      </w:r>
      <w:proofErr w:type="spellStart"/>
      <w:r w:rsidRPr="00955210">
        <w:rPr>
          <w:sz w:val="24"/>
          <w:lang w:val="fi-FI"/>
        </w:rPr>
        <w:t>Casamajó</w:t>
      </w:r>
      <w:proofErr w:type="spellEnd"/>
      <w:r w:rsidRPr="00955210">
        <w:rPr>
          <w:sz w:val="24"/>
          <w:lang w:val="fi-FI"/>
        </w:rPr>
        <w:t xml:space="preserve"> ym. v. parlamentti, T-272/21, ECLI:EU:T:2023:373.</w:t>
      </w:r>
    </w:p>
  </w:footnote>
  <w:footnote w:id="2">
    <w:p w14:paraId="21B66775" w14:textId="4CBFBD9C" w:rsidR="00780B34" w:rsidRPr="00955210" w:rsidRDefault="00780B34" w:rsidP="00955210">
      <w:pPr>
        <w:pStyle w:val="FootnoteText"/>
        <w:ind w:left="567" w:hanging="567"/>
        <w:rPr>
          <w:sz w:val="24"/>
          <w:lang w:val="fi-FI"/>
        </w:rPr>
      </w:pPr>
      <w:r w:rsidRPr="00955210">
        <w:rPr>
          <w:rStyle w:val="FootnoteReference"/>
          <w:sz w:val="24"/>
          <w:lang w:val="fi-FI"/>
        </w:rPr>
        <w:footnoteRef/>
      </w:r>
      <w:r w:rsidR="00955210" w:rsidRPr="00955210">
        <w:rPr>
          <w:sz w:val="24"/>
          <w:lang w:val="fi-FI"/>
        </w:rPr>
        <w:t xml:space="preserve"> </w:t>
      </w:r>
      <w:r w:rsidR="00955210" w:rsidRPr="00955210">
        <w:rPr>
          <w:sz w:val="24"/>
          <w:lang w:val="fi-FI"/>
        </w:rPr>
        <w:tab/>
      </w:r>
      <w:r w:rsidRPr="00955210">
        <w:rPr>
          <w:sz w:val="24"/>
          <w:lang w:val="fi-FI"/>
        </w:rPr>
        <w:t xml:space="preserve">Unionin yleisen tuomioistuimen tuomio 17.1.2013, </w:t>
      </w:r>
      <w:proofErr w:type="spellStart"/>
      <w:r w:rsidRPr="00955210">
        <w:rPr>
          <w:sz w:val="24"/>
          <w:lang w:val="fi-FI"/>
        </w:rPr>
        <w:t>Gollnisch</w:t>
      </w:r>
      <w:proofErr w:type="spellEnd"/>
      <w:r w:rsidRPr="00955210">
        <w:rPr>
          <w:sz w:val="24"/>
          <w:lang w:val="fi-FI"/>
        </w:rPr>
        <w:t xml:space="preserve"> v. parlamentti, T-346/11 ja T-347/11, ECLI:EU:T:2013:23, 59 kohta oikeuskäytäntöviittauksineen.</w:t>
      </w:r>
    </w:p>
  </w:footnote>
  <w:footnote w:id="3">
    <w:p w14:paraId="6DABACF9" w14:textId="2E27912D" w:rsidR="00780B34" w:rsidRPr="00955210" w:rsidRDefault="00780B34" w:rsidP="00955210">
      <w:pPr>
        <w:pStyle w:val="FootnoteText"/>
        <w:ind w:left="567" w:hanging="567"/>
        <w:rPr>
          <w:sz w:val="24"/>
          <w:lang w:val="fi-FI"/>
        </w:rPr>
      </w:pPr>
      <w:r w:rsidRPr="00955210">
        <w:rPr>
          <w:rStyle w:val="FootnoteReference"/>
          <w:sz w:val="24"/>
          <w:lang w:val="fi-FI"/>
        </w:rPr>
        <w:footnoteRef/>
      </w:r>
      <w:r w:rsidR="00955210" w:rsidRPr="00955210">
        <w:rPr>
          <w:sz w:val="24"/>
          <w:lang w:val="fi-FI"/>
        </w:rPr>
        <w:t xml:space="preserve"> </w:t>
      </w:r>
      <w:r w:rsidR="00955210" w:rsidRPr="00955210">
        <w:rPr>
          <w:sz w:val="24"/>
          <w:lang w:val="fi-FI"/>
        </w:rPr>
        <w:tab/>
      </w:r>
      <w:r w:rsidRPr="00955210">
        <w:rPr>
          <w:sz w:val="24"/>
          <w:lang w:val="fi-FI"/>
        </w:rPr>
        <w:t xml:space="preserve">Unionin tuomioistuimen tuomio 17.9.2020, </w:t>
      </w:r>
      <w:proofErr w:type="spellStart"/>
      <w:r w:rsidRPr="00955210">
        <w:rPr>
          <w:sz w:val="24"/>
          <w:lang w:val="fi-FI"/>
        </w:rPr>
        <w:t>Troszczynski</w:t>
      </w:r>
      <w:proofErr w:type="spellEnd"/>
      <w:r w:rsidRPr="00955210">
        <w:rPr>
          <w:sz w:val="24"/>
          <w:lang w:val="fi-FI"/>
        </w:rPr>
        <w:t xml:space="preserve"> v. parlamentti, C-12/19 P, ECLI:EU:C:2020:725, 26 kohta.</w:t>
      </w:r>
    </w:p>
  </w:footnote>
  <w:footnote w:id="4">
    <w:p w14:paraId="6E17B282" w14:textId="76FACC7E" w:rsidR="00780B34" w:rsidRPr="00955210" w:rsidRDefault="00780B34" w:rsidP="00955210">
      <w:pPr>
        <w:pStyle w:val="FootnoteText"/>
        <w:ind w:left="567" w:hanging="567"/>
        <w:rPr>
          <w:sz w:val="24"/>
          <w:lang w:val="fi-FI"/>
        </w:rPr>
      </w:pPr>
      <w:r w:rsidRPr="00955210">
        <w:rPr>
          <w:rStyle w:val="FootnoteReference"/>
          <w:sz w:val="24"/>
          <w:szCs w:val="16"/>
          <w:lang w:val="fi-FI"/>
        </w:rPr>
        <w:footnoteRef/>
      </w:r>
      <w:r w:rsidR="00955210" w:rsidRPr="00955210">
        <w:rPr>
          <w:sz w:val="24"/>
          <w:lang w:val="fi-FI"/>
        </w:rPr>
        <w:t xml:space="preserve"> </w:t>
      </w:r>
      <w:r w:rsidR="00955210" w:rsidRPr="00955210">
        <w:rPr>
          <w:sz w:val="24"/>
          <w:lang w:val="fi-FI"/>
        </w:rPr>
        <w:tab/>
      </w:r>
      <w:r w:rsidRPr="00955210">
        <w:rPr>
          <w:sz w:val="24"/>
          <w:lang w:val="fi-FI"/>
        </w:rPr>
        <w:t xml:space="preserve">Unionin yleisen tuomioistuimen tuomio 30.4.2019, </w:t>
      </w:r>
      <w:proofErr w:type="spellStart"/>
      <w:r w:rsidRPr="00955210">
        <w:rPr>
          <w:sz w:val="24"/>
          <w:lang w:val="fi-FI"/>
        </w:rPr>
        <w:t>Briois</w:t>
      </w:r>
      <w:proofErr w:type="spellEnd"/>
      <w:r w:rsidRPr="00955210">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3485590">
    <w:abstractNumId w:val="9"/>
  </w:num>
  <w:num w:numId="2" w16cid:durableId="1356271804">
    <w:abstractNumId w:val="9"/>
  </w:num>
  <w:num w:numId="3" w16cid:durableId="922955463">
    <w:abstractNumId w:val="7"/>
  </w:num>
  <w:num w:numId="4" w16cid:durableId="108671613">
    <w:abstractNumId w:val="7"/>
  </w:num>
  <w:num w:numId="5" w16cid:durableId="1924416104">
    <w:abstractNumId w:val="6"/>
  </w:num>
  <w:num w:numId="6" w16cid:durableId="729033636">
    <w:abstractNumId w:val="6"/>
  </w:num>
  <w:num w:numId="7" w16cid:durableId="409079123">
    <w:abstractNumId w:val="5"/>
  </w:num>
  <w:num w:numId="8" w16cid:durableId="2025861422">
    <w:abstractNumId w:val="5"/>
  </w:num>
  <w:num w:numId="9" w16cid:durableId="1526484884">
    <w:abstractNumId w:val="4"/>
  </w:num>
  <w:num w:numId="10" w16cid:durableId="1894778406">
    <w:abstractNumId w:val="4"/>
  </w:num>
  <w:num w:numId="11" w16cid:durableId="503741005">
    <w:abstractNumId w:val="8"/>
  </w:num>
  <w:num w:numId="12" w16cid:durableId="1728530734">
    <w:abstractNumId w:val="8"/>
  </w:num>
  <w:num w:numId="13" w16cid:durableId="1175457011">
    <w:abstractNumId w:val="3"/>
  </w:num>
  <w:num w:numId="14" w16cid:durableId="605649378">
    <w:abstractNumId w:val="3"/>
  </w:num>
  <w:num w:numId="15" w16cid:durableId="1788160068">
    <w:abstractNumId w:val="2"/>
  </w:num>
  <w:num w:numId="16" w16cid:durableId="796219713">
    <w:abstractNumId w:val="2"/>
  </w:num>
  <w:num w:numId="17" w16cid:durableId="1575965392">
    <w:abstractNumId w:val="1"/>
  </w:num>
  <w:num w:numId="18" w16cid:durableId="990527011">
    <w:abstractNumId w:val="1"/>
  </w:num>
  <w:num w:numId="19" w16cid:durableId="432673761">
    <w:abstractNumId w:val="0"/>
  </w:num>
  <w:num w:numId="20" w16cid:durableId="1466267842">
    <w:abstractNumId w:val="0"/>
  </w:num>
  <w:num w:numId="21" w16cid:durableId="1082334609">
    <w:abstractNumId w:val="9"/>
  </w:num>
  <w:num w:numId="22" w16cid:durableId="1172799355">
    <w:abstractNumId w:val="7"/>
  </w:num>
  <w:num w:numId="23" w16cid:durableId="906383014">
    <w:abstractNumId w:val="6"/>
  </w:num>
  <w:num w:numId="24" w16cid:durableId="64422918">
    <w:abstractNumId w:val="5"/>
  </w:num>
  <w:num w:numId="25" w16cid:durableId="2040618736">
    <w:abstractNumId w:val="4"/>
  </w:num>
  <w:num w:numId="26" w16cid:durableId="1278215365">
    <w:abstractNumId w:val="8"/>
  </w:num>
  <w:num w:numId="27" w16cid:durableId="668287">
    <w:abstractNumId w:val="3"/>
  </w:num>
  <w:num w:numId="28" w16cid:durableId="98529046">
    <w:abstractNumId w:val="2"/>
  </w:num>
  <w:num w:numId="29" w16cid:durableId="1906910892">
    <w:abstractNumId w:val="1"/>
  </w:num>
  <w:num w:numId="30" w16cid:durableId="1805850465">
    <w:abstractNumId w:val="0"/>
  </w:num>
  <w:num w:numId="31" w16cid:durableId="1412309090">
    <w:abstractNumId w:val="9"/>
  </w:num>
  <w:num w:numId="32" w16cid:durableId="789513012">
    <w:abstractNumId w:val="7"/>
  </w:num>
  <w:num w:numId="33" w16cid:durableId="1895775625">
    <w:abstractNumId w:val="6"/>
  </w:num>
  <w:num w:numId="34" w16cid:durableId="1352102708">
    <w:abstractNumId w:val="5"/>
  </w:num>
  <w:num w:numId="35" w16cid:durableId="950891828">
    <w:abstractNumId w:val="4"/>
  </w:num>
  <w:num w:numId="36" w16cid:durableId="56048899">
    <w:abstractNumId w:val="8"/>
  </w:num>
  <w:num w:numId="37" w16cid:durableId="16197156">
    <w:abstractNumId w:val="3"/>
  </w:num>
  <w:num w:numId="38" w16cid:durableId="1939293446">
    <w:abstractNumId w:val="2"/>
  </w:num>
  <w:num w:numId="39" w16cid:durableId="1917128939">
    <w:abstractNumId w:val="1"/>
  </w:num>
  <w:num w:numId="40" w16cid:durableId="851801786">
    <w:abstractNumId w:val="0"/>
  </w:num>
  <w:num w:numId="41" w16cid:durableId="1288585519">
    <w:abstractNumId w:val="10"/>
  </w:num>
  <w:num w:numId="42" w16cid:durableId="1228295871">
    <w:abstractNumId w:val="10"/>
  </w:num>
  <w:num w:numId="43" w16cid:durableId="1168524338">
    <w:abstractNumId w:val="10"/>
  </w:num>
  <w:num w:numId="44" w16cid:durableId="10375062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5"/>
    <w:docVar w:name="dvlangue" w:val="FI"/>
    <w:docVar w:name="dvnumam" w:val="0"/>
    <w:docVar w:name="dvpe" w:val="770.241"/>
    <w:docVar w:name="dvrapporteur" w:val="Esittelijä: "/>
    <w:docVar w:name="dvtitre" w:val="Euroopan parlamentin päätös xx. lokakuuta 2025 Péter Magyarin koskemattomuuden pidättämistä koskevasta pyynnöstä(2024/2063(IMM))"/>
  </w:docVars>
  <w:rsids>
    <w:rsidRoot w:val="00EE1F02"/>
    <w:rsid w:val="00002272"/>
    <w:rsid w:val="00064002"/>
    <w:rsid w:val="000677B9"/>
    <w:rsid w:val="000831BA"/>
    <w:rsid w:val="000A42CC"/>
    <w:rsid w:val="000E64B8"/>
    <w:rsid w:val="000E7DD9"/>
    <w:rsid w:val="0010095E"/>
    <w:rsid w:val="00125B37"/>
    <w:rsid w:val="00187494"/>
    <w:rsid w:val="001F32AE"/>
    <w:rsid w:val="002767FF"/>
    <w:rsid w:val="002B18FE"/>
    <w:rsid w:val="002B5493"/>
    <w:rsid w:val="00343214"/>
    <w:rsid w:val="00361C00"/>
    <w:rsid w:val="00395FA1"/>
    <w:rsid w:val="003E0E21"/>
    <w:rsid w:val="003E15D4"/>
    <w:rsid w:val="003F656D"/>
    <w:rsid w:val="00411CCE"/>
    <w:rsid w:val="0041666E"/>
    <w:rsid w:val="00421060"/>
    <w:rsid w:val="004562CB"/>
    <w:rsid w:val="00471C19"/>
    <w:rsid w:val="004867E3"/>
    <w:rsid w:val="00494A28"/>
    <w:rsid w:val="004C0004"/>
    <w:rsid w:val="004C5D52"/>
    <w:rsid w:val="0050519A"/>
    <w:rsid w:val="005072A1"/>
    <w:rsid w:val="00514517"/>
    <w:rsid w:val="00545827"/>
    <w:rsid w:val="00560270"/>
    <w:rsid w:val="00574B99"/>
    <w:rsid w:val="005B443B"/>
    <w:rsid w:val="005C2568"/>
    <w:rsid w:val="005F1B17"/>
    <w:rsid w:val="006037C0"/>
    <w:rsid w:val="006631B6"/>
    <w:rsid w:val="00680577"/>
    <w:rsid w:val="006F74FA"/>
    <w:rsid w:val="007050D9"/>
    <w:rsid w:val="00731ADD"/>
    <w:rsid w:val="00734777"/>
    <w:rsid w:val="00747932"/>
    <w:rsid w:val="00751A4A"/>
    <w:rsid w:val="00756632"/>
    <w:rsid w:val="00762C74"/>
    <w:rsid w:val="00780B34"/>
    <w:rsid w:val="00786EC0"/>
    <w:rsid w:val="007D1690"/>
    <w:rsid w:val="007E22AD"/>
    <w:rsid w:val="00817416"/>
    <w:rsid w:val="00842779"/>
    <w:rsid w:val="00865F67"/>
    <w:rsid w:val="00881A7B"/>
    <w:rsid w:val="008840E5"/>
    <w:rsid w:val="00887B3E"/>
    <w:rsid w:val="008C2AC6"/>
    <w:rsid w:val="008D474C"/>
    <w:rsid w:val="00930C23"/>
    <w:rsid w:val="0093193B"/>
    <w:rsid w:val="009509D8"/>
    <w:rsid w:val="00950B64"/>
    <w:rsid w:val="00955210"/>
    <w:rsid w:val="00981893"/>
    <w:rsid w:val="00A1687D"/>
    <w:rsid w:val="00A43E52"/>
    <w:rsid w:val="00A4678D"/>
    <w:rsid w:val="00A778C7"/>
    <w:rsid w:val="00AB441E"/>
    <w:rsid w:val="00AB6293"/>
    <w:rsid w:val="00AE0928"/>
    <w:rsid w:val="00AE2595"/>
    <w:rsid w:val="00AF3B82"/>
    <w:rsid w:val="00B12E95"/>
    <w:rsid w:val="00B22876"/>
    <w:rsid w:val="00B558F0"/>
    <w:rsid w:val="00BD2660"/>
    <w:rsid w:val="00BD48FE"/>
    <w:rsid w:val="00BD7BD8"/>
    <w:rsid w:val="00BE6ADC"/>
    <w:rsid w:val="00C05BFE"/>
    <w:rsid w:val="00C23CD4"/>
    <w:rsid w:val="00C61C0C"/>
    <w:rsid w:val="00C941CB"/>
    <w:rsid w:val="00CC2357"/>
    <w:rsid w:val="00CF071A"/>
    <w:rsid w:val="00D058B8"/>
    <w:rsid w:val="00D55384"/>
    <w:rsid w:val="00D56C11"/>
    <w:rsid w:val="00D834A0"/>
    <w:rsid w:val="00D872DF"/>
    <w:rsid w:val="00D91E21"/>
    <w:rsid w:val="00DA2196"/>
    <w:rsid w:val="00DA7FCD"/>
    <w:rsid w:val="00E365E1"/>
    <w:rsid w:val="00E820A4"/>
    <w:rsid w:val="00EB006A"/>
    <w:rsid w:val="00EB4772"/>
    <w:rsid w:val="00ED169E"/>
    <w:rsid w:val="00ED4235"/>
    <w:rsid w:val="00EE1F02"/>
    <w:rsid w:val="00F04346"/>
    <w:rsid w:val="00F075DC"/>
    <w:rsid w:val="00F149E9"/>
    <w:rsid w:val="00F5134D"/>
    <w:rsid w:val="00F74202"/>
    <w:rsid w:val="00F87713"/>
    <w:rsid w:val="00FB4360"/>
    <w:rsid w:val="00FD0C70"/>
    <w:rsid w:val="00FE77E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0BEE8"/>
  <w15:chartTrackingRefBased/>
  <w15:docId w15:val="{47EE79AC-4D2C-49EC-9794-D6EA930A6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80B34"/>
    <w:pPr>
      <w:spacing w:after="240"/>
      <w:ind w:left="567" w:hanging="567"/>
    </w:pPr>
  </w:style>
  <w:style w:type="paragraph" w:customStyle="1" w:styleId="EPComma">
    <w:name w:val="EPComma"/>
    <w:basedOn w:val="Normal"/>
    <w:rsid w:val="00780B34"/>
    <w:pPr>
      <w:spacing w:before="480" w:after="240"/>
    </w:pPr>
  </w:style>
  <w:style w:type="paragraph" w:styleId="BodyText">
    <w:name w:val="Body Text"/>
    <w:basedOn w:val="Normal"/>
    <w:link w:val="BodyTextChar"/>
    <w:unhideWhenUsed/>
    <w:qFormat/>
    <w:rsid w:val="00780B34"/>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780B34"/>
    <w:rPr>
      <w:sz w:val="24"/>
      <w:szCs w:val="24"/>
      <w:shd w:val="clear" w:color="auto" w:fill="FFFFFF"/>
      <w:lang w:val="fi-FI" w:eastAsia="hu-HU" w:bidi="hu-HU"/>
    </w:rPr>
  </w:style>
  <w:style w:type="paragraph" w:styleId="Footer">
    <w:name w:val="footer"/>
    <w:basedOn w:val="Normal"/>
    <w:link w:val="FooterChar"/>
    <w:rsid w:val="000E64B8"/>
    <w:pPr>
      <w:tabs>
        <w:tab w:val="center" w:pos="4513"/>
        <w:tab w:val="right" w:pos="9026"/>
      </w:tabs>
    </w:pPr>
  </w:style>
  <w:style w:type="character" w:customStyle="1" w:styleId="FooterChar">
    <w:name w:val="Footer Char"/>
    <w:basedOn w:val="DefaultParagraphFont"/>
    <w:link w:val="Footer"/>
    <w:rsid w:val="000E64B8"/>
    <w:rPr>
      <w:sz w:val="24"/>
      <w:lang w:val="fi-FI"/>
    </w:rPr>
  </w:style>
  <w:style w:type="paragraph" w:styleId="Revision">
    <w:name w:val="Revision"/>
    <w:hidden/>
    <w:uiPriority w:val="99"/>
    <w:semiHidden/>
    <w:rsid w:val="00DA2196"/>
    <w:rPr>
      <w:sz w:val="24"/>
      <w:lang w:val="fi-FI"/>
    </w:rPr>
  </w:style>
  <w:style w:type="character" w:styleId="CommentReference">
    <w:name w:val="annotation reference"/>
    <w:basedOn w:val="DefaultParagraphFont"/>
    <w:rsid w:val="00DA2196"/>
    <w:rPr>
      <w:sz w:val="16"/>
      <w:szCs w:val="16"/>
    </w:rPr>
  </w:style>
  <w:style w:type="paragraph" w:styleId="CommentText">
    <w:name w:val="annotation text"/>
    <w:basedOn w:val="Normal"/>
    <w:link w:val="CommentTextChar"/>
    <w:rsid w:val="00DA2196"/>
    <w:rPr>
      <w:sz w:val="20"/>
    </w:rPr>
  </w:style>
  <w:style w:type="character" w:customStyle="1" w:styleId="CommentTextChar">
    <w:name w:val="Comment Text Char"/>
    <w:basedOn w:val="DefaultParagraphFont"/>
    <w:link w:val="CommentText"/>
    <w:rsid w:val="00DA2196"/>
    <w:rPr>
      <w:lang w:val="fi-FI"/>
    </w:rPr>
  </w:style>
  <w:style w:type="paragraph" w:styleId="CommentSubject">
    <w:name w:val="annotation subject"/>
    <w:basedOn w:val="CommentText"/>
    <w:next w:val="CommentText"/>
    <w:link w:val="CommentSubjectChar"/>
    <w:rsid w:val="00DA2196"/>
    <w:rPr>
      <w:b/>
      <w:bCs/>
    </w:rPr>
  </w:style>
  <w:style w:type="character" w:customStyle="1" w:styleId="CommentSubjectChar">
    <w:name w:val="Comment Subject Char"/>
    <w:basedOn w:val="CommentTextChar"/>
    <w:link w:val="CommentSubject"/>
    <w:rsid w:val="00DA2196"/>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869</Words>
  <Characters>6604</Characters>
  <Application>Microsoft Office Word</Application>
  <DocSecurity>0</DocSecurity>
  <Lines>244</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2025-10-07T10:43:00Z</dcterms:created>
  <dcterms:modified xsi:type="dcterms:W3CDTF">2025-10-07T10:43:00Z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A10-0180/2025</vt:lpwstr>
  </property>
  <property fmtid="{D5CDD505-2E9C-101B-9397-08002B2CF9AE}" pid="4" name="&lt;Type&gt;">
    <vt:lpwstr>RR</vt:lpwstr>
  </property>
</Properties>
</file>