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0D8B" w14:paraId="1148AC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1277DC" w14:textId="77777777" w:rsidR="00751A4A" w:rsidRPr="00BE0D8B" w:rsidRDefault="00933223" w:rsidP="0010095E">
            <w:pPr>
              <w:pStyle w:val="EPName"/>
            </w:pPr>
            <w:r w:rsidRPr="00BE0D8B">
              <w:t>Parlamento europeo</w:t>
            </w:r>
          </w:p>
          <w:p w14:paraId="1C8D2C4F" w14:textId="77777777" w:rsidR="00751A4A" w:rsidRPr="00BE0D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D8B">
              <w:t>2024</w:t>
            </w:r>
            <w:r w:rsidR="00817416" w:rsidRPr="00BE0D8B">
              <w:t>-202</w:t>
            </w:r>
            <w:r w:rsidRPr="00BE0D8B">
              <w:t>9</w:t>
            </w:r>
          </w:p>
        </w:tc>
        <w:tc>
          <w:tcPr>
            <w:tcW w:w="2268" w:type="dxa"/>
            <w:shd w:val="clear" w:color="auto" w:fill="auto"/>
          </w:tcPr>
          <w:p w14:paraId="6EE99010" w14:textId="77777777" w:rsidR="00751A4A" w:rsidRPr="00BE0D8B" w:rsidRDefault="00187494" w:rsidP="0010095E">
            <w:pPr>
              <w:pStyle w:val="EPLogo"/>
            </w:pPr>
            <w:r w:rsidRPr="00BE0D8B">
              <w:rPr>
                <w:noProof/>
                <w:lang w:eastAsia="ja-JP"/>
              </w:rPr>
              <w:drawing>
                <wp:inline distT="0" distB="0" distL="0" distR="0" wp14:anchorId="3BC2C31C" wp14:editId="39C3D7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FB8ED" w14:textId="77777777" w:rsidR="00D058B8" w:rsidRPr="00BE0D8B" w:rsidRDefault="00D058B8" w:rsidP="004C5D52">
      <w:pPr>
        <w:pStyle w:val="LineTop"/>
      </w:pPr>
    </w:p>
    <w:p w14:paraId="58061CFC" w14:textId="77777777" w:rsidR="00680577" w:rsidRPr="00BE0D8B" w:rsidRDefault="00933223" w:rsidP="00680577">
      <w:pPr>
        <w:pStyle w:val="EPBodyTA1"/>
      </w:pPr>
      <w:r w:rsidRPr="00BE0D8B">
        <w:t>TESTI APPROVATI</w:t>
      </w:r>
    </w:p>
    <w:p w14:paraId="7D92D4EC" w14:textId="77777777" w:rsidR="00D058B8" w:rsidRPr="00BE0D8B" w:rsidRDefault="00D058B8" w:rsidP="00D058B8">
      <w:pPr>
        <w:pStyle w:val="LineBottom"/>
      </w:pPr>
    </w:p>
    <w:p w14:paraId="04FF58B9" w14:textId="00169AD6" w:rsidR="00933223" w:rsidRPr="00BE0D8B" w:rsidRDefault="00933223" w:rsidP="00933223">
      <w:pPr>
        <w:pStyle w:val="ATHeading1"/>
      </w:pPr>
      <w:bookmarkStart w:id="0" w:name="TANumber"/>
      <w:r w:rsidRPr="00BE0D8B">
        <w:t>P10_</w:t>
      </w:r>
      <w:proofErr w:type="gramStart"/>
      <w:r w:rsidRPr="00BE0D8B">
        <w:t>TA(</w:t>
      </w:r>
      <w:proofErr w:type="gramEnd"/>
      <w:r w:rsidRPr="00BE0D8B">
        <w:t>2025)0</w:t>
      </w:r>
      <w:bookmarkEnd w:id="0"/>
      <w:r w:rsidR="00BE0D8B" w:rsidRPr="00BE0D8B">
        <w:t>203</w:t>
      </w:r>
    </w:p>
    <w:p w14:paraId="52FB75C4" w14:textId="77777777" w:rsidR="00933223" w:rsidRPr="00BE0D8B" w:rsidRDefault="00933223" w:rsidP="00933223">
      <w:pPr>
        <w:pStyle w:val="ATHeading2"/>
      </w:pPr>
      <w:bookmarkStart w:id="1" w:name="title"/>
      <w:r w:rsidRPr="00BE0D8B">
        <w:t>Richiesta di revoca dell'immunità di Péter Magyar</w:t>
      </w:r>
      <w:bookmarkEnd w:id="1"/>
    </w:p>
    <w:p w14:paraId="13E1C1C3" w14:textId="77777777" w:rsidR="00933223" w:rsidRPr="00BE0D8B" w:rsidRDefault="00933223" w:rsidP="00933223">
      <w:pPr>
        <w:rPr>
          <w:i/>
          <w:vanish/>
        </w:rPr>
      </w:pPr>
      <w:r w:rsidRPr="00BE0D8B">
        <w:rPr>
          <w:i/>
        </w:rPr>
        <w:fldChar w:fldCharType="begin"/>
      </w:r>
      <w:r w:rsidRPr="00BE0D8B">
        <w:rPr>
          <w:i/>
        </w:rPr>
        <w:instrText xml:space="preserve"> TC"(</w:instrText>
      </w:r>
      <w:bookmarkStart w:id="2" w:name="DocNumber"/>
      <w:r w:rsidRPr="00BE0D8B">
        <w:rPr>
          <w:i/>
        </w:rPr>
        <w:instrText>A10-0180/2025</w:instrText>
      </w:r>
      <w:bookmarkEnd w:id="2"/>
      <w:r w:rsidRPr="00BE0D8B">
        <w:rPr>
          <w:i/>
        </w:rPr>
        <w:instrText xml:space="preserve"> - Relatore: Krzysztof Śmiszek)"\l3 \n&gt; \* MERGEFORMAT </w:instrText>
      </w:r>
      <w:r w:rsidRPr="00BE0D8B">
        <w:rPr>
          <w:i/>
        </w:rPr>
        <w:fldChar w:fldCharType="end"/>
      </w:r>
    </w:p>
    <w:p w14:paraId="56D31C59" w14:textId="77777777" w:rsidR="00933223" w:rsidRPr="00BE0D8B" w:rsidRDefault="00933223" w:rsidP="00933223">
      <w:pPr>
        <w:rPr>
          <w:vanish/>
        </w:rPr>
      </w:pPr>
      <w:bookmarkStart w:id="3" w:name="Commission"/>
      <w:r w:rsidRPr="00BE0D8B">
        <w:rPr>
          <w:vanish/>
        </w:rPr>
        <w:t>Commissione giuridica</w:t>
      </w:r>
      <w:bookmarkEnd w:id="3"/>
    </w:p>
    <w:p w14:paraId="7BF3593F" w14:textId="77777777" w:rsidR="00933223" w:rsidRPr="00BE0D8B" w:rsidRDefault="00933223" w:rsidP="00933223">
      <w:pPr>
        <w:rPr>
          <w:vanish/>
        </w:rPr>
      </w:pPr>
      <w:bookmarkStart w:id="4" w:name="PE"/>
      <w:r w:rsidRPr="00BE0D8B">
        <w:rPr>
          <w:vanish/>
        </w:rPr>
        <w:t>PE770.241</w:t>
      </w:r>
      <w:bookmarkEnd w:id="4"/>
    </w:p>
    <w:p w14:paraId="270E45C3" w14:textId="329A17B0" w:rsidR="00933223" w:rsidRPr="00BE0D8B" w:rsidRDefault="00933223" w:rsidP="00B84647">
      <w:pPr>
        <w:pStyle w:val="ATHeading3"/>
      </w:pPr>
      <w:bookmarkStart w:id="5" w:name="Sujet"/>
      <w:r w:rsidRPr="00BE0D8B">
        <w:t>Decisione del Parlamento europeo del 7 ottobre 2025 sulla richiesta di revoca dell'immunità di Péter Magyar</w:t>
      </w:r>
      <w:bookmarkEnd w:id="5"/>
      <w:r w:rsidRPr="00BE0D8B">
        <w:t xml:space="preserve"> </w:t>
      </w:r>
      <w:bookmarkStart w:id="6" w:name="References"/>
      <w:r w:rsidRPr="00BE0D8B">
        <w:t>(2024/2063(IMM))</w:t>
      </w:r>
      <w:bookmarkEnd w:id="6"/>
    </w:p>
    <w:p w14:paraId="6997106C" w14:textId="77777777" w:rsidR="007B1DBE" w:rsidRPr="00BE0D8B" w:rsidRDefault="007B1DBE" w:rsidP="007B1DBE">
      <w:pPr>
        <w:pStyle w:val="EPComma"/>
      </w:pPr>
      <w:bookmarkStart w:id="7" w:name="TextBodyBegin"/>
      <w:bookmarkEnd w:id="7"/>
      <w:r w:rsidRPr="00BE0D8B">
        <w:rPr>
          <w:i/>
          <w:iCs/>
        </w:rPr>
        <w:t>Il Parlamento europeo</w:t>
      </w:r>
      <w:r w:rsidRPr="00BE0D8B">
        <w:t>,</w:t>
      </w:r>
    </w:p>
    <w:p w14:paraId="635DDD1E" w14:textId="443273F2" w:rsidR="007B1DBE" w:rsidRPr="00BE0D8B" w:rsidRDefault="007B1DBE" w:rsidP="007B1DBE">
      <w:pPr>
        <w:pStyle w:val="NormalHanging12a"/>
      </w:pPr>
      <w:r w:rsidRPr="00BE0D8B">
        <w:t>–</w:t>
      </w:r>
      <w:r w:rsidRPr="00BE0D8B">
        <w:tab/>
        <w:t xml:space="preserve">vista la richiesta di revoca dell'immunità di Péter Magyar, </w:t>
      </w:r>
      <w:r w:rsidR="00CF74FB" w:rsidRPr="00BE0D8B">
        <w:t xml:space="preserve">del </w:t>
      </w:r>
      <w:r w:rsidRPr="00BE0D8B">
        <w:t>26 settembre 2024</w:t>
      </w:r>
      <w:r w:rsidR="00CF74FB" w:rsidRPr="00BE0D8B">
        <w:t>, trasmessa</w:t>
      </w:r>
      <w:r w:rsidRPr="00BE0D8B">
        <w:t xml:space="preserve"> dal procuratore generale dell'Ungheria, nel quadro di un procedimento penale avviato a </w:t>
      </w:r>
      <w:r w:rsidR="00B84647" w:rsidRPr="00BE0D8B">
        <w:t xml:space="preserve">suo </w:t>
      </w:r>
      <w:r w:rsidRPr="00BE0D8B">
        <w:t>carico, e comunicata in Aula il 10 ottobre 2024,</w:t>
      </w:r>
    </w:p>
    <w:p w14:paraId="22F8B898" w14:textId="77777777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avendo ascoltato Péter Magyar il 24 giugno 2025 a norma dell'articolo 9, paragrafo 6, del suo regolamento,</w:t>
      </w:r>
    </w:p>
    <w:p w14:paraId="3ACE59E3" w14:textId="77777777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viste le informazioni supplementari trasmesse dal procuratore generale dell'Ungheria,</w:t>
      </w:r>
    </w:p>
    <w:p w14:paraId="195B3BEC" w14:textId="77777777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visti gli articoli 8 e 9 del protocollo n. 7 sui privilegi e sulle immunità dell'Unione europea e l'articolo 6, paragrafo 2, dell'atto relativo all'elezione dei membri del Parlamento europeo a suffragio universale diretto, del 20 settembre 1976,</w:t>
      </w:r>
    </w:p>
    <w:p w14:paraId="5C169A22" w14:textId="5E96EEB8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visto l'articolo </w:t>
      </w:r>
      <w:r w:rsidRPr="00BE0D8B">
        <w:rPr>
          <w:color w:val="000000"/>
          <w:shd w:val="clear" w:color="auto" w:fill="FFFFFF"/>
        </w:rPr>
        <w:t xml:space="preserve">4, paragrafo 2, della </w:t>
      </w:r>
      <w:r w:rsidR="00AC1D15" w:rsidRPr="00BE0D8B">
        <w:rPr>
          <w:color w:val="000000"/>
          <w:shd w:val="clear" w:color="auto" w:fill="FFFFFF"/>
        </w:rPr>
        <w:t>L</w:t>
      </w:r>
      <w:r w:rsidRPr="00BE0D8B">
        <w:rPr>
          <w:color w:val="000000"/>
          <w:shd w:val="clear" w:color="auto" w:fill="FFFFFF"/>
        </w:rPr>
        <w:t>egge fondamentale dell'Ungheria</w:t>
      </w:r>
      <w:r w:rsidRPr="00BE0D8B">
        <w:t>,</w:t>
      </w:r>
    </w:p>
    <w:p w14:paraId="6A23FC8A" w14:textId="77777777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viste le sentenze pronunciate dalla Corte di giustizia dell'Unione europea il 21 ottobre 2008, 19 marzo 2010, 6 settembre 2011, 17 gennaio 2013, 19 dicembre 2019 e 5 luglio 2023</w:t>
      </w:r>
      <w:r w:rsidRPr="00BE0D8B">
        <w:rPr>
          <w:rStyle w:val="FootnoteReference"/>
          <w:color w:val="000000"/>
        </w:rPr>
        <w:footnoteReference w:id="1"/>
      </w:r>
      <w:r w:rsidRPr="00BE0D8B">
        <w:t>,</w:t>
      </w:r>
    </w:p>
    <w:p w14:paraId="019C3372" w14:textId="77777777" w:rsidR="007B1DBE" w:rsidRPr="00BE0D8B" w:rsidRDefault="007B1DBE" w:rsidP="007B1DBE">
      <w:pPr>
        <w:pStyle w:val="NormalHanging12a"/>
        <w:widowControl/>
      </w:pPr>
      <w:r w:rsidRPr="00BE0D8B">
        <w:lastRenderedPageBreak/>
        <w:t>–</w:t>
      </w:r>
      <w:r w:rsidRPr="00BE0D8B">
        <w:tab/>
        <w:t>visti l'articolo 5, paragrafo 2, l'articolo 6, paragrafo 1, e l'articolo 9 del suo regolamento,</w:t>
      </w:r>
    </w:p>
    <w:p w14:paraId="606E52CF" w14:textId="77777777" w:rsidR="007B1DBE" w:rsidRPr="00BE0D8B" w:rsidRDefault="007B1DBE" w:rsidP="007B1DBE">
      <w:pPr>
        <w:pStyle w:val="NormalHanging12a"/>
        <w:widowControl/>
      </w:pPr>
      <w:r w:rsidRPr="00BE0D8B">
        <w:t>–</w:t>
      </w:r>
      <w:r w:rsidRPr="00BE0D8B">
        <w:tab/>
        <w:t>vista la relazione della commissione giuridica (A10</w:t>
      </w:r>
      <w:r w:rsidRPr="00BE0D8B">
        <w:noBreakHyphen/>
        <w:t>0180/2025),</w:t>
      </w:r>
    </w:p>
    <w:p w14:paraId="036BCA76" w14:textId="4FA5F4B6" w:rsidR="007B1DBE" w:rsidRPr="00BE0D8B" w:rsidRDefault="007B1DBE" w:rsidP="007B1DBE">
      <w:pPr>
        <w:pStyle w:val="NormalHanging12a"/>
        <w:widowControl/>
      </w:pPr>
      <w:r w:rsidRPr="00BE0D8B">
        <w:t>A.</w:t>
      </w:r>
      <w:r w:rsidRPr="00BE0D8B">
        <w:tab/>
        <w:t xml:space="preserve">considerando che </w:t>
      </w:r>
      <w:r w:rsidR="00AC1D15" w:rsidRPr="00BE0D8B">
        <w:t xml:space="preserve">il 26 settembre 2024 </w:t>
      </w:r>
      <w:r w:rsidRPr="00BE0D8B">
        <w:t xml:space="preserve">il procuratore generale dell'Ungheria ha </w:t>
      </w:r>
      <w:r w:rsidR="00AC1D15" w:rsidRPr="00BE0D8B">
        <w:t xml:space="preserve">trasmesso </w:t>
      </w:r>
      <w:r w:rsidRPr="00BE0D8B">
        <w:t>una richiesta di revoca dell'immunità di Péter Magyar, deputato al Parlamento europeo</w:t>
      </w:r>
      <w:r w:rsidR="00AC1D15" w:rsidRPr="00BE0D8B">
        <w:t xml:space="preserve"> eletto in Ungheria</w:t>
      </w:r>
      <w:r w:rsidRPr="00BE0D8B">
        <w:t>, in relazione a</w:t>
      </w:r>
      <w:r w:rsidR="00FE79E1" w:rsidRPr="00BE0D8B">
        <w:t>lle</w:t>
      </w:r>
      <w:r w:rsidRPr="00BE0D8B">
        <w:t xml:space="preserve"> accuse di un presunto reato di furto di beni di modesto valore, in violazione dell'articolo 370, paragrafo 1</w:t>
      </w:r>
      <w:r w:rsidR="00AC1D15" w:rsidRPr="00BE0D8B">
        <w:t>,</w:t>
      </w:r>
      <w:r w:rsidRPr="00BE0D8B">
        <w:t xml:space="preserve"> e</w:t>
      </w:r>
      <w:r w:rsidR="00AC1D15" w:rsidRPr="00BE0D8B">
        <w:t xml:space="preserve"> dell’articolo 370,</w:t>
      </w:r>
      <w:r w:rsidRPr="00BE0D8B">
        <w:t xml:space="preserve"> paragrafo 2, lettera a), della legge n. C del 2012 (</w:t>
      </w:r>
      <w:proofErr w:type="gramStart"/>
      <w:r w:rsidRPr="00BE0D8B">
        <w:t>codice penale</w:t>
      </w:r>
      <w:proofErr w:type="gramEnd"/>
      <w:r w:rsidRPr="00BE0D8B">
        <w:t xml:space="preserve"> ungherese);</w:t>
      </w:r>
    </w:p>
    <w:p w14:paraId="5942C817" w14:textId="08C9746E" w:rsidR="007B1DBE" w:rsidRPr="00BE0D8B" w:rsidRDefault="007B1DBE" w:rsidP="007B1DBE">
      <w:pPr>
        <w:pStyle w:val="BodyText"/>
        <w:shd w:val="clear" w:color="auto" w:fill="auto"/>
        <w:ind w:left="567" w:hanging="567"/>
        <w:jc w:val="left"/>
      </w:pPr>
      <w:r w:rsidRPr="00BE0D8B">
        <w:rPr>
          <w:shd w:val="clear" w:color="auto" w:fill="FFFFFF"/>
        </w:rPr>
        <w:t>B.</w:t>
      </w:r>
      <w:r w:rsidRPr="00BE0D8B">
        <w:rPr>
          <w:shd w:val="clear" w:color="auto" w:fill="FFFFFF"/>
        </w:rPr>
        <w:tab/>
      </w:r>
      <w:r w:rsidRPr="00BE0D8B">
        <w:t xml:space="preserve">considerando che, secondo quanto indicato nella richiesta, il 21 giugno 2024 Péter Magyar si trovava in una discoteca di Budapest, dove è stato riconosciuto dalla parte lesa, che lo ha </w:t>
      </w:r>
      <w:r w:rsidR="00FE79E1" w:rsidRPr="00BE0D8B">
        <w:t>registrato in un video</w:t>
      </w:r>
      <w:r w:rsidRPr="00BE0D8B">
        <w:t xml:space="preserve">; che nella richiesta </w:t>
      </w:r>
      <w:r w:rsidR="00D076A3" w:rsidRPr="00BE0D8B">
        <w:t xml:space="preserve">è </w:t>
      </w:r>
      <w:r w:rsidRPr="00BE0D8B">
        <w:t>altresì indicato che tra Péter Magyar e la parte lesa è seguita un'altercazione di ridotta entità durante la quale Péter Magyar ha afferrato il telefono dalla mano della parte lesa in modo da interrompere la registrazione, si è messo il telefono in tasca e si è allontanato; che successivamente vi è stata una seconda discussione tra le due parti, conclusasi con il loro allontanamento forzato dal locale da parte degli agenti di sicurezza; che, nonostante le richieste della parte lesa di restituirle il telefono, Péter Magyar lo avrebbe gettato nel Danubio;</w:t>
      </w:r>
    </w:p>
    <w:p w14:paraId="7202EF2C" w14:textId="338445BA" w:rsidR="007B1DBE" w:rsidRPr="00BE0D8B" w:rsidRDefault="007B1DBE" w:rsidP="007B1DBE">
      <w:pPr>
        <w:pStyle w:val="NormalHanging12a"/>
        <w:widowControl/>
      </w:pPr>
      <w:r w:rsidRPr="00BE0D8B">
        <w:t>C.</w:t>
      </w:r>
      <w:r w:rsidRPr="00BE0D8B">
        <w:tab/>
        <w:t xml:space="preserve">considerando che, </w:t>
      </w:r>
      <w:r w:rsidR="00D076A3" w:rsidRPr="00BE0D8B">
        <w:t xml:space="preserve">secondo quanto indicato nella </w:t>
      </w:r>
      <w:r w:rsidRPr="00BE0D8B">
        <w:t>richiesta, i sommozzatori della polizia accorsi sul posto hanno recuperato il telefono, di un valore di circa 130 000-150 000 HUF, dal Danubio e lo hanno restituito, ancora funzionante, alla parte lesa;</w:t>
      </w:r>
    </w:p>
    <w:p w14:paraId="759E5C7F" w14:textId="168E0DD3" w:rsidR="007B1DBE" w:rsidRPr="00BE0D8B" w:rsidRDefault="007B1DBE" w:rsidP="007B1DBE">
      <w:pPr>
        <w:pStyle w:val="NormalHanging12a"/>
        <w:widowControl/>
      </w:pPr>
      <w:r w:rsidRPr="00BE0D8B">
        <w:t>D.</w:t>
      </w:r>
      <w:r w:rsidRPr="00BE0D8B">
        <w:tab/>
      </w:r>
      <w:r w:rsidRPr="00BE0D8B">
        <w:rPr>
          <w:shd w:val="clear" w:color="auto" w:fill="FFFFFF"/>
        </w:rPr>
        <w:t xml:space="preserve">considerando che </w:t>
      </w:r>
      <w:r w:rsidRPr="00BE0D8B">
        <w:t xml:space="preserve">Péter Magyar </w:t>
      </w:r>
      <w:r w:rsidRPr="00BE0D8B">
        <w:rPr>
          <w:shd w:val="clear" w:color="auto" w:fill="FFFFFF"/>
        </w:rPr>
        <w:t>è stato eletto al Parlamento europeo alle elezioni europee del giugno 2024</w:t>
      </w:r>
      <w:r w:rsidRPr="00BE0D8B">
        <w:t>; che</w:t>
      </w:r>
      <w:r w:rsidRPr="00BE0D8B">
        <w:rPr>
          <w:shd w:val="clear" w:color="auto" w:fill="FFFFFF"/>
        </w:rPr>
        <w:t xml:space="preserve"> i risultati delle elezioni europee in Ungheria sono stati proclamati dalle autorità ungheresi il 14 giugno 2024 e che </w:t>
      </w:r>
      <w:r w:rsidRPr="00BE0D8B">
        <w:t xml:space="preserve">Péter Magyar </w:t>
      </w:r>
      <w:r w:rsidRPr="00BE0D8B">
        <w:rPr>
          <w:shd w:val="clear" w:color="auto" w:fill="FFFFFF"/>
        </w:rPr>
        <w:t xml:space="preserve">faceva parte dei deputati al Parlamento europeo ufficialmente proclamati eletti in Ungheria; che </w:t>
      </w:r>
      <w:r w:rsidRPr="00BE0D8B">
        <w:t>Péter Magyar era</w:t>
      </w:r>
      <w:r w:rsidRPr="00BE0D8B">
        <w:rPr>
          <w:shd w:val="clear" w:color="auto" w:fill="FFFFFF"/>
        </w:rPr>
        <w:t xml:space="preserve"> dunque deputato al Parlamento europeo </w:t>
      </w:r>
      <w:r w:rsidR="00D076A3" w:rsidRPr="00BE0D8B">
        <w:rPr>
          <w:shd w:val="clear" w:color="auto" w:fill="FFFFFF"/>
        </w:rPr>
        <w:t>all’epoca</w:t>
      </w:r>
      <w:r w:rsidRPr="00BE0D8B">
        <w:rPr>
          <w:shd w:val="clear" w:color="auto" w:fill="FFFFFF"/>
        </w:rPr>
        <w:t xml:space="preserve"> del presunto reato e delle indagini svolte dalle autorità competenti;</w:t>
      </w:r>
    </w:p>
    <w:p w14:paraId="574F7B88" w14:textId="32FDFEAC" w:rsidR="007B1DBE" w:rsidRPr="00BE0D8B" w:rsidRDefault="007B1DBE" w:rsidP="007B1DBE">
      <w:pPr>
        <w:pStyle w:val="NormalHanging12a"/>
        <w:widowControl/>
      </w:pPr>
      <w:r w:rsidRPr="00BE0D8B">
        <w:t>E.</w:t>
      </w:r>
      <w:r w:rsidRPr="00BE0D8B">
        <w:tab/>
        <w:t xml:space="preserve">considerando che il presunto reato e la successiva richiesta di revoca dell'immunità non si riferiscono </w:t>
      </w:r>
      <w:r w:rsidR="00D076A3" w:rsidRPr="00BE0D8B">
        <w:t>a un’</w:t>
      </w:r>
      <w:r w:rsidRPr="00BE0D8B">
        <w:t>opinion</w:t>
      </w:r>
      <w:r w:rsidR="00D076A3" w:rsidRPr="00BE0D8B">
        <w:t>e</w:t>
      </w:r>
      <w:r w:rsidRPr="00BE0D8B">
        <w:t xml:space="preserve"> o a</w:t>
      </w:r>
      <w:r w:rsidR="00D076A3" w:rsidRPr="00BE0D8B">
        <w:t xml:space="preserve"> un</w:t>
      </w:r>
      <w:r w:rsidRPr="00BE0D8B">
        <w:t xml:space="preserve"> vot</w:t>
      </w:r>
      <w:r w:rsidR="00D076A3" w:rsidRPr="00BE0D8B">
        <w:t>o</w:t>
      </w:r>
      <w:r w:rsidRPr="00BE0D8B">
        <w:t xml:space="preserve"> espress</w:t>
      </w:r>
      <w:r w:rsidR="00386213" w:rsidRPr="00BE0D8B">
        <w:t>i</w:t>
      </w:r>
      <w:r w:rsidRPr="00BE0D8B">
        <w:t xml:space="preserve"> da Péter Magyar nell'esercizio delle sue funzioni ai sensi dell'articolo 8 del protocollo n. 7 sui privilegi e sulle immunità dell'Unione europea;</w:t>
      </w:r>
    </w:p>
    <w:p w14:paraId="1F42F2F0" w14:textId="77777777" w:rsidR="007B1DBE" w:rsidRPr="00BE0D8B" w:rsidRDefault="007B1DBE" w:rsidP="007B1DBE">
      <w:pPr>
        <w:pStyle w:val="NormalHanging12a"/>
        <w:widowControl/>
      </w:pPr>
      <w:r w:rsidRPr="00BE0D8B">
        <w:t>F.</w:t>
      </w:r>
      <w:r w:rsidRPr="00BE0D8B">
        <w:tab/>
        <w:t>considerando che l'articolo 9, primo comma, lettera a), del protocollo n. 7 sui privilegi e sulle immunità dell'Unione europea stabilisce che i membri del Parlamento europeo beneficiano, sul territorio nazionale, delle immunità riconosciute ai membri del parlamento del loro paese;</w:t>
      </w:r>
    </w:p>
    <w:p w14:paraId="666EB58E" w14:textId="4D58F0DB" w:rsidR="007B1DBE" w:rsidRPr="00BE0D8B" w:rsidRDefault="007B1DBE" w:rsidP="007B1DBE">
      <w:pPr>
        <w:pStyle w:val="NormalHanging12a"/>
        <w:widowControl/>
      </w:pPr>
      <w:r w:rsidRPr="00BE0D8B">
        <w:t>G.</w:t>
      </w:r>
      <w:r w:rsidRPr="00BE0D8B">
        <w:tab/>
        <w:t>considerando che</w:t>
      </w:r>
      <w:r w:rsidRPr="00BE0D8B">
        <w:rPr>
          <w:color w:val="000000"/>
          <w:shd w:val="clear" w:color="auto" w:fill="FFFFFF"/>
        </w:rPr>
        <w:t xml:space="preserve">, a norma dell'articolo 4, paragrafo 2, della </w:t>
      </w:r>
      <w:r w:rsidR="00CE143A" w:rsidRPr="00BE0D8B">
        <w:rPr>
          <w:color w:val="000000"/>
          <w:shd w:val="clear" w:color="auto" w:fill="FFFFFF"/>
        </w:rPr>
        <w:t>L</w:t>
      </w:r>
      <w:r w:rsidRPr="00BE0D8B">
        <w:rPr>
          <w:color w:val="000000"/>
          <w:shd w:val="clear" w:color="auto" w:fill="FFFFFF"/>
        </w:rPr>
        <w:t xml:space="preserve">egge fondamentale dell'Ungheria, i membri del Parlamento ungherese beneficiano </w:t>
      </w:r>
      <w:r w:rsidR="00CE143A" w:rsidRPr="00BE0D8B">
        <w:rPr>
          <w:color w:val="000000"/>
          <w:shd w:val="clear" w:color="auto" w:fill="FFFFFF"/>
        </w:rPr>
        <w:t>dell’</w:t>
      </w:r>
      <w:r w:rsidRPr="00BE0D8B">
        <w:rPr>
          <w:color w:val="000000"/>
          <w:shd w:val="clear" w:color="auto" w:fill="FFFFFF"/>
        </w:rPr>
        <w:t>immunità</w:t>
      </w:r>
      <w:r w:rsidR="00CE143A" w:rsidRPr="00BE0D8B">
        <w:rPr>
          <w:color w:val="000000"/>
          <w:shd w:val="clear" w:color="auto" w:fill="FFFFFF"/>
        </w:rPr>
        <w:t xml:space="preserve"> parlamentare</w:t>
      </w:r>
      <w:r w:rsidRPr="00BE0D8B">
        <w:rPr>
          <w:color w:val="000000"/>
          <w:shd w:val="clear" w:color="auto" w:fill="FFFFFF"/>
        </w:rPr>
        <w:t xml:space="preserve">; che, a norma dell'articolo 79, paragrafo 2, della legge n. XXXVI del 2012 relativa all'Assemblea nazionale, </w:t>
      </w:r>
      <w:r w:rsidRPr="00BE0D8B">
        <w:t xml:space="preserve">una persona registrata con effetto definitivo e vincolante come candidato gode della stessa immunità riconosciuta ai deputati fino a quando il risultato delle elezioni non diventi definitivo e vincolante e che, in ogni caso, a norma dell'articolo 79, paragrafo 1, di tale legge, i deputati godono dell'immunità a decorrere dal giorno della loro elezione; </w:t>
      </w:r>
      <w:r w:rsidRPr="00BE0D8B">
        <w:rPr>
          <w:color w:val="000000"/>
          <w:shd w:val="clear" w:color="auto" w:fill="FFFFFF"/>
        </w:rPr>
        <w:t xml:space="preserve">che, a norma dell'articolo 74, paragrafo 1, della legge ungherese n. XXXVI del 2012 relativa all'Assemblea nazionale, possono essere avviati o portati avanti procedimenti penali o, in caso di mancata revoca volontaria </w:t>
      </w:r>
      <w:r w:rsidRPr="00BE0D8B">
        <w:rPr>
          <w:color w:val="000000"/>
          <w:shd w:val="clear" w:color="auto" w:fill="FFFFFF"/>
        </w:rPr>
        <w:lastRenderedPageBreak/>
        <w:t xml:space="preserve">dell'immunità in relazione alla questione in esame, procedimenti per reati minori e possono essere applicate misure coercitive </w:t>
      </w:r>
      <w:r w:rsidR="00FE79E1" w:rsidRPr="00BE0D8B">
        <w:rPr>
          <w:color w:val="000000"/>
          <w:shd w:val="clear" w:color="auto" w:fill="FFFFFF"/>
        </w:rPr>
        <w:t xml:space="preserve">nell’ambito di un procedimento </w:t>
      </w:r>
      <w:r w:rsidR="00CE143A" w:rsidRPr="00BE0D8B">
        <w:rPr>
          <w:color w:val="000000"/>
          <w:shd w:val="clear" w:color="auto" w:fill="FFFFFF"/>
        </w:rPr>
        <w:t xml:space="preserve">penale </w:t>
      </w:r>
      <w:r w:rsidRPr="00BE0D8B">
        <w:rPr>
          <w:color w:val="000000"/>
          <w:shd w:val="clear" w:color="auto" w:fill="FFFFFF"/>
        </w:rPr>
        <w:t>nei confronti di un deputato solo previo consenso dell'Assemblea nazionale;</w:t>
      </w:r>
    </w:p>
    <w:p w14:paraId="4037F6A8" w14:textId="357B90D7" w:rsidR="007B1DBE" w:rsidRPr="00BE0D8B" w:rsidRDefault="007B1DBE" w:rsidP="007B1DBE">
      <w:pPr>
        <w:pStyle w:val="NormalHanging12a"/>
        <w:widowControl/>
      </w:pPr>
      <w:r w:rsidRPr="00BE0D8B">
        <w:t>H.</w:t>
      </w:r>
      <w:r w:rsidRPr="00BE0D8B">
        <w:tab/>
        <w:t xml:space="preserve">considerando che, </w:t>
      </w:r>
      <w:r w:rsidR="00321D8E" w:rsidRPr="00BE0D8B">
        <w:t>conformemente</w:t>
      </w:r>
      <w:r w:rsidRPr="00BE0D8B">
        <w:t xml:space="preserve"> </w:t>
      </w:r>
      <w:r w:rsidR="00321D8E" w:rsidRPr="00BE0D8B">
        <w:t>a</w:t>
      </w:r>
      <w:r w:rsidRPr="00BE0D8B">
        <w:t>ll'articolo 5, paragrafo 2, del regolamento, l'immunità parlamentare non è un privilegio personale del deputato, ma una garanzia di indipendenza del Parlamento europeo in quanto istituzione e dei suoi membri;</w:t>
      </w:r>
    </w:p>
    <w:p w14:paraId="3DFE5E5A" w14:textId="77777777" w:rsidR="007B1DBE" w:rsidRPr="00BE0D8B" w:rsidRDefault="007B1DBE" w:rsidP="00AC1D15">
      <w:pPr>
        <w:widowControl/>
        <w:spacing w:after="240"/>
        <w:ind w:left="567" w:hanging="567"/>
      </w:pPr>
      <w:r w:rsidRPr="00BE0D8B">
        <w:t>I.</w:t>
      </w:r>
      <w:r w:rsidRPr="00BE0D8B">
        <w:tab/>
        <w:t xml:space="preserve">considerando che l'immunità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 </w:t>
      </w:r>
    </w:p>
    <w:p w14:paraId="767D6679" w14:textId="77777777" w:rsidR="007B1DBE" w:rsidRPr="00BE0D8B" w:rsidRDefault="007B1DBE" w:rsidP="007B1DBE">
      <w:pPr>
        <w:pStyle w:val="NormalHanging12a"/>
      </w:pPr>
      <w:r w:rsidRPr="00BE0D8B">
        <w:t>J.</w:t>
      </w:r>
      <w:r w:rsidRPr="00BE0D8B">
        <w:tab/>
        <w:t>considerando che, secondo la giurisprudenza della Corte di giustizia dell'Unione europea, il Parlamento dispone di "un ampio potere discrezionale in ordine all'orientamento che intende attribuire alla decisione che fa seguito a una domanda di revoca dell'immunità [...], in considerazione del carattere politico che riveste una tale decisione"</w:t>
      </w:r>
      <w:r w:rsidRPr="00BE0D8B">
        <w:rPr>
          <w:vertAlign w:val="superscript"/>
        </w:rPr>
        <w:footnoteReference w:id="2"/>
      </w:r>
      <w:r w:rsidRPr="00BE0D8B">
        <w:t>;</w:t>
      </w:r>
    </w:p>
    <w:p w14:paraId="43D12A51" w14:textId="7F5B31AC" w:rsidR="007B1DBE" w:rsidRPr="00BE0D8B" w:rsidRDefault="007B1DBE" w:rsidP="007B1DBE">
      <w:pPr>
        <w:pStyle w:val="NormalHanging12a"/>
      </w:pPr>
      <w:r w:rsidRPr="00BE0D8B">
        <w:t>K.</w:t>
      </w:r>
      <w:r w:rsidRPr="00BE0D8B">
        <w:tab/>
        <w:t>considerando che Péter Magyar è presidente del partito Tisza (</w:t>
      </w:r>
      <w:proofErr w:type="spellStart"/>
      <w:r w:rsidRPr="00BE0D8B">
        <w:rPr>
          <w:i/>
          <w:iCs/>
        </w:rPr>
        <w:t>Tisztelet</w:t>
      </w:r>
      <w:proofErr w:type="spellEnd"/>
      <w:r w:rsidRPr="00BE0D8B">
        <w:rPr>
          <w:i/>
          <w:iCs/>
        </w:rPr>
        <w:t xml:space="preserve"> </w:t>
      </w:r>
      <w:proofErr w:type="spellStart"/>
      <w:r w:rsidRPr="00BE0D8B">
        <w:rPr>
          <w:i/>
          <w:iCs/>
        </w:rPr>
        <w:t>és</w:t>
      </w:r>
      <w:proofErr w:type="spellEnd"/>
      <w:r w:rsidRPr="00BE0D8B">
        <w:rPr>
          <w:i/>
          <w:iCs/>
        </w:rPr>
        <w:t xml:space="preserve"> </w:t>
      </w:r>
      <w:proofErr w:type="spellStart"/>
      <w:r w:rsidRPr="00BE0D8B">
        <w:rPr>
          <w:i/>
          <w:iCs/>
        </w:rPr>
        <w:t>Szabadság</w:t>
      </w:r>
      <w:proofErr w:type="spellEnd"/>
      <w:r w:rsidRPr="00BE0D8B">
        <w:rPr>
          <w:i/>
          <w:iCs/>
        </w:rPr>
        <w:t xml:space="preserve"> </w:t>
      </w:r>
      <w:proofErr w:type="spellStart"/>
      <w:r w:rsidRPr="00BE0D8B">
        <w:rPr>
          <w:i/>
          <w:iCs/>
        </w:rPr>
        <w:t>Párt</w:t>
      </w:r>
      <w:proofErr w:type="spellEnd"/>
      <w:r w:rsidRPr="00BE0D8B">
        <w:t xml:space="preserve">) nonché capolista di tale partito alle elezioni europee del 2024; che Péter Magyar è stato un forte oppositore delle politiche e delle posizioni del governo ungherese, comprese quelle relative all'Unione; che i fatti che hanno dato luogo alla richiesta di revoca dell'immunità, le incoerenze nel modo in cui sono state condotte le indagini della polizia, compresa la risposta incompleta del procuratore </w:t>
      </w:r>
      <w:r w:rsidR="00E12881" w:rsidRPr="00BE0D8B">
        <w:t xml:space="preserve">generale dell’Ungheria </w:t>
      </w:r>
      <w:r w:rsidRPr="00BE0D8B">
        <w:t xml:space="preserve">in merito alla proporzionalità delle azioni intraprese dalle autorità nel caso di Péter Magyar rispetto a situazioni analoghe riguardanti beni di scarso valore, e la mancanza di chiarezza nella risposta delle autorità competenti in merito alla qualificazione giuridica del presunto reato contestato a Péter Magyar sollevano preoccupazioni circa il fatto che l'intenzione alla base del procedimento possa essere stata quella di danneggiare la reputazione </w:t>
      </w:r>
      <w:bookmarkStart w:id="8" w:name="_Hlk210731852"/>
      <w:r w:rsidR="00E12881" w:rsidRPr="00BE0D8B">
        <w:t>di Péter Magyar</w:t>
      </w:r>
      <w:bookmarkEnd w:id="8"/>
      <w:r w:rsidRPr="00BE0D8B">
        <w:t xml:space="preserve">; </w:t>
      </w:r>
    </w:p>
    <w:p w14:paraId="4A5130BA" w14:textId="3A2C84FB" w:rsidR="007B1DBE" w:rsidRPr="00BE0D8B" w:rsidRDefault="007B1DBE" w:rsidP="007B1DBE">
      <w:pPr>
        <w:pStyle w:val="NormalHanging12a"/>
      </w:pPr>
      <w:r w:rsidRPr="00BE0D8B">
        <w:t>L.</w:t>
      </w:r>
      <w:r w:rsidRPr="00BE0D8B">
        <w:tab/>
        <w:t>considerando che sembrerebbe dunque</w:t>
      </w:r>
      <w:r w:rsidR="00E12881" w:rsidRPr="00BE0D8B">
        <w:t>, in questo caso, che si possa</w:t>
      </w:r>
      <w:r w:rsidRPr="00BE0D8B">
        <w:t xml:space="preserve"> presupporre </w:t>
      </w:r>
      <w:r w:rsidR="00E12881" w:rsidRPr="00BE0D8B">
        <w:t>la sussistenza del</w:t>
      </w:r>
      <w:r w:rsidRPr="00BE0D8B">
        <w:t xml:space="preserve"> </w:t>
      </w:r>
      <w:r w:rsidRPr="00BE0D8B">
        <w:rPr>
          <w:i/>
          <w:iCs/>
        </w:rPr>
        <w:t xml:space="preserve">fumus </w:t>
      </w:r>
      <w:proofErr w:type="spellStart"/>
      <w:r w:rsidRPr="00BE0D8B">
        <w:rPr>
          <w:i/>
          <w:iCs/>
        </w:rPr>
        <w:t>persecutionis</w:t>
      </w:r>
      <w:proofErr w:type="spellEnd"/>
      <w:r w:rsidRPr="00BE0D8B">
        <w:t>, vale a dire "elementi concreti"</w:t>
      </w:r>
      <w:r w:rsidRPr="00BE0D8B">
        <w:rPr>
          <w:vertAlign w:val="superscript"/>
        </w:rPr>
        <w:footnoteReference w:id="3"/>
      </w:r>
      <w:r w:rsidRPr="00BE0D8B">
        <w:t xml:space="preserve"> dai quali si evince che l'intento alla base del procedimento giudiziario in questione è quello di </w:t>
      </w:r>
      <w:r w:rsidR="00E12881" w:rsidRPr="00BE0D8B">
        <w:t>recare pregiudizio al</w:t>
      </w:r>
      <w:r w:rsidRPr="00BE0D8B">
        <w:t>l'attività politica di Péter Magyar, in particolare la sua attività di deputato al Parlamento europeo;</w:t>
      </w:r>
    </w:p>
    <w:p w14:paraId="27C73E77" w14:textId="77777777" w:rsidR="007B1DBE" w:rsidRPr="00BE0D8B" w:rsidRDefault="007B1DBE" w:rsidP="007B1DBE">
      <w:pPr>
        <w:pStyle w:val="NormalHanging12a"/>
        <w:widowControl/>
      </w:pPr>
      <w:r w:rsidRPr="00BE0D8B">
        <w:t>M.</w:t>
      </w:r>
      <w:r w:rsidRPr="00BE0D8B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BE0D8B">
        <w:rPr>
          <w:vertAlign w:val="superscript"/>
        </w:rPr>
        <w:footnoteReference w:id="4"/>
      </w:r>
      <w:r w:rsidRPr="00BE0D8B">
        <w:t>;</w:t>
      </w:r>
    </w:p>
    <w:p w14:paraId="21B42E7A" w14:textId="77777777" w:rsidR="007B1DBE" w:rsidRPr="00BE0D8B" w:rsidRDefault="007B1DBE" w:rsidP="007B1DBE">
      <w:pPr>
        <w:pStyle w:val="NormalHanging12a"/>
      </w:pPr>
      <w:r w:rsidRPr="00BE0D8B">
        <w:t>1.</w:t>
      </w:r>
      <w:r w:rsidRPr="00BE0D8B">
        <w:tab/>
        <w:t>decide di non revocare l'immunità di Péter Magyar;</w:t>
      </w:r>
    </w:p>
    <w:p w14:paraId="1867D098" w14:textId="77777777" w:rsidR="00E921C0" w:rsidRPr="00BE0D8B" w:rsidRDefault="007B1DBE" w:rsidP="00E921C0">
      <w:pPr>
        <w:pStyle w:val="NormalHanging12a"/>
      </w:pPr>
      <w:r w:rsidRPr="00BE0D8B">
        <w:t>2.</w:t>
      </w:r>
      <w:r w:rsidRPr="00BE0D8B">
        <w:tab/>
        <w:t xml:space="preserve">incarica la sua Presidente di trasmettere immediatamente la presente decisione e la </w:t>
      </w:r>
      <w:r w:rsidRPr="00BE0D8B">
        <w:lastRenderedPageBreak/>
        <w:t>relazione della sua commissione competente alle autorità competenti dell'Ungheria e a Péter Magyar.</w:t>
      </w:r>
    </w:p>
    <w:p w14:paraId="61BA1BA0" w14:textId="77777777" w:rsidR="00E365E1" w:rsidRPr="00BE0D8B" w:rsidRDefault="00E365E1" w:rsidP="00933223"/>
    <w:sectPr w:rsidR="00E365E1" w:rsidRPr="00BE0D8B" w:rsidSect="00E921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68CD5" w14:textId="77777777" w:rsidR="00933223" w:rsidRPr="00E921C0" w:rsidRDefault="00933223">
      <w:r w:rsidRPr="00E921C0">
        <w:separator/>
      </w:r>
    </w:p>
  </w:endnote>
  <w:endnote w:type="continuationSeparator" w:id="0">
    <w:p w14:paraId="19AA0B04" w14:textId="77777777" w:rsidR="00933223" w:rsidRPr="00E921C0" w:rsidRDefault="00933223">
      <w:r w:rsidRPr="00E921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334B" w14:textId="77777777" w:rsidR="00064002" w:rsidRPr="00E921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7352" w14:textId="77777777" w:rsidR="00064002" w:rsidRPr="00E921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2807" w14:textId="77777777" w:rsidR="00064002" w:rsidRPr="00E921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C968" w14:textId="77777777" w:rsidR="00933223" w:rsidRPr="00E921C0" w:rsidRDefault="00933223">
      <w:r w:rsidRPr="00E921C0">
        <w:separator/>
      </w:r>
    </w:p>
  </w:footnote>
  <w:footnote w:type="continuationSeparator" w:id="0">
    <w:p w14:paraId="6E7A5688" w14:textId="77777777" w:rsidR="00933223" w:rsidRPr="00E921C0" w:rsidRDefault="00933223">
      <w:r w:rsidRPr="00E921C0">
        <w:continuationSeparator/>
      </w:r>
    </w:p>
  </w:footnote>
  <w:footnote w:id="1">
    <w:p w14:paraId="4BFDB84B" w14:textId="77777777" w:rsidR="007B1DBE" w:rsidRPr="00E921C0" w:rsidRDefault="007B1DBE" w:rsidP="00E921C0">
      <w:pPr>
        <w:pStyle w:val="FootnoteText"/>
        <w:ind w:left="567" w:hanging="567"/>
        <w:rPr>
          <w:sz w:val="24"/>
          <w:lang w:val="it-IT"/>
        </w:rPr>
      </w:pPr>
      <w:r w:rsidRPr="00E921C0">
        <w:rPr>
          <w:rStyle w:val="FootnoteReference"/>
          <w:sz w:val="24"/>
          <w:szCs w:val="16"/>
          <w:lang w:val="it-IT"/>
        </w:rPr>
        <w:footnoteRef/>
      </w:r>
      <w:r w:rsidR="00E921C0" w:rsidRPr="00E921C0">
        <w:rPr>
          <w:sz w:val="24"/>
          <w:lang w:val="it-IT"/>
        </w:rPr>
        <w:t xml:space="preserve"> </w:t>
      </w:r>
      <w:r w:rsidR="00E921C0" w:rsidRPr="00E921C0">
        <w:rPr>
          <w:sz w:val="24"/>
          <w:lang w:val="it-IT"/>
        </w:rPr>
        <w:tab/>
      </w:r>
      <w:r w:rsidRPr="00E921C0">
        <w:rPr>
          <w:sz w:val="24"/>
          <w:lang w:val="it-IT"/>
        </w:rPr>
        <w:t xml:space="preserve">Sentenza della Corte di giustizia del 21 ottobre 2008, </w:t>
      </w:r>
      <w:r w:rsidRPr="00BE0D8B">
        <w:rPr>
          <w:i/>
          <w:iCs/>
          <w:sz w:val="24"/>
          <w:lang w:val="it-IT"/>
        </w:rPr>
        <w:t>Marra/De Gregorio e Clemente</w:t>
      </w:r>
      <w:r w:rsidRPr="00E921C0">
        <w:rPr>
          <w:sz w:val="24"/>
          <w:lang w:val="it-IT"/>
        </w:rPr>
        <w:t xml:space="preserve">, C-200/07 e C-201/07 ECLI:EU:C:2008:579; sentenza del Tribunale del 19 marzo 2010, </w:t>
      </w:r>
      <w:proofErr w:type="spellStart"/>
      <w:r w:rsidRPr="00BE0D8B">
        <w:rPr>
          <w:i/>
          <w:iCs/>
          <w:sz w:val="24"/>
          <w:lang w:val="it-IT"/>
        </w:rPr>
        <w:t>Gollnisch</w:t>
      </w:r>
      <w:proofErr w:type="spellEnd"/>
      <w:r w:rsidRPr="00BE0D8B">
        <w:rPr>
          <w:i/>
          <w:iCs/>
          <w:sz w:val="24"/>
          <w:lang w:val="it-IT"/>
        </w:rPr>
        <w:t>/Parlamento</w:t>
      </w:r>
      <w:r w:rsidRPr="00E921C0">
        <w:rPr>
          <w:sz w:val="24"/>
          <w:lang w:val="it-IT"/>
        </w:rPr>
        <w:t xml:space="preserve">, T-42/06, ECLI:EU:T:2010:102; sentenza della Corte di giustizia del 6 settembre 2011, </w:t>
      </w:r>
      <w:r w:rsidRPr="00BE0D8B">
        <w:rPr>
          <w:i/>
          <w:iCs/>
          <w:sz w:val="24"/>
          <w:lang w:val="it-IT"/>
        </w:rPr>
        <w:t>Patriciello</w:t>
      </w:r>
      <w:r w:rsidRPr="00E921C0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BE0D8B">
        <w:rPr>
          <w:i/>
          <w:iCs/>
          <w:sz w:val="24"/>
          <w:lang w:val="it-IT"/>
        </w:rPr>
        <w:t>Gollnisch</w:t>
      </w:r>
      <w:proofErr w:type="spellEnd"/>
      <w:r w:rsidRPr="00BE0D8B">
        <w:rPr>
          <w:i/>
          <w:iCs/>
          <w:sz w:val="24"/>
          <w:lang w:val="it-IT"/>
        </w:rPr>
        <w:t>/Parlamento</w:t>
      </w:r>
      <w:r w:rsidRPr="00E921C0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BE0D8B">
        <w:rPr>
          <w:i/>
          <w:iCs/>
          <w:sz w:val="24"/>
          <w:lang w:val="it-IT"/>
        </w:rPr>
        <w:t>Junqueras</w:t>
      </w:r>
      <w:proofErr w:type="spellEnd"/>
      <w:r w:rsidRPr="00BE0D8B">
        <w:rPr>
          <w:i/>
          <w:iCs/>
          <w:sz w:val="24"/>
          <w:lang w:val="it-IT"/>
        </w:rPr>
        <w:t xml:space="preserve"> </w:t>
      </w:r>
      <w:proofErr w:type="spellStart"/>
      <w:r w:rsidRPr="00BE0D8B">
        <w:rPr>
          <w:i/>
          <w:iCs/>
          <w:sz w:val="24"/>
          <w:lang w:val="it-IT"/>
        </w:rPr>
        <w:t>Vies</w:t>
      </w:r>
      <w:proofErr w:type="spellEnd"/>
      <w:r w:rsidRPr="00E921C0">
        <w:rPr>
          <w:sz w:val="24"/>
          <w:lang w:val="it-IT"/>
        </w:rPr>
        <w:t xml:space="preserve">, C-502/19, ECLI:EU:C:2019:1115; sentenza del Tribunale del 5 luglio 2023, </w:t>
      </w:r>
      <w:r w:rsidRPr="00BE0D8B">
        <w:rPr>
          <w:i/>
          <w:iCs/>
          <w:sz w:val="24"/>
          <w:lang w:val="it-IT"/>
        </w:rPr>
        <w:t xml:space="preserve">Carles </w:t>
      </w:r>
      <w:proofErr w:type="spellStart"/>
      <w:r w:rsidRPr="00BE0D8B">
        <w:rPr>
          <w:i/>
          <w:iCs/>
          <w:sz w:val="24"/>
          <w:lang w:val="it-IT"/>
        </w:rPr>
        <w:t>Puigdemont</w:t>
      </w:r>
      <w:proofErr w:type="spellEnd"/>
      <w:r w:rsidRPr="00BE0D8B">
        <w:rPr>
          <w:i/>
          <w:iCs/>
          <w:sz w:val="24"/>
          <w:lang w:val="it-IT"/>
        </w:rPr>
        <w:t xml:space="preserve"> i </w:t>
      </w:r>
      <w:proofErr w:type="spellStart"/>
      <w:r w:rsidRPr="00BE0D8B">
        <w:rPr>
          <w:i/>
          <w:iCs/>
          <w:sz w:val="24"/>
          <w:lang w:val="it-IT"/>
        </w:rPr>
        <w:t>Casamajó</w:t>
      </w:r>
      <w:proofErr w:type="spellEnd"/>
      <w:r w:rsidRPr="00BE0D8B">
        <w:rPr>
          <w:i/>
          <w:iCs/>
          <w:sz w:val="24"/>
          <w:lang w:val="it-IT"/>
        </w:rPr>
        <w:t xml:space="preserve"> e a./Parlamento europeo</w:t>
      </w:r>
      <w:r w:rsidRPr="00E921C0">
        <w:rPr>
          <w:sz w:val="24"/>
          <w:lang w:val="it-IT"/>
        </w:rPr>
        <w:t>, T-272/21, ECLI:EU:T:2023:373.</w:t>
      </w:r>
    </w:p>
  </w:footnote>
  <w:footnote w:id="2">
    <w:p w14:paraId="5F93E74A" w14:textId="77777777" w:rsidR="007B1DBE" w:rsidRPr="00E921C0" w:rsidRDefault="007B1DBE" w:rsidP="00E921C0">
      <w:pPr>
        <w:pStyle w:val="FootnoteText"/>
        <w:ind w:left="567" w:hanging="567"/>
        <w:rPr>
          <w:sz w:val="24"/>
          <w:lang w:val="it-IT"/>
        </w:rPr>
      </w:pPr>
      <w:r w:rsidRPr="00E921C0">
        <w:rPr>
          <w:rStyle w:val="FootnoteReference"/>
          <w:sz w:val="24"/>
          <w:lang w:val="it-IT"/>
        </w:rPr>
        <w:footnoteRef/>
      </w:r>
      <w:r w:rsidR="00E921C0" w:rsidRPr="00E921C0">
        <w:rPr>
          <w:sz w:val="24"/>
          <w:lang w:val="it-IT"/>
        </w:rPr>
        <w:t xml:space="preserve"> </w:t>
      </w:r>
      <w:r w:rsidR="00E921C0" w:rsidRPr="00E921C0">
        <w:rPr>
          <w:sz w:val="24"/>
          <w:lang w:val="it-IT"/>
        </w:rPr>
        <w:tab/>
      </w:r>
      <w:r w:rsidRPr="00E921C0">
        <w:rPr>
          <w:sz w:val="24"/>
          <w:lang w:val="it-IT"/>
        </w:rPr>
        <w:t xml:space="preserve">Sentenza del Tribunale del 17 gennaio 2013, </w:t>
      </w:r>
      <w:proofErr w:type="spellStart"/>
      <w:r w:rsidRPr="00BE0D8B">
        <w:rPr>
          <w:i/>
          <w:iCs/>
          <w:sz w:val="24"/>
          <w:lang w:val="it-IT"/>
        </w:rPr>
        <w:t>Gollnisch</w:t>
      </w:r>
      <w:proofErr w:type="spellEnd"/>
      <w:r w:rsidRPr="00BE0D8B">
        <w:rPr>
          <w:i/>
          <w:iCs/>
          <w:sz w:val="24"/>
          <w:lang w:val="it-IT"/>
        </w:rPr>
        <w:t>/Parlamento</w:t>
      </w:r>
      <w:r w:rsidRPr="00E921C0">
        <w:rPr>
          <w:sz w:val="24"/>
          <w:lang w:val="it-IT"/>
        </w:rPr>
        <w:t>, T-346/11 e T-347/11, ECLI:</w:t>
      </w:r>
      <w:proofErr w:type="gramStart"/>
      <w:r w:rsidRPr="00E921C0">
        <w:rPr>
          <w:sz w:val="24"/>
          <w:lang w:val="it-IT"/>
        </w:rPr>
        <w:t>EU:T</w:t>
      </w:r>
      <w:proofErr w:type="gramEnd"/>
      <w:r w:rsidRPr="00E921C0">
        <w:rPr>
          <w:sz w:val="24"/>
          <w:lang w:val="it-IT"/>
        </w:rPr>
        <w:t>:2013:23, punto 59 e giurisprudenza ivi citata.</w:t>
      </w:r>
    </w:p>
  </w:footnote>
  <w:footnote w:id="3">
    <w:p w14:paraId="481CFE1D" w14:textId="77777777" w:rsidR="007B1DBE" w:rsidRPr="00E921C0" w:rsidRDefault="007B1DBE" w:rsidP="00E921C0">
      <w:pPr>
        <w:pStyle w:val="FootnoteText"/>
        <w:ind w:left="567" w:hanging="567"/>
        <w:rPr>
          <w:sz w:val="24"/>
          <w:lang w:val="it-IT"/>
        </w:rPr>
      </w:pPr>
      <w:r w:rsidRPr="00E921C0">
        <w:rPr>
          <w:rStyle w:val="FootnoteReference"/>
          <w:sz w:val="24"/>
          <w:lang w:val="it-IT"/>
        </w:rPr>
        <w:footnoteRef/>
      </w:r>
      <w:r w:rsidR="00E921C0" w:rsidRPr="00E921C0">
        <w:rPr>
          <w:sz w:val="24"/>
          <w:lang w:val="it-IT"/>
        </w:rPr>
        <w:t xml:space="preserve"> </w:t>
      </w:r>
      <w:r w:rsidR="00E921C0" w:rsidRPr="00E921C0">
        <w:rPr>
          <w:sz w:val="24"/>
          <w:lang w:val="it-IT"/>
        </w:rPr>
        <w:tab/>
      </w:r>
      <w:r w:rsidRPr="00E921C0">
        <w:rPr>
          <w:sz w:val="24"/>
          <w:lang w:val="it-IT"/>
        </w:rPr>
        <w:t xml:space="preserve">Sentenza della Corte di giustizia del 17 settembre 2020, </w:t>
      </w:r>
      <w:proofErr w:type="spellStart"/>
      <w:r w:rsidRPr="00BE0D8B">
        <w:rPr>
          <w:i/>
          <w:iCs/>
          <w:sz w:val="24"/>
          <w:lang w:val="it-IT"/>
        </w:rPr>
        <w:t>Troszczynski</w:t>
      </w:r>
      <w:proofErr w:type="spellEnd"/>
      <w:r w:rsidRPr="00BE0D8B">
        <w:rPr>
          <w:i/>
          <w:iCs/>
          <w:sz w:val="24"/>
          <w:lang w:val="it-IT"/>
        </w:rPr>
        <w:t>/Parlamento</w:t>
      </w:r>
      <w:r w:rsidRPr="00E921C0">
        <w:rPr>
          <w:sz w:val="24"/>
          <w:lang w:val="it-IT"/>
        </w:rPr>
        <w:t>, C-12/19 P, ECLI:EU:C:2020:725, punto 26.</w:t>
      </w:r>
    </w:p>
  </w:footnote>
  <w:footnote w:id="4">
    <w:p w14:paraId="1B4D7E85" w14:textId="77777777" w:rsidR="007B1DBE" w:rsidRPr="00E921C0" w:rsidRDefault="007B1DBE" w:rsidP="00E921C0">
      <w:pPr>
        <w:pStyle w:val="FootnoteText"/>
        <w:ind w:left="567" w:hanging="567"/>
        <w:rPr>
          <w:sz w:val="24"/>
          <w:lang w:val="it-IT"/>
        </w:rPr>
      </w:pPr>
      <w:r w:rsidRPr="00E921C0">
        <w:rPr>
          <w:rStyle w:val="FootnoteReference"/>
          <w:sz w:val="24"/>
          <w:szCs w:val="16"/>
          <w:lang w:val="it-IT"/>
        </w:rPr>
        <w:footnoteRef/>
      </w:r>
      <w:r w:rsidR="00E921C0" w:rsidRPr="00E921C0">
        <w:rPr>
          <w:sz w:val="24"/>
          <w:lang w:val="it-IT"/>
        </w:rPr>
        <w:t xml:space="preserve"> </w:t>
      </w:r>
      <w:r w:rsidR="00E921C0" w:rsidRPr="00E921C0">
        <w:rPr>
          <w:sz w:val="24"/>
          <w:lang w:val="it-IT"/>
        </w:rPr>
        <w:tab/>
      </w:r>
      <w:r w:rsidRPr="00E921C0">
        <w:rPr>
          <w:sz w:val="24"/>
          <w:lang w:val="it-IT"/>
        </w:rPr>
        <w:t xml:space="preserve">Sentenza del Tribunale del 30 aprile 2019, </w:t>
      </w:r>
      <w:proofErr w:type="spellStart"/>
      <w:r w:rsidRPr="00BE0D8B">
        <w:rPr>
          <w:i/>
          <w:iCs/>
          <w:sz w:val="24"/>
          <w:lang w:val="it-IT"/>
        </w:rPr>
        <w:t>Briois</w:t>
      </w:r>
      <w:proofErr w:type="spellEnd"/>
      <w:r w:rsidRPr="00BE0D8B">
        <w:rPr>
          <w:i/>
          <w:iCs/>
          <w:sz w:val="24"/>
          <w:lang w:val="it-IT"/>
        </w:rPr>
        <w:t>/Parlamento</w:t>
      </w:r>
      <w:r w:rsidRPr="00E921C0">
        <w:rPr>
          <w:sz w:val="24"/>
          <w:lang w:val="it-IT"/>
        </w:rPr>
        <w:t>, T-214/18, ECLI:</w:t>
      </w:r>
      <w:proofErr w:type="gramStart"/>
      <w:r w:rsidRPr="00E921C0">
        <w:rPr>
          <w:sz w:val="24"/>
          <w:lang w:val="it-IT"/>
        </w:rPr>
        <w:t>EU:T</w:t>
      </w:r>
      <w:proofErr w:type="gramEnd"/>
      <w:r w:rsidRPr="00E921C0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179E5" w14:textId="77777777" w:rsidR="00064002" w:rsidRPr="00E921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2B5C" w14:textId="77777777" w:rsidR="00064002" w:rsidRPr="00E921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8D1DA" w14:textId="77777777" w:rsidR="00064002" w:rsidRPr="00E921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1577891">
    <w:abstractNumId w:val="9"/>
  </w:num>
  <w:num w:numId="2" w16cid:durableId="1931309205">
    <w:abstractNumId w:val="9"/>
  </w:num>
  <w:num w:numId="3" w16cid:durableId="196311688">
    <w:abstractNumId w:val="7"/>
  </w:num>
  <w:num w:numId="4" w16cid:durableId="1876119879">
    <w:abstractNumId w:val="7"/>
  </w:num>
  <w:num w:numId="5" w16cid:durableId="891884269">
    <w:abstractNumId w:val="6"/>
  </w:num>
  <w:num w:numId="6" w16cid:durableId="787774165">
    <w:abstractNumId w:val="6"/>
  </w:num>
  <w:num w:numId="7" w16cid:durableId="1505316623">
    <w:abstractNumId w:val="5"/>
  </w:num>
  <w:num w:numId="8" w16cid:durableId="917905002">
    <w:abstractNumId w:val="5"/>
  </w:num>
  <w:num w:numId="9" w16cid:durableId="1494025020">
    <w:abstractNumId w:val="4"/>
  </w:num>
  <w:num w:numId="10" w16cid:durableId="265817897">
    <w:abstractNumId w:val="4"/>
  </w:num>
  <w:num w:numId="11" w16cid:durableId="1971935408">
    <w:abstractNumId w:val="8"/>
  </w:num>
  <w:num w:numId="12" w16cid:durableId="1054277949">
    <w:abstractNumId w:val="8"/>
  </w:num>
  <w:num w:numId="13" w16cid:durableId="1295670497">
    <w:abstractNumId w:val="3"/>
  </w:num>
  <w:num w:numId="14" w16cid:durableId="1233153465">
    <w:abstractNumId w:val="3"/>
  </w:num>
  <w:num w:numId="15" w16cid:durableId="2036348407">
    <w:abstractNumId w:val="2"/>
  </w:num>
  <w:num w:numId="16" w16cid:durableId="329987377">
    <w:abstractNumId w:val="2"/>
  </w:num>
  <w:num w:numId="17" w16cid:durableId="1207065751">
    <w:abstractNumId w:val="1"/>
  </w:num>
  <w:num w:numId="18" w16cid:durableId="1962107313">
    <w:abstractNumId w:val="1"/>
  </w:num>
  <w:num w:numId="19" w16cid:durableId="848061243">
    <w:abstractNumId w:val="0"/>
  </w:num>
  <w:num w:numId="20" w16cid:durableId="1199512267">
    <w:abstractNumId w:val="0"/>
  </w:num>
  <w:num w:numId="21" w16cid:durableId="67308031">
    <w:abstractNumId w:val="9"/>
  </w:num>
  <w:num w:numId="22" w16cid:durableId="1111824616">
    <w:abstractNumId w:val="7"/>
  </w:num>
  <w:num w:numId="23" w16cid:durableId="1166938227">
    <w:abstractNumId w:val="6"/>
  </w:num>
  <w:num w:numId="24" w16cid:durableId="918171268">
    <w:abstractNumId w:val="5"/>
  </w:num>
  <w:num w:numId="25" w16cid:durableId="1732145270">
    <w:abstractNumId w:val="4"/>
  </w:num>
  <w:num w:numId="26" w16cid:durableId="1999259226">
    <w:abstractNumId w:val="8"/>
  </w:num>
  <w:num w:numId="27" w16cid:durableId="236480961">
    <w:abstractNumId w:val="3"/>
  </w:num>
  <w:num w:numId="28" w16cid:durableId="1320965979">
    <w:abstractNumId w:val="2"/>
  </w:num>
  <w:num w:numId="29" w16cid:durableId="1081374017">
    <w:abstractNumId w:val="1"/>
  </w:num>
  <w:num w:numId="30" w16cid:durableId="496531941">
    <w:abstractNumId w:val="0"/>
  </w:num>
  <w:num w:numId="31" w16cid:durableId="1495947436">
    <w:abstractNumId w:val="9"/>
  </w:num>
  <w:num w:numId="32" w16cid:durableId="1292130921">
    <w:abstractNumId w:val="7"/>
  </w:num>
  <w:num w:numId="33" w16cid:durableId="187331332">
    <w:abstractNumId w:val="6"/>
  </w:num>
  <w:num w:numId="34" w16cid:durableId="352458970">
    <w:abstractNumId w:val="5"/>
  </w:num>
  <w:num w:numId="35" w16cid:durableId="936718886">
    <w:abstractNumId w:val="4"/>
  </w:num>
  <w:num w:numId="36" w16cid:durableId="680204801">
    <w:abstractNumId w:val="8"/>
  </w:num>
  <w:num w:numId="37" w16cid:durableId="579366487">
    <w:abstractNumId w:val="3"/>
  </w:num>
  <w:num w:numId="38" w16cid:durableId="591010771">
    <w:abstractNumId w:val="2"/>
  </w:num>
  <w:num w:numId="39" w16cid:durableId="456527765">
    <w:abstractNumId w:val="1"/>
  </w:num>
  <w:num w:numId="40" w16cid:durableId="809519644">
    <w:abstractNumId w:val="0"/>
  </w:num>
  <w:num w:numId="41" w16cid:durableId="1185368738">
    <w:abstractNumId w:val="10"/>
  </w:num>
  <w:num w:numId="42" w16cid:durableId="676612209">
    <w:abstractNumId w:val="10"/>
  </w:num>
  <w:num w:numId="43" w16cid:durableId="1716077228">
    <w:abstractNumId w:val="10"/>
  </w:num>
  <w:num w:numId="44" w16cid:durableId="1045908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IT"/>
    <w:docVar w:name="dvnumam" w:val="0"/>
    <w:docVar w:name="dvpe" w:val="770.241"/>
    <w:docVar w:name="dvrapporteur" w:val="Relatore: "/>
    <w:docVar w:name="dvtitre" w:val="Decisione del Parlamento europeo del 7 ottobre 2025 sulla richiesta di revoca dell'immunità di Péter Magyar(2024/2063(IMM))"/>
  </w:docVars>
  <w:rsids>
    <w:rsidRoot w:val="00933223"/>
    <w:rsid w:val="00002272"/>
    <w:rsid w:val="00064002"/>
    <w:rsid w:val="000677B9"/>
    <w:rsid w:val="000831BA"/>
    <w:rsid w:val="000A42CC"/>
    <w:rsid w:val="000E7DD9"/>
    <w:rsid w:val="0010095E"/>
    <w:rsid w:val="00124635"/>
    <w:rsid w:val="00125B37"/>
    <w:rsid w:val="00187494"/>
    <w:rsid w:val="001F32AE"/>
    <w:rsid w:val="002767FF"/>
    <w:rsid w:val="002B18FE"/>
    <w:rsid w:val="002B5493"/>
    <w:rsid w:val="00321D8E"/>
    <w:rsid w:val="00343214"/>
    <w:rsid w:val="00361C00"/>
    <w:rsid w:val="00386213"/>
    <w:rsid w:val="00395FA1"/>
    <w:rsid w:val="003E15D4"/>
    <w:rsid w:val="00411CCE"/>
    <w:rsid w:val="0041666E"/>
    <w:rsid w:val="00421060"/>
    <w:rsid w:val="004270D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DBE"/>
    <w:rsid w:val="007D1690"/>
    <w:rsid w:val="007E22AD"/>
    <w:rsid w:val="00817416"/>
    <w:rsid w:val="00837477"/>
    <w:rsid w:val="00842779"/>
    <w:rsid w:val="00865F67"/>
    <w:rsid w:val="00881A7B"/>
    <w:rsid w:val="008840E5"/>
    <w:rsid w:val="00887B3E"/>
    <w:rsid w:val="008C2AC6"/>
    <w:rsid w:val="00930C23"/>
    <w:rsid w:val="0093193B"/>
    <w:rsid w:val="0093322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D15"/>
    <w:rsid w:val="00AE0928"/>
    <w:rsid w:val="00AF3B82"/>
    <w:rsid w:val="00B12E95"/>
    <w:rsid w:val="00B22876"/>
    <w:rsid w:val="00B32B4F"/>
    <w:rsid w:val="00B558F0"/>
    <w:rsid w:val="00B84647"/>
    <w:rsid w:val="00BD48FE"/>
    <w:rsid w:val="00BD7BD8"/>
    <w:rsid w:val="00BE0D8B"/>
    <w:rsid w:val="00BE6ADC"/>
    <w:rsid w:val="00C05BFE"/>
    <w:rsid w:val="00C23CD4"/>
    <w:rsid w:val="00C61C0C"/>
    <w:rsid w:val="00C941CB"/>
    <w:rsid w:val="00CC2357"/>
    <w:rsid w:val="00CE143A"/>
    <w:rsid w:val="00CF071A"/>
    <w:rsid w:val="00CF74FB"/>
    <w:rsid w:val="00D058B8"/>
    <w:rsid w:val="00D076A3"/>
    <w:rsid w:val="00D56C11"/>
    <w:rsid w:val="00D834A0"/>
    <w:rsid w:val="00D872DF"/>
    <w:rsid w:val="00D91E21"/>
    <w:rsid w:val="00DA7FCD"/>
    <w:rsid w:val="00E12881"/>
    <w:rsid w:val="00E365E1"/>
    <w:rsid w:val="00E820A4"/>
    <w:rsid w:val="00E921C0"/>
    <w:rsid w:val="00EB006A"/>
    <w:rsid w:val="00EB4772"/>
    <w:rsid w:val="00ED169E"/>
    <w:rsid w:val="00ED4235"/>
    <w:rsid w:val="00F04346"/>
    <w:rsid w:val="00F075DC"/>
    <w:rsid w:val="00F10378"/>
    <w:rsid w:val="00F149E9"/>
    <w:rsid w:val="00F5134D"/>
    <w:rsid w:val="00F74202"/>
    <w:rsid w:val="00F87713"/>
    <w:rsid w:val="00FB4360"/>
    <w:rsid w:val="00FD0C70"/>
    <w:rsid w:val="00FE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D461B"/>
  <w15:chartTrackingRefBased/>
  <w15:docId w15:val="{B0190ADB-9ABA-4C9A-A1F7-EA1B04DF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B1DBE"/>
    <w:pPr>
      <w:spacing w:after="240"/>
      <w:ind w:left="567" w:hanging="567"/>
    </w:pPr>
  </w:style>
  <w:style w:type="paragraph" w:customStyle="1" w:styleId="EPComma">
    <w:name w:val="EPComma"/>
    <w:basedOn w:val="Normal"/>
    <w:rsid w:val="007B1DBE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7B1DBE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7B1DBE"/>
    <w:rPr>
      <w:sz w:val="24"/>
      <w:szCs w:val="24"/>
      <w:shd w:val="clear" w:color="auto" w:fill="FFFFFF"/>
      <w:lang w:val="it-IT" w:eastAsia="hu-HU" w:bidi="hu-HU"/>
    </w:rPr>
  </w:style>
  <w:style w:type="paragraph" w:styleId="Revision">
    <w:name w:val="Revision"/>
    <w:hidden/>
    <w:uiPriority w:val="99"/>
    <w:semiHidden/>
    <w:rsid w:val="00B84647"/>
    <w:rPr>
      <w:sz w:val="24"/>
      <w:lang w:val="it-IT"/>
    </w:rPr>
  </w:style>
  <w:style w:type="character" w:styleId="CommentReference">
    <w:name w:val="annotation reference"/>
    <w:basedOn w:val="DefaultParagraphFont"/>
    <w:rsid w:val="00AC1D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1D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1D15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C1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1D15"/>
    <w:rPr>
      <w:b/>
      <w:bCs/>
      <w:lang w:val="it-IT"/>
    </w:rPr>
  </w:style>
  <w:style w:type="character" w:styleId="Hyperlink">
    <w:name w:val="Hyperlink"/>
    <w:basedOn w:val="DefaultParagraphFont"/>
    <w:rsid w:val="001246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1140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AR_rev 1</cp:lastModifiedBy>
  <cp:revision>2</cp:revision>
  <cp:lastPrinted>2004-11-19T15:42:00Z</cp:lastPrinted>
  <dcterms:created xsi:type="dcterms:W3CDTF">2025-10-07T12:27:00Z</dcterms:created>
  <dcterms:modified xsi:type="dcterms:W3CDTF">2025-10-07T12:27:00Z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