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59C2" w14:paraId="46B2D17F" w14:textId="77777777" w:rsidTr="0010095E">
        <w:trPr>
          <w:trHeight w:hRule="exact" w:val="1418"/>
        </w:trPr>
        <w:tc>
          <w:tcPr>
            <w:tcW w:w="6804" w:type="dxa"/>
            <w:shd w:val="clear" w:color="auto" w:fill="auto"/>
            <w:vAlign w:val="center"/>
          </w:tcPr>
          <w:p w14:paraId="116A0EF4" w14:textId="77777777" w:rsidR="00751A4A" w:rsidRPr="005A59C2" w:rsidRDefault="009D37E1" w:rsidP="0010095E">
            <w:pPr>
              <w:pStyle w:val="EPName"/>
            </w:pPr>
            <w:r w:rsidRPr="005A59C2">
              <w:t>Europos Parlamentas</w:t>
            </w:r>
          </w:p>
          <w:p w14:paraId="2CCC619C" w14:textId="77777777" w:rsidR="00751A4A" w:rsidRPr="005A59C2" w:rsidRDefault="005F1B17" w:rsidP="005F1B17">
            <w:pPr>
              <w:pStyle w:val="EPTerm"/>
              <w:rPr>
                <w:rStyle w:val="HideTWBExt"/>
                <w:noProof w:val="0"/>
                <w:vanish w:val="0"/>
                <w:color w:val="auto"/>
              </w:rPr>
            </w:pPr>
            <w:r w:rsidRPr="005A59C2">
              <w:t>2024</w:t>
            </w:r>
            <w:r w:rsidR="00817416" w:rsidRPr="005A59C2">
              <w:t>-202</w:t>
            </w:r>
            <w:r w:rsidRPr="005A59C2">
              <w:t>9</w:t>
            </w:r>
          </w:p>
        </w:tc>
        <w:tc>
          <w:tcPr>
            <w:tcW w:w="2268" w:type="dxa"/>
            <w:shd w:val="clear" w:color="auto" w:fill="auto"/>
          </w:tcPr>
          <w:p w14:paraId="37C975A3" w14:textId="77777777" w:rsidR="00751A4A" w:rsidRPr="005A59C2" w:rsidRDefault="00187494" w:rsidP="0010095E">
            <w:pPr>
              <w:pStyle w:val="EPLogo"/>
            </w:pPr>
            <w:r w:rsidRPr="005A59C2">
              <w:rPr>
                <w:noProof/>
                <w:lang w:eastAsia="ja-JP"/>
              </w:rPr>
              <w:drawing>
                <wp:inline distT="0" distB="0" distL="0" distR="0" wp14:anchorId="6FFB8188" wp14:editId="1EA532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1BC276" w14:textId="77777777" w:rsidR="00D058B8" w:rsidRPr="005A59C2" w:rsidRDefault="00D058B8" w:rsidP="004C5D52">
      <w:pPr>
        <w:pStyle w:val="LineTop"/>
      </w:pPr>
    </w:p>
    <w:p w14:paraId="25001417" w14:textId="77777777" w:rsidR="00680577" w:rsidRPr="005A59C2" w:rsidRDefault="009D37E1" w:rsidP="00680577">
      <w:pPr>
        <w:pStyle w:val="EPBodyTA1"/>
      </w:pPr>
      <w:r w:rsidRPr="005A59C2">
        <w:t>PRIIMTI TEKSTAI</w:t>
      </w:r>
    </w:p>
    <w:p w14:paraId="0F0F8D6D" w14:textId="77777777" w:rsidR="00D058B8" w:rsidRPr="005A59C2" w:rsidRDefault="00D058B8" w:rsidP="00D058B8">
      <w:pPr>
        <w:pStyle w:val="LineBottom"/>
      </w:pPr>
    </w:p>
    <w:p w14:paraId="62B1449F" w14:textId="11CA36E1" w:rsidR="009D37E1" w:rsidRPr="005A59C2" w:rsidRDefault="009D37E1" w:rsidP="009D37E1">
      <w:pPr>
        <w:pStyle w:val="ATHeading1"/>
      </w:pPr>
      <w:bookmarkStart w:id="0" w:name="TANumber"/>
      <w:r w:rsidRPr="005A59C2">
        <w:t>P10_TA(2025)0</w:t>
      </w:r>
      <w:r w:rsidR="008E65DC">
        <w:t>2</w:t>
      </w:r>
      <w:r w:rsidRPr="005A59C2">
        <w:t>0</w:t>
      </w:r>
      <w:r w:rsidR="008E65DC">
        <w:t>3</w:t>
      </w:r>
      <w:bookmarkEnd w:id="0"/>
    </w:p>
    <w:p w14:paraId="45A2602D" w14:textId="77777777" w:rsidR="009D37E1" w:rsidRPr="005A59C2" w:rsidRDefault="009D37E1" w:rsidP="009D37E1">
      <w:pPr>
        <w:pStyle w:val="ATHeading2"/>
      </w:pPr>
      <w:bookmarkStart w:id="1" w:name="title"/>
      <w:r w:rsidRPr="005A59C2">
        <w:t>Prašymas atšaukti Péterio Magyaro (Péter Magyar) imunitetą</w:t>
      </w:r>
      <w:bookmarkEnd w:id="1"/>
    </w:p>
    <w:p w14:paraId="01508514" w14:textId="77777777" w:rsidR="009D37E1" w:rsidRPr="005A59C2" w:rsidRDefault="009D37E1" w:rsidP="009D37E1">
      <w:pPr>
        <w:rPr>
          <w:i/>
          <w:vanish/>
        </w:rPr>
      </w:pPr>
      <w:r w:rsidRPr="005A59C2">
        <w:rPr>
          <w:i/>
        </w:rPr>
        <w:fldChar w:fldCharType="begin"/>
      </w:r>
      <w:r w:rsidRPr="005A59C2">
        <w:rPr>
          <w:i/>
        </w:rPr>
        <w:instrText xml:space="preserve"> TC"(</w:instrText>
      </w:r>
      <w:bookmarkStart w:id="2" w:name="DocNumber"/>
      <w:r w:rsidRPr="005A59C2">
        <w:rPr>
          <w:i/>
        </w:rPr>
        <w:instrText>A10-0180/2025</w:instrText>
      </w:r>
      <w:bookmarkEnd w:id="2"/>
      <w:r w:rsidRPr="005A59C2">
        <w:rPr>
          <w:i/>
        </w:rPr>
        <w:instrText xml:space="preserve"> - Pranešėjas: Krzysztof Śmiszek)"\l3 \n&gt; \* MERGEFORMAT </w:instrText>
      </w:r>
      <w:r w:rsidRPr="005A59C2">
        <w:rPr>
          <w:i/>
        </w:rPr>
        <w:fldChar w:fldCharType="end"/>
      </w:r>
    </w:p>
    <w:p w14:paraId="090E04DE" w14:textId="77777777" w:rsidR="009D37E1" w:rsidRPr="005A59C2" w:rsidRDefault="009D37E1" w:rsidP="009D37E1">
      <w:pPr>
        <w:rPr>
          <w:vanish/>
        </w:rPr>
      </w:pPr>
      <w:bookmarkStart w:id="3" w:name="Commission"/>
      <w:r w:rsidRPr="005A59C2">
        <w:rPr>
          <w:vanish/>
        </w:rPr>
        <w:t>Teisės reikalų komitetas</w:t>
      </w:r>
      <w:bookmarkEnd w:id="3"/>
    </w:p>
    <w:p w14:paraId="79DD7FC1" w14:textId="77777777" w:rsidR="009D37E1" w:rsidRPr="005A59C2" w:rsidRDefault="009D37E1" w:rsidP="009D37E1">
      <w:pPr>
        <w:rPr>
          <w:vanish/>
        </w:rPr>
      </w:pPr>
      <w:bookmarkStart w:id="4" w:name="PE"/>
      <w:r w:rsidRPr="005A59C2">
        <w:rPr>
          <w:vanish/>
        </w:rPr>
        <w:t>PE770.241</w:t>
      </w:r>
      <w:bookmarkEnd w:id="4"/>
    </w:p>
    <w:p w14:paraId="272BAD8A" w14:textId="0D82C135" w:rsidR="009D37E1" w:rsidRPr="005A59C2" w:rsidRDefault="009D37E1" w:rsidP="00055DF4">
      <w:pPr>
        <w:pStyle w:val="ATHeading3"/>
      </w:pPr>
      <w:bookmarkStart w:id="5" w:name="Sujet"/>
      <w:r w:rsidRPr="005A59C2">
        <w:t>2025 m. spalio 7 d. Europos Parlamento sprendimas dėl prašymo atšaukti Péterio Magyaro (Péter Magyar) imunitetą</w:t>
      </w:r>
      <w:bookmarkEnd w:id="5"/>
      <w:r w:rsidRPr="005A59C2">
        <w:t xml:space="preserve"> </w:t>
      </w:r>
      <w:bookmarkStart w:id="6" w:name="References"/>
      <w:r w:rsidRPr="005A59C2">
        <w:t>(2024/2063(IMM))</w:t>
      </w:r>
      <w:bookmarkEnd w:id="6"/>
    </w:p>
    <w:p w14:paraId="2DDD914C" w14:textId="77777777" w:rsidR="00D0536E" w:rsidRPr="005A59C2" w:rsidRDefault="00D0536E" w:rsidP="00D0536E">
      <w:pPr>
        <w:pStyle w:val="EPComma"/>
      </w:pPr>
      <w:bookmarkStart w:id="7" w:name="TextBodyBegin"/>
      <w:bookmarkEnd w:id="7"/>
      <w:r w:rsidRPr="005A59C2">
        <w:rPr>
          <w:i/>
        </w:rPr>
        <w:t>Europos Parlamentas</w:t>
      </w:r>
      <w:r w:rsidRPr="005A59C2">
        <w:t>,</w:t>
      </w:r>
    </w:p>
    <w:p w14:paraId="281BCFB3" w14:textId="4675B00F" w:rsidR="00D0536E" w:rsidRPr="005A59C2" w:rsidRDefault="00D0536E" w:rsidP="00D0536E">
      <w:pPr>
        <w:pStyle w:val="NormalHanging12a"/>
      </w:pPr>
      <w:r w:rsidRPr="005A59C2">
        <w:t>–</w:t>
      </w:r>
      <w:r w:rsidRPr="005A59C2">
        <w:tab/>
        <w:t xml:space="preserve">atsižvelgdamas į Vengrijos generalinio prokuroro 2024 m. rugsėjo 26 d. pateiktą prašymą atšaukti Péterio Magyaro imunitetą ryšium su dėl jo pradėtu baudžiamuoju procesu, kuris buvo paskelbtas 2024 m. spalio 10 d. </w:t>
      </w:r>
      <w:r w:rsidR="00055DF4">
        <w:t>Parlament</w:t>
      </w:r>
      <w:r w:rsidR="004443EA">
        <w:t>e</w:t>
      </w:r>
      <w:r w:rsidRPr="005A59C2">
        <w:t>,</w:t>
      </w:r>
    </w:p>
    <w:p w14:paraId="4DFBDD9E" w14:textId="77777777" w:rsidR="00D0536E" w:rsidRPr="005A59C2" w:rsidRDefault="00D0536E" w:rsidP="00D0536E">
      <w:pPr>
        <w:pStyle w:val="NormalHanging12a"/>
        <w:widowControl/>
      </w:pPr>
      <w:r w:rsidRPr="005A59C2">
        <w:t>–</w:t>
      </w:r>
      <w:r w:rsidRPr="005A59C2">
        <w:tab/>
        <w:t>2025 m. birželio 24 d. išklausęs Péterio Magyaro paaiškinimų, kaip nurodyta Darbo tvarkos taisyklių 9 straipsnio 6 dalyje,</w:t>
      </w:r>
    </w:p>
    <w:p w14:paraId="5271DD33" w14:textId="77777777" w:rsidR="00D0536E" w:rsidRPr="005A59C2" w:rsidRDefault="00D0536E" w:rsidP="00D0536E">
      <w:pPr>
        <w:pStyle w:val="NormalHanging12a"/>
        <w:widowControl/>
      </w:pPr>
      <w:r w:rsidRPr="005A59C2">
        <w:t>–</w:t>
      </w:r>
      <w:r w:rsidRPr="005A59C2">
        <w:tab/>
        <w:t>atsižvelgdamas į Vengrijos generalinio prokuroro pateiktą papildomą informaciją,</w:t>
      </w:r>
    </w:p>
    <w:p w14:paraId="753FCF75" w14:textId="77777777" w:rsidR="00D0536E" w:rsidRPr="005A59C2" w:rsidRDefault="00D0536E" w:rsidP="00D0536E">
      <w:pPr>
        <w:pStyle w:val="NormalHanging12a"/>
        <w:widowControl/>
      </w:pPr>
      <w:r w:rsidRPr="005A59C2">
        <w:t>–</w:t>
      </w:r>
      <w:r w:rsidRPr="005A59C2">
        <w:tab/>
        <w:t>atsižvelgdamas į Protokolo Nr. 7 dėl Europos Sąjungos privilegijų ir imunitetų 8 ir 9 straipsnius ir į 1976 m. rugsėjo 20 d. Akto dėl Europos Parlamento narių rinkimų remiantis tiesiogine visuotine rinkimų teise 6 straipsnio 2 dalį,</w:t>
      </w:r>
    </w:p>
    <w:p w14:paraId="2C06A4DB" w14:textId="1311B307" w:rsidR="00D0536E" w:rsidRPr="005A59C2" w:rsidRDefault="00D0536E" w:rsidP="00D0536E">
      <w:pPr>
        <w:pStyle w:val="NormalHanging12a"/>
        <w:widowControl/>
      </w:pPr>
      <w:r w:rsidRPr="005A59C2">
        <w:t>–</w:t>
      </w:r>
      <w:r w:rsidRPr="005A59C2">
        <w:tab/>
        <w:t>atsižvelgdamas į Vengrijos Pagrindinio Įstatymo 4 straipsnio 2 dalį</w:t>
      </w:r>
      <w:r w:rsidR="0071245E">
        <w:t>,</w:t>
      </w:r>
    </w:p>
    <w:p w14:paraId="15EF2806" w14:textId="77777777" w:rsidR="00D0536E" w:rsidRPr="005A59C2" w:rsidRDefault="00D0536E" w:rsidP="00D0536E">
      <w:pPr>
        <w:pStyle w:val="NormalHanging12a"/>
        <w:widowControl/>
      </w:pPr>
      <w:r w:rsidRPr="005A59C2">
        <w:t>–</w:t>
      </w:r>
      <w:r w:rsidRPr="005A59C2">
        <w:tab/>
        <w:t>atsižvelgdamas į Europos Sąjungos Teisingumo Teismo 2008 m. spalio 21 d., 2010 m. kovo 19 d., 2011 m. rugsėjo 6 d., 2013 m. sausio 17 d., 2019 m. gruodžio 19 d. ir 2023 m. liepos 5 d. sprendimus</w:t>
      </w:r>
      <w:r w:rsidRPr="005A59C2">
        <w:rPr>
          <w:rStyle w:val="FootnoteReference"/>
          <w:color w:val="000000"/>
        </w:rPr>
        <w:footnoteReference w:id="1"/>
      </w:r>
      <w:r w:rsidRPr="005A59C2">
        <w:t>,</w:t>
      </w:r>
    </w:p>
    <w:p w14:paraId="12DF2614" w14:textId="77777777" w:rsidR="00D0536E" w:rsidRPr="005A59C2" w:rsidRDefault="00D0536E" w:rsidP="00D0536E">
      <w:pPr>
        <w:pStyle w:val="NormalHanging12a"/>
        <w:widowControl/>
      </w:pPr>
      <w:r w:rsidRPr="005A59C2">
        <w:t>–</w:t>
      </w:r>
      <w:r w:rsidRPr="005A59C2">
        <w:tab/>
        <w:t>atsižvelgdamas į Darbo tvarkos taisyklių 5 straipsnio 2 dalį, 6 straipsnio 1 dalį ir 9 straipsnį,</w:t>
      </w:r>
    </w:p>
    <w:p w14:paraId="15C49413" w14:textId="77777777" w:rsidR="00D0536E" w:rsidRPr="005A59C2" w:rsidRDefault="00D0536E" w:rsidP="00D0536E">
      <w:pPr>
        <w:pStyle w:val="NormalHanging12a"/>
        <w:widowControl/>
      </w:pPr>
      <w:r w:rsidRPr="005A59C2">
        <w:t>–</w:t>
      </w:r>
      <w:r w:rsidRPr="005A59C2">
        <w:tab/>
        <w:t>atsižvelgdamas į Teisės reikalų komiteto pranešimą (A10-0180/2025),</w:t>
      </w:r>
    </w:p>
    <w:p w14:paraId="31716955" w14:textId="1EA63915" w:rsidR="00D0536E" w:rsidRPr="005A59C2" w:rsidRDefault="00D0536E" w:rsidP="00D0536E">
      <w:pPr>
        <w:pStyle w:val="NormalHanging12a"/>
        <w:widowControl/>
      </w:pPr>
      <w:r w:rsidRPr="005A59C2">
        <w:lastRenderedPageBreak/>
        <w:t>A.</w:t>
      </w:r>
      <w:r w:rsidRPr="005A59C2">
        <w:tab/>
        <w:t xml:space="preserve">kadangi </w:t>
      </w:r>
      <w:r w:rsidR="00055DF4">
        <w:t xml:space="preserve">2024 m. rugsėjo 26 d. </w:t>
      </w:r>
      <w:r w:rsidRPr="005A59C2">
        <w:t xml:space="preserve">Vengrijos generalinis prokuroras pateikė prašymą atšaukti </w:t>
      </w:r>
      <w:r w:rsidR="00055DF4">
        <w:t xml:space="preserve">Vengrijoje išrinkto </w:t>
      </w:r>
      <w:r w:rsidRPr="005A59C2">
        <w:t>Europos Parlamento nario Péterio Magyaro imunitetą ryšium su galimu 2012 m. įstatymo Nr. C (Vengrijos baudžiamojo kodekso) 370 straipsnio 1 dalyje ir 370 straipsnio 2 dalies a punkte numatytu baudžiamuoju nusižengimu – nedidelės vertės turto vagyste;</w:t>
      </w:r>
    </w:p>
    <w:p w14:paraId="66E29FD8" w14:textId="77777777" w:rsidR="00D0536E" w:rsidRPr="005A59C2" w:rsidRDefault="00D0536E" w:rsidP="00D0536E">
      <w:pPr>
        <w:pStyle w:val="BodyText"/>
        <w:shd w:val="clear" w:color="auto" w:fill="auto"/>
        <w:ind w:left="567" w:hanging="567"/>
        <w:jc w:val="left"/>
      </w:pPr>
      <w:r w:rsidRPr="005A59C2">
        <w:rPr>
          <w:shd w:val="clear" w:color="auto" w:fill="FFFFFF"/>
        </w:rPr>
        <w:t>B.</w:t>
      </w:r>
      <w:r w:rsidRPr="005A59C2">
        <w:rPr>
          <w:shd w:val="clear" w:color="auto" w:fill="FFFFFF"/>
        </w:rPr>
        <w:tab/>
      </w:r>
      <w:r w:rsidRPr="005A59C2">
        <w:t>kadangi prašyme nurodyta, kad 2024 m. birželio 21 d. Péter Magyar buvo klube Budapešte, kur jį atpažinęs nukentėjusysis padarė jo vaizdo įrašą; kadangi prašyme taip pat nurodoma, kad tarp Péterio Magyaro ir nukentėjusiojo kilo nedidelis susistumdymas, per kurį Péter Magyar iš nukentėjusiojo rankos ištraukė telefoną taip, kad vaizdo įrašymas būtų sustabdytas, jį įsidėjo į kišenę ir nuėjo; kadangi tarp jų kilęs antras ginčas baigėsi tuo, kad apsaugos darbuotojai juos išvedė iš klubo; kadangi, nepaisydamas nukentėjusiojo prašymų grąžinti telefoną, Péter Magyar jį galimai įmetė į Dunojaus upę;</w:t>
      </w:r>
    </w:p>
    <w:p w14:paraId="1F1B03A1" w14:textId="77777777" w:rsidR="00D0536E" w:rsidRPr="005A59C2" w:rsidRDefault="00D0536E" w:rsidP="00D0536E">
      <w:pPr>
        <w:pStyle w:val="NormalHanging12a"/>
        <w:widowControl/>
      </w:pPr>
      <w:r w:rsidRPr="005A59C2">
        <w:t>C.</w:t>
      </w:r>
      <w:r w:rsidRPr="005A59C2">
        <w:tab/>
        <w:t>kadangi prašyme nurodyta, kad į įvykio vietą atvykę policijos narai iš Dunojaus ištraukė telefoną, kurio vertė siekia apie 130 000–150 000 HUF, ir jis nukentėjusiam buvo sugrąžintas veikiantis;</w:t>
      </w:r>
    </w:p>
    <w:p w14:paraId="6A66E903" w14:textId="77777777" w:rsidR="00D0536E" w:rsidRPr="005A59C2" w:rsidRDefault="00D0536E" w:rsidP="00D0536E">
      <w:pPr>
        <w:pStyle w:val="NormalHanging12a"/>
        <w:widowControl/>
      </w:pPr>
      <w:r w:rsidRPr="005A59C2">
        <w:t>D.</w:t>
      </w:r>
      <w:r w:rsidRPr="005A59C2">
        <w:tab/>
        <w:t>kadangi 2024 m. Europos Parlamento rinkimuose Péter Magyar buvo išrinktas į Europos Parlamentą; kadangi 2024 m. birželio 14 d. Vengrijos valdžios institucijos paskelbė Vengrijoje vykusių Europos Parlamento rinkimų rezultatus ir Péter Magyar buvo vienas iš kandidatų, kurie oficialiai paskelbti Vengrijoje išrinktais Europos Parlamento nariais;</w:t>
      </w:r>
      <w:r w:rsidRPr="005A59C2">
        <w:rPr>
          <w:shd w:val="clear" w:color="auto" w:fill="FFFFFF"/>
        </w:rPr>
        <w:t xml:space="preserve"> </w:t>
      </w:r>
      <w:r w:rsidRPr="005A59C2">
        <w:t>kadangi todėl nusikalstamos veikos, kuria įtariamas Péter Magyar, padarymo momentu ir kompetentingoms institucijoms atliekant tyrimą jis buvo Europos Parlamento narys;</w:t>
      </w:r>
    </w:p>
    <w:p w14:paraId="09061AC5" w14:textId="77777777" w:rsidR="00D0536E" w:rsidRPr="005A59C2" w:rsidRDefault="00D0536E" w:rsidP="00D0536E">
      <w:pPr>
        <w:pStyle w:val="NormalHanging12a"/>
        <w:widowControl/>
      </w:pPr>
      <w:r w:rsidRPr="005A59C2">
        <w:t>E.</w:t>
      </w:r>
      <w:r w:rsidRPr="005A59C2">
        <w:tab/>
        <w:t>kadangi galima nusikalstama veika ir dėl jos pateiktas prašymas atšaukti Péterio Magyaro imunitetą nėra susiję su jam einant pareigas pareikšta nuomone ar balsavimu, kaip numatyta Protokolo Nr. 7 dėl Europos Sąjungos privilegijų ir imunitetų 8 straipsnyje;</w:t>
      </w:r>
    </w:p>
    <w:p w14:paraId="4A3DA2A6" w14:textId="77777777" w:rsidR="00D0536E" w:rsidRPr="005A59C2" w:rsidRDefault="00D0536E" w:rsidP="00D0536E">
      <w:pPr>
        <w:pStyle w:val="NormalHanging12a"/>
        <w:widowControl/>
      </w:pPr>
      <w:r w:rsidRPr="005A59C2">
        <w:t>F.</w:t>
      </w:r>
      <w:r w:rsidRPr="005A59C2">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14:paraId="3995A527" w14:textId="2A36223A" w:rsidR="00D0536E" w:rsidRPr="005A59C2" w:rsidRDefault="00D0536E" w:rsidP="00D0536E">
      <w:pPr>
        <w:pStyle w:val="NormalHanging12a"/>
        <w:widowControl/>
      </w:pPr>
      <w:r w:rsidRPr="005A59C2">
        <w:t>G.</w:t>
      </w:r>
      <w:r w:rsidRPr="005A59C2">
        <w:tab/>
        <w:t>kadangi Vengrijos Pagrindinio Įstatymo 4 straipsnio 2 dalyje nustatyta, kad Vengrijos Nacionalinės Asamblėjos nariai naudojasi imunitetu;</w:t>
      </w:r>
      <w:r w:rsidRPr="005A59C2">
        <w:rPr>
          <w:color w:val="000000"/>
          <w:shd w:val="clear" w:color="auto" w:fill="FFFFFF"/>
        </w:rPr>
        <w:t xml:space="preserve"> </w:t>
      </w:r>
      <w:r w:rsidRPr="005A59C2">
        <w:t xml:space="preserve">kadangi pagal 2012 m. įstatymo Nr. XXXVI dėl Nacionalinės Asamblėjos 79 straipsnio 2 dalį asmuo, kuris galutiniu ir privalomu sprendimu įregistruotas kandidatu Nacionalinės Asamblėjos rinkimuose, naudojasi tokiu pačiu imunitetu kaip ir Nacionalinės Asamblėjos nariai tol, kol rinkimų rezultatai taps galutiniai ir privalomi, ir kadangi bet kuriuo atveju, remiantis to įstatymo 79 straipsnio 1 dalimi, Nacionalinės Asamblėjos nariai naudojasi imunitetu nuo jų išrinkimo dienos; </w:t>
      </w:r>
      <w:r w:rsidRPr="005A59C2">
        <w:rPr>
          <w:color w:val="000000"/>
          <w:shd w:val="clear" w:color="auto" w:fill="FFFFFF"/>
        </w:rPr>
        <w:t>kadangi pagal 2012 m. įstatymo Nr. XXXVI dėl Nacionalinės Asamblėjos 74 straipsnio 1 dalį baudžiamasis procesas arba, jei atitinkamoje byloje savanoriškai neatsisakoma imuniteto, nusižengimo bylų procesas negali būti pradėta</w:t>
      </w:r>
      <w:r w:rsidR="00100319">
        <w:rPr>
          <w:color w:val="000000"/>
          <w:shd w:val="clear" w:color="auto" w:fill="FFFFFF"/>
        </w:rPr>
        <w:t>s</w:t>
      </w:r>
      <w:r w:rsidRPr="005A59C2">
        <w:rPr>
          <w:color w:val="000000"/>
          <w:shd w:val="clear" w:color="auto" w:fill="FFFFFF"/>
        </w:rPr>
        <w:t xml:space="preserve"> ar vykdoma</w:t>
      </w:r>
      <w:r w:rsidR="00100319">
        <w:rPr>
          <w:color w:val="000000"/>
          <w:shd w:val="clear" w:color="auto" w:fill="FFFFFF"/>
        </w:rPr>
        <w:t>s</w:t>
      </w:r>
      <w:r w:rsidRPr="005A59C2">
        <w:rPr>
          <w:color w:val="000000"/>
          <w:shd w:val="clear" w:color="auto" w:fill="FFFFFF"/>
        </w:rPr>
        <w:t xml:space="preserve">, o </w:t>
      </w:r>
      <w:r w:rsidR="00557ED2" w:rsidRPr="00557ED2">
        <w:rPr>
          <w:color w:val="000000"/>
          <w:shd w:val="clear" w:color="auto" w:fill="FFFFFF"/>
        </w:rPr>
        <w:t xml:space="preserve">baudžiamojo proceso </w:t>
      </w:r>
      <w:r w:rsidRPr="005A59C2">
        <w:rPr>
          <w:color w:val="000000"/>
          <w:shd w:val="clear" w:color="auto" w:fill="FFFFFF"/>
        </w:rPr>
        <w:t>procesinės prievartos priemonės Nacionalinės Asamblėjos nariui negali būti taikomos be išankstinio Nacionalinės Asamblėjos sutikimo;</w:t>
      </w:r>
    </w:p>
    <w:p w14:paraId="3CEDA3C2" w14:textId="64F912EB" w:rsidR="00D0536E" w:rsidRPr="005A59C2" w:rsidRDefault="00D0536E" w:rsidP="00D0536E">
      <w:pPr>
        <w:pStyle w:val="NormalHanging12a"/>
        <w:widowControl/>
      </w:pPr>
      <w:r w:rsidRPr="005A59C2">
        <w:t>H.</w:t>
      </w:r>
      <w:r w:rsidRPr="005A59C2">
        <w:tab/>
        <w:t>kadangi Parlamento darbo tvarkos taisyklių 5 straipsnio 2 dalyje numatyta, kad Europos Parlamento nario imunitetas yra ne jo asmeninė privilegija, bet viso Parlamento ir jo narių nepriklausomumo garantija;</w:t>
      </w:r>
    </w:p>
    <w:p w14:paraId="1500265B" w14:textId="79CBC1FD" w:rsidR="00D0536E" w:rsidRPr="005A59C2" w:rsidRDefault="00D0536E" w:rsidP="00055DF4">
      <w:pPr>
        <w:pStyle w:val="NormalHanging12a"/>
        <w:widowControl/>
        <w:rPr>
          <w:szCs w:val="24"/>
        </w:rPr>
      </w:pPr>
      <w:r w:rsidRPr="005A59C2">
        <w:t>I.</w:t>
      </w:r>
      <w:r w:rsidRPr="005A59C2">
        <w:tab/>
        <w:t xml:space="preserve">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 </w:t>
      </w:r>
    </w:p>
    <w:p w14:paraId="41CC1CAB" w14:textId="77777777" w:rsidR="00D0536E" w:rsidRPr="005A59C2" w:rsidRDefault="00D0536E" w:rsidP="00D0536E">
      <w:pPr>
        <w:pStyle w:val="NormalHanging12a"/>
      </w:pPr>
      <w:r w:rsidRPr="005A59C2">
        <w:t>J.</w:t>
      </w:r>
      <w:r w:rsidRPr="005A59C2">
        <w:tab/>
        <w:t>kadangi iš Europos Sąjungos Teisingumo Teismo praktikos matyti, kad Parlamentas turi labai plačią „diskreciją priimti teigiamą ar neigiamą sprendimą dėl prašymo atšaukti [...] imunitetą, dėl tokio sprendimo politinio pobūdžio“</w:t>
      </w:r>
      <w:r w:rsidRPr="005A59C2">
        <w:rPr>
          <w:vertAlign w:val="superscript"/>
        </w:rPr>
        <w:footnoteReference w:id="2"/>
      </w:r>
      <w:r w:rsidRPr="005A59C2">
        <w:t>;</w:t>
      </w:r>
    </w:p>
    <w:p w14:paraId="4E749B05" w14:textId="191FBDAA" w:rsidR="00D0536E" w:rsidRPr="005A59C2" w:rsidRDefault="00D0536E" w:rsidP="00D0536E">
      <w:pPr>
        <w:pStyle w:val="NormalHanging12a"/>
      </w:pPr>
      <w:r w:rsidRPr="005A59C2">
        <w:t>K.</w:t>
      </w:r>
      <w:r w:rsidRPr="005A59C2">
        <w:tab/>
        <w:t xml:space="preserve">kadangi Péter Magyar yra partijos </w:t>
      </w:r>
      <w:r w:rsidRPr="005A59C2">
        <w:rPr>
          <w:i/>
          <w:iCs/>
        </w:rPr>
        <w:t>Tisza</w:t>
      </w:r>
      <w:r w:rsidRPr="005A59C2">
        <w:t xml:space="preserve"> (</w:t>
      </w:r>
      <w:r w:rsidRPr="005A59C2">
        <w:rPr>
          <w:i/>
          <w:iCs/>
        </w:rPr>
        <w:t>Tisztelet és Szabadság Párt</w:t>
      </w:r>
      <w:r w:rsidRPr="005A59C2">
        <w:t xml:space="preserve">) pirmininkas ir buvo tos politinės partijos kandidatų 2024 m. Europos Parlamento rinkimuose sąrašo lyderis; kadangi Péter Magyar ryžtingai pasisako prieš Vengrijos vyriausybės politiką ir pozicijas, be kita ko, susijusias su Sąjunga; kadangi faktinės aplinkybės, dėl kurių pateiktas prašymas atšaukti imunitetą, policijos atliekamo tyrimo nenuoseklumai, įskaitant neišsamų </w:t>
      </w:r>
      <w:r w:rsidR="00557ED2" w:rsidRPr="00557ED2">
        <w:t>Vengrijos generalin</w:t>
      </w:r>
      <w:r w:rsidR="00413AD6">
        <w:t>io</w:t>
      </w:r>
      <w:r w:rsidR="00557ED2" w:rsidRPr="00557ED2">
        <w:t xml:space="preserve"> </w:t>
      </w:r>
      <w:r w:rsidRPr="005A59C2">
        <w:t xml:space="preserve">prokuroro atsakymą dėl veiksmų, kurių institucijos ėmėsi byloje dėl Péterio Magyaro, proporcingumo, palyginti su panašiomis bylomis dėl nedidelės vertės daiktų, ir tai, kad kompetentingų institucijų atsakyme trūksta aiškumo dėl Péteriui Magyarui inkriminuojamos galimos nusikalstamos veikos teisinio kvalifikavimo, kelia susirūpinimą dėl to, kad procesas galėjo būti pradėtas siekiant pakenkti </w:t>
      </w:r>
      <w:r w:rsidR="00B4041F" w:rsidRPr="005A59C2">
        <w:t>Péterio Magyaro</w:t>
      </w:r>
      <w:r w:rsidRPr="005A59C2">
        <w:t xml:space="preserve"> reputacijai; </w:t>
      </w:r>
    </w:p>
    <w:p w14:paraId="6A6BF2EB" w14:textId="7BB7D222" w:rsidR="00D0536E" w:rsidRPr="005A59C2" w:rsidRDefault="00D0536E" w:rsidP="00D0536E">
      <w:pPr>
        <w:pStyle w:val="NormalHanging12a"/>
      </w:pPr>
      <w:r w:rsidRPr="005A59C2">
        <w:t>L.</w:t>
      </w:r>
      <w:r w:rsidRPr="005A59C2">
        <w:tab/>
        <w:t xml:space="preserve">kadangi dėl to šiuo atveju galima daryti prielaidą, jog esama </w:t>
      </w:r>
      <w:r w:rsidRPr="005A59C2">
        <w:rPr>
          <w:i/>
        </w:rPr>
        <w:t>fumus persecutionis</w:t>
      </w:r>
      <w:r w:rsidRPr="005A59C2">
        <w:t>, t. y. konkrečių įrodymų</w:t>
      </w:r>
      <w:r w:rsidRPr="005A59C2">
        <w:rPr>
          <w:vertAlign w:val="superscript"/>
        </w:rPr>
        <w:footnoteReference w:id="3"/>
      </w:r>
      <w:r w:rsidRPr="005A59C2">
        <w:t xml:space="preserve">, iš kurių matyti, kad šis procesas buvo pradėtas siekiant pakenkti Péterio Magyaro politinei veiklai, </w:t>
      </w:r>
      <w:r w:rsidR="00413AD6">
        <w:t xml:space="preserve">ir </w:t>
      </w:r>
      <w:r w:rsidRPr="005A59C2">
        <w:t>visų pirma jo, kaip Europos Parlamento nario, veiklai;</w:t>
      </w:r>
    </w:p>
    <w:p w14:paraId="4A5314FC" w14:textId="77777777" w:rsidR="00D0536E" w:rsidRPr="005A59C2" w:rsidRDefault="00D0536E" w:rsidP="00D0536E">
      <w:pPr>
        <w:pStyle w:val="NormalHanging12a"/>
        <w:widowControl/>
      </w:pPr>
      <w:r w:rsidRPr="005A59C2">
        <w:t>M.</w:t>
      </w:r>
      <w:r w:rsidRPr="005A59C2">
        <w:tab/>
        <w:t>kadangi, pirma, Parlamentas negali būti prilyginamas teismui ir, antra, vykstant imuniteto atšaukimo procedūrai Parlamento narys negali būti laikomas kaltinamuoju</w:t>
      </w:r>
      <w:r w:rsidRPr="005A59C2">
        <w:rPr>
          <w:vertAlign w:val="superscript"/>
        </w:rPr>
        <w:footnoteReference w:id="4"/>
      </w:r>
      <w:r w:rsidRPr="005A59C2">
        <w:t>;</w:t>
      </w:r>
    </w:p>
    <w:p w14:paraId="7058EBCC" w14:textId="77777777" w:rsidR="00D0536E" w:rsidRPr="005A59C2" w:rsidRDefault="00D0536E" w:rsidP="00D0536E">
      <w:pPr>
        <w:pStyle w:val="NormalHanging12a"/>
      </w:pPr>
      <w:r w:rsidRPr="005A59C2">
        <w:t>1.</w:t>
      </w:r>
      <w:r w:rsidRPr="005A59C2">
        <w:tab/>
        <w:t>nusprendžia neatšaukti Péterio Magyaro imuniteto;</w:t>
      </w:r>
    </w:p>
    <w:p w14:paraId="029C2B93" w14:textId="6091842C" w:rsidR="00E365E1" w:rsidRPr="005A59C2" w:rsidRDefault="00D0536E" w:rsidP="00030284">
      <w:pPr>
        <w:ind w:left="567" w:hanging="567"/>
      </w:pPr>
      <w:r w:rsidRPr="005A59C2">
        <w:t>2.</w:t>
      </w:r>
      <w:r w:rsidRPr="005A59C2">
        <w:tab/>
        <w:t>paveda Pirmininkei nedelsiant perduoti šį sprendimą ir atsakingo komiteto pranešimą Vengrijos kompetentingoms institucijoms ir Péteriui Magyarui.</w:t>
      </w:r>
    </w:p>
    <w:sectPr w:rsidR="00E365E1" w:rsidRPr="005A59C2" w:rsidSect="005A59C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90E70" w14:textId="77777777" w:rsidR="009D37E1" w:rsidRPr="005A59C2" w:rsidRDefault="009D37E1">
      <w:r w:rsidRPr="005A59C2">
        <w:separator/>
      </w:r>
    </w:p>
  </w:endnote>
  <w:endnote w:type="continuationSeparator" w:id="0">
    <w:p w14:paraId="171FA36D" w14:textId="77777777" w:rsidR="009D37E1" w:rsidRPr="005A59C2" w:rsidRDefault="009D37E1">
      <w:r w:rsidRPr="005A5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D4399" w14:textId="77777777" w:rsidR="009D37E1" w:rsidRPr="005A59C2" w:rsidRDefault="009D37E1">
      <w:r w:rsidRPr="005A59C2">
        <w:separator/>
      </w:r>
    </w:p>
  </w:footnote>
  <w:footnote w:type="continuationSeparator" w:id="0">
    <w:p w14:paraId="0CAC2A46" w14:textId="77777777" w:rsidR="009D37E1" w:rsidRPr="005A59C2" w:rsidRDefault="009D37E1">
      <w:r w:rsidRPr="005A59C2">
        <w:continuationSeparator/>
      </w:r>
    </w:p>
  </w:footnote>
  <w:footnote w:id="1">
    <w:p w14:paraId="221C197C" w14:textId="5018B83B" w:rsidR="00D0536E" w:rsidRPr="005A59C2" w:rsidRDefault="00D0536E" w:rsidP="005A59C2">
      <w:pPr>
        <w:pStyle w:val="FootnoteText"/>
        <w:ind w:left="567" w:hanging="567"/>
        <w:rPr>
          <w:sz w:val="24"/>
          <w:lang w:val="lt-LT"/>
        </w:rPr>
      </w:pPr>
      <w:r w:rsidRPr="005A59C2">
        <w:rPr>
          <w:rStyle w:val="FootnoteReference"/>
          <w:sz w:val="24"/>
          <w:szCs w:val="16"/>
          <w:lang w:val="lt-LT"/>
        </w:rPr>
        <w:footnoteRef/>
      </w:r>
      <w:r w:rsidR="005A59C2" w:rsidRPr="005A59C2">
        <w:rPr>
          <w:sz w:val="24"/>
          <w:lang w:val="lt-LT"/>
        </w:rPr>
        <w:t xml:space="preserve"> </w:t>
      </w:r>
      <w:r w:rsidR="005A59C2" w:rsidRPr="005A59C2">
        <w:rPr>
          <w:sz w:val="24"/>
          <w:lang w:val="lt-LT"/>
        </w:rPr>
        <w:tab/>
      </w:r>
      <w:r w:rsidRPr="005A59C2">
        <w:rPr>
          <w:sz w:val="24"/>
          <w:lang w:val="lt-LT"/>
        </w:rPr>
        <w:t xml:space="preserve">2008 m. spalio 21 d. Teisingumo Teismo sprendimas </w:t>
      </w:r>
      <w:r w:rsidRPr="005A59C2">
        <w:rPr>
          <w:i/>
          <w:sz w:val="24"/>
          <w:lang w:val="lt-LT"/>
        </w:rPr>
        <w:t>Marra / De Gregorio ir Clemente</w:t>
      </w:r>
      <w:r w:rsidRPr="005A59C2">
        <w:rPr>
          <w:sz w:val="24"/>
          <w:lang w:val="lt-LT"/>
        </w:rPr>
        <w:t xml:space="preserve">, C-200/07 ir C-201/07, ECLI:EU:C:2008:579; 2010 m. kovo 19 d. Bendrojo Teismo sprendimas </w:t>
      </w:r>
      <w:r w:rsidRPr="005A59C2">
        <w:rPr>
          <w:i/>
          <w:iCs/>
          <w:sz w:val="24"/>
          <w:lang w:val="lt-LT"/>
        </w:rPr>
        <w:t>Gollnisch / Parlamentas</w:t>
      </w:r>
      <w:r w:rsidRPr="005A59C2">
        <w:rPr>
          <w:sz w:val="24"/>
          <w:lang w:val="lt-LT"/>
        </w:rPr>
        <w:t xml:space="preserve">, T-42/06, ECLI:EU:T:2010:102; 2011 m. rugsėjo 6 d. Teisingumo Teismo sprendimas </w:t>
      </w:r>
      <w:r w:rsidRPr="005A59C2">
        <w:rPr>
          <w:i/>
          <w:iCs/>
          <w:sz w:val="24"/>
          <w:lang w:val="lt-LT"/>
        </w:rPr>
        <w:t>Patriciello</w:t>
      </w:r>
      <w:r w:rsidRPr="005A59C2">
        <w:rPr>
          <w:sz w:val="24"/>
          <w:lang w:val="lt-LT"/>
        </w:rPr>
        <w:t xml:space="preserve">, C-163/10, ECLI: EU:C:2011:543; 2013 m. sausio 17 d. Bendrojo Teismo sprendimas </w:t>
      </w:r>
      <w:r w:rsidRPr="005A59C2">
        <w:rPr>
          <w:i/>
          <w:iCs/>
          <w:sz w:val="24"/>
          <w:lang w:val="lt-LT"/>
        </w:rPr>
        <w:t>Gollnisch / Parlamentas</w:t>
      </w:r>
      <w:r w:rsidRPr="005A59C2">
        <w:rPr>
          <w:sz w:val="24"/>
          <w:lang w:val="lt-LT"/>
        </w:rPr>
        <w:t xml:space="preserve">, T-346/11 ir T-347/11, ECLI:EU:T:2013:23; 2019 m. gruodžio 19 d. Teisingumo Teismo sprendimas </w:t>
      </w:r>
      <w:r w:rsidRPr="005A59C2">
        <w:rPr>
          <w:i/>
          <w:iCs/>
          <w:sz w:val="24"/>
          <w:lang w:val="lt-LT"/>
        </w:rPr>
        <w:t>Junqueras Vies</w:t>
      </w:r>
      <w:r w:rsidRPr="005A59C2">
        <w:rPr>
          <w:sz w:val="24"/>
          <w:lang w:val="lt-LT"/>
        </w:rPr>
        <w:t xml:space="preserve">, C-502/19, ECLI:EU:C:2019:1115; 2023 m. liepos 5 d. Bendrojo Teismo sprendimas </w:t>
      </w:r>
      <w:r w:rsidRPr="005A59C2">
        <w:rPr>
          <w:i/>
          <w:sz w:val="24"/>
          <w:lang w:val="lt-LT"/>
        </w:rPr>
        <w:t>Puigdemont i Casamajó ir kt. / Parlamentas</w:t>
      </w:r>
      <w:r w:rsidRPr="005A59C2">
        <w:rPr>
          <w:sz w:val="24"/>
          <w:lang w:val="lt-LT"/>
        </w:rPr>
        <w:t>, T-272/21, ECLI:EU:T:2023:373.</w:t>
      </w:r>
    </w:p>
  </w:footnote>
  <w:footnote w:id="2">
    <w:p w14:paraId="2B0A6697" w14:textId="153CF714" w:rsidR="00D0536E" w:rsidRPr="005A59C2" w:rsidRDefault="00D0536E" w:rsidP="005A59C2">
      <w:pPr>
        <w:pStyle w:val="FootnoteText"/>
        <w:ind w:left="567" w:hanging="567"/>
        <w:rPr>
          <w:sz w:val="24"/>
          <w:lang w:val="lt-LT"/>
        </w:rPr>
      </w:pPr>
      <w:r w:rsidRPr="005A59C2">
        <w:rPr>
          <w:rStyle w:val="FootnoteReference"/>
          <w:sz w:val="24"/>
          <w:lang w:val="lt-LT"/>
        </w:rPr>
        <w:footnoteRef/>
      </w:r>
      <w:r w:rsidR="005A59C2" w:rsidRPr="005A59C2">
        <w:rPr>
          <w:sz w:val="24"/>
          <w:lang w:val="lt-LT"/>
        </w:rPr>
        <w:t xml:space="preserve"> </w:t>
      </w:r>
      <w:r w:rsidR="005A59C2" w:rsidRPr="005A59C2">
        <w:rPr>
          <w:sz w:val="24"/>
          <w:lang w:val="lt-LT"/>
        </w:rPr>
        <w:tab/>
      </w:r>
      <w:r w:rsidRPr="005A59C2">
        <w:rPr>
          <w:sz w:val="24"/>
          <w:lang w:val="lt-LT"/>
        </w:rPr>
        <w:t xml:space="preserve">2013 m. sausio 17 d. Bendrojo Teismo sprendimo </w:t>
      </w:r>
      <w:r w:rsidRPr="005A59C2">
        <w:rPr>
          <w:i/>
          <w:iCs/>
          <w:sz w:val="24"/>
          <w:lang w:val="lt-LT"/>
        </w:rPr>
        <w:t>Gollnisch / Parlamentas</w:t>
      </w:r>
      <w:r w:rsidRPr="005A59C2">
        <w:rPr>
          <w:sz w:val="24"/>
          <w:lang w:val="lt-LT"/>
        </w:rPr>
        <w:t>, T-346/11 ir T-347/11, ECLI:EU:T:2013:23, 59 punktas ir jame nurodyta jurisprudencija.</w:t>
      </w:r>
    </w:p>
  </w:footnote>
  <w:footnote w:id="3">
    <w:p w14:paraId="490E7FB4" w14:textId="3F25654E" w:rsidR="00D0536E" w:rsidRPr="005A59C2" w:rsidRDefault="00D0536E" w:rsidP="005A59C2">
      <w:pPr>
        <w:pStyle w:val="FootnoteText"/>
        <w:ind w:left="567" w:hanging="567"/>
        <w:rPr>
          <w:sz w:val="24"/>
          <w:lang w:val="lt-LT"/>
        </w:rPr>
      </w:pPr>
      <w:r w:rsidRPr="005A59C2">
        <w:rPr>
          <w:rStyle w:val="FootnoteReference"/>
          <w:sz w:val="24"/>
          <w:lang w:val="lt-LT"/>
        </w:rPr>
        <w:footnoteRef/>
      </w:r>
      <w:r w:rsidR="005A59C2" w:rsidRPr="005A59C2">
        <w:rPr>
          <w:sz w:val="24"/>
          <w:lang w:val="lt-LT"/>
        </w:rPr>
        <w:t xml:space="preserve"> </w:t>
      </w:r>
      <w:r w:rsidR="005A59C2" w:rsidRPr="005A59C2">
        <w:rPr>
          <w:sz w:val="24"/>
          <w:lang w:val="lt-LT"/>
        </w:rPr>
        <w:tab/>
      </w:r>
      <w:r w:rsidRPr="005A59C2">
        <w:rPr>
          <w:sz w:val="24"/>
          <w:lang w:val="lt-LT"/>
        </w:rPr>
        <w:t xml:space="preserve">2020 m. rugsėjo 17 d. Teisingumo Teismo sprendimo </w:t>
      </w:r>
      <w:r w:rsidRPr="005A59C2">
        <w:rPr>
          <w:i/>
          <w:sz w:val="24"/>
          <w:lang w:val="lt-LT"/>
        </w:rPr>
        <w:t>Troszczynski / Parlamentas</w:t>
      </w:r>
      <w:r w:rsidRPr="005A59C2">
        <w:rPr>
          <w:sz w:val="24"/>
          <w:lang w:val="lt-LT"/>
        </w:rPr>
        <w:t>, C-12/19 P, ECLI:EU:C:2020:725, 26 punktas.</w:t>
      </w:r>
    </w:p>
  </w:footnote>
  <w:footnote w:id="4">
    <w:p w14:paraId="4C45F5DB" w14:textId="20EE6FF7" w:rsidR="00D0536E" w:rsidRPr="005A59C2" w:rsidRDefault="00D0536E" w:rsidP="005A59C2">
      <w:pPr>
        <w:pStyle w:val="FootnoteText"/>
        <w:ind w:left="567" w:hanging="567"/>
        <w:rPr>
          <w:sz w:val="24"/>
          <w:lang w:val="lt-LT"/>
        </w:rPr>
      </w:pPr>
      <w:r w:rsidRPr="005A59C2">
        <w:rPr>
          <w:rStyle w:val="FootnoteReference"/>
          <w:sz w:val="24"/>
          <w:szCs w:val="16"/>
          <w:lang w:val="lt-LT"/>
        </w:rPr>
        <w:footnoteRef/>
      </w:r>
      <w:r w:rsidR="005A59C2" w:rsidRPr="005A59C2">
        <w:rPr>
          <w:sz w:val="24"/>
          <w:lang w:val="lt-LT"/>
        </w:rPr>
        <w:t xml:space="preserve"> </w:t>
      </w:r>
      <w:r w:rsidR="005A59C2" w:rsidRPr="005A59C2">
        <w:rPr>
          <w:sz w:val="24"/>
          <w:lang w:val="lt-LT"/>
        </w:rPr>
        <w:tab/>
      </w:r>
      <w:r w:rsidRPr="005A59C2">
        <w:rPr>
          <w:sz w:val="24"/>
          <w:lang w:val="lt-LT"/>
        </w:rPr>
        <w:t xml:space="preserve">2019 m. balandžio 30 d. Bendrojo Teismo sprendimas </w:t>
      </w:r>
      <w:r w:rsidRPr="005A59C2">
        <w:rPr>
          <w:i/>
          <w:iCs/>
          <w:sz w:val="24"/>
          <w:lang w:val="lt-LT"/>
        </w:rPr>
        <w:t>Briois / Parlamentas</w:t>
      </w:r>
      <w:r w:rsidRPr="005A59C2">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5255614">
    <w:abstractNumId w:val="9"/>
  </w:num>
  <w:num w:numId="2" w16cid:durableId="1403063705">
    <w:abstractNumId w:val="9"/>
  </w:num>
  <w:num w:numId="3" w16cid:durableId="1559197400">
    <w:abstractNumId w:val="7"/>
  </w:num>
  <w:num w:numId="4" w16cid:durableId="641159259">
    <w:abstractNumId w:val="7"/>
  </w:num>
  <w:num w:numId="5" w16cid:durableId="494952034">
    <w:abstractNumId w:val="6"/>
  </w:num>
  <w:num w:numId="6" w16cid:durableId="625887692">
    <w:abstractNumId w:val="6"/>
  </w:num>
  <w:num w:numId="7" w16cid:durableId="841434818">
    <w:abstractNumId w:val="5"/>
  </w:num>
  <w:num w:numId="8" w16cid:durableId="545026230">
    <w:abstractNumId w:val="5"/>
  </w:num>
  <w:num w:numId="9" w16cid:durableId="346561370">
    <w:abstractNumId w:val="4"/>
  </w:num>
  <w:num w:numId="10" w16cid:durableId="1710640914">
    <w:abstractNumId w:val="4"/>
  </w:num>
  <w:num w:numId="11" w16cid:durableId="648481425">
    <w:abstractNumId w:val="8"/>
  </w:num>
  <w:num w:numId="12" w16cid:durableId="882255350">
    <w:abstractNumId w:val="8"/>
  </w:num>
  <w:num w:numId="13" w16cid:durableId="1114862278">
    <w:abstractNumId w:val="3"/>
  </w:num>
  <w:num w:numId="14" w16cid:durableId="791628419">
    <w:abstractNumId w:val="3"/>
  </w:num>
  <w:num w:numId="15" w16cid:durableId="1561793395">
    <w:abstractNumId w:val="2"/>
  </w:num>
  <w:num w:numId="16" w16cid:durableId="1118379857">
    <w:abstractNumId w:val="2"/>
  </w:num>
  <w:num w:numId="17" w16cid:durableId="2043896730">
    <w:abstractNumId w:val="1"/>
  </w:num>
  <w:num w:numId="18" w16cid:durableId="1906065754">
    <w:abstractNumId w:val="1"/>
  </w:num>
  <w:num w:numId="19" w16cid:durableId="432283996">
    <w:abstractNumId w:val="0"/>
  </w:num>
  <w:num w:numId="20" w16cid:durableId="497505699">
    <w:abstractNumId w:val="0"/>
  </w:num>
  <w:num w:numId="21" w16cid:durableId="164176718">
    <w:abstractNumId w:val="9"/>
  </w:num>
  <w:num w:numId="22" w16cid:durableId="2145154845">
    <w:abstractNumId w:val="7"/>
  </w:num>
  <w:num w:numId="23" w16cid:durableId="489953169">
    <w:abstractNumId w:val="6"/>
  </w:num>
  <w:num w:numId="24" w16cid:durableId="1560827082">
    <w:abstractNumId w:val="5"/>
  </w:num>
  <w:num w:numId="25" w16cid:durableId="1743795397">
    <w:abstractNumId w:val="4"/>
  </w:num>
  <w:num w:numId="26" w16cid:durableId="84805898">
    <w:abstractNumId w:val="8"/>
  </w:num>
  <w:num w:numId="27" w16cid:durableId="1697191429">
    <w:abstractNumId w:val="3"/>
  </w:num>
  <w:num w:numId="28" w16cid:durableId="1834291927">
    <w:abstractNumId w:val="2"/>
  </w:num>
  <w:num w:numId="29" w16cid:durableId="625045255">
    <w:abstractNumId w:val="1"/>
  </w:num>
  <w:num w:numId="30" w16cid:durableId="1983070479">
    <w:abstractNumId w:val="0"/>
  </w:num>
  <w:num w:numId="31" w16cid:durableId="739873">
    <w:abstractNumId w:val="9"/>
  </w:num>
  <w:num w:numId="32" w16cid:durableId="335426722">
    <w:abstractNumId w:val="7"/>
  </w:num>
  <w:num w:numId="33" w16cid:durableId="868876990">
    <w:abstractNumId w:val="6"/>
  </w:num>
  <w:num w:numId="34" w16cid:durableId="1785609950">
    <w:abstractNumId w:val="5"/>
  </w:num>
  <w:num w:numId="35" w16cid:durableId="1072969790">
    <w:abstractNumId w:val="4"/>
  </w:num>
  <w:num w:numId="36" w16cid:durableId="768088246">
    <w:abstractNumId w:val="8"/>
  </w:num>
  <w:num w:numId="37" w16cid:durableId="1736663036">
    <w:abstractNumId w:val="3"/>
  </w:num>
  <w:num w:numId="38" w16cid:durableId="1842118652">
    <w:abstractNumId w:val="2"/>
  </w:num>
  <w:num w:numId="39" w16cid:durableId="77870030">
    <w:abstractNumId w:val="1"/>
  </w:num>
  <w:num w:numId="40" w16cid:durableId="1136608134">
    <w:abstractNumId w:val="0"/>
  </w:num>
  <w:num w:numId="41" w16cid:durableId="26374204">
    <w:abstractNumId w:val="10"/>
  </w:num>
  <w:num w:numId="42" w16cid:durableId="184756386">
    <w:abstractNumId w:val="10"/>
  </w:num>
  <w:num w:numId="43" w16cid:durableId="1678000479">
    <w:abstractNumId w:val="10"/>
  </w:num>
  <w:num w:numId="44" w16cid:durableId="9312067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LT"/>
    <w:docVar w:name="dvnumam" w:val="0"/>
    <w:docVar w:name="dvpe" w:val="770.241"/>
    <w:docVar w:name="dvrapporteur" w:val="Pranešėjas: "/>
    <w:docVar w:name="dvtitre" w:val="2025 m. spalio 7 d. Europos Parlamento sprendimas dėl prašymo atšaukti Péterio Magyaro (Péter Magyar) imunitetą(2024/2063(IMM))"/>
  </w:docVars>
  <w:rsids>
    <w:rsidRoot w:val="009D37E1"/>
    <w:rsid w:val="00002272"/>
    <w:rsid w:val="00030284"/>
    <w:rsid w:val="00055DF4"/>
    <w:rsid w:val="00064002"/>
    <w:rsid w:val="000677B9"/>
    <w:rsid w:val="000831BA"/>
    <w:rsid w:val="000A42CC"/>
    <w:rsid w:val="000E7DD9"/>
    <w:rsid w:val="00100319"/>
    <w:rsid w:val="0010095E"/>
    <w:rsid w:val="00125B37"/>
    <w:rsid w:val="00187494"/>
    <w:rsid w:val="001F32AE"/>
    <w:rsid w:val="002767FF"/>
    <w:rsid w:val="002B18FE"/>
    <w:rsid w:val="002B5493"/>
    <w:rsid w:val="00343214"/>
    <w:rsid w:val="00361C00"/>
    <w:rsid w:val="00395FA1"/>
    <w:rsid w:val="003E15D4"/>
    <w:rsid w:val="00411CCE"/>
    <w:rsid w:val="00413AD6"/>
    <w:rsid w:val="0041666E"/>
    <w:rsid w:val="00421060"/>
    <w:rsid w:val="00440350"/>
    <w:rsid w:val="004443EA"/>
    <w:rsid w:val="00471C19"/>
    <w:rsid w:val="004867E3"/>
    <w:rsid w:val="00494A28"/>
    <w:rsid w:val="004C0004"/>
    <w:rsid w:val="004C5D52"/>
    <w:rsid w:val="0050519A"/>
    <w:rsid w:val="005072A1"/>
    <w:rsid w:val="00514517"/>
    <w:rsid w:val="00545827"/>
    <w:rsid w:val="00557ED2"/>
    <w:rsid w:val="00560270"/>
    <w:rsid w:val="005A59C2"/>
    <w:rsid w:val="005C2568"/>
    <w:rsid w:val="005F1B17"/>
    <w:rsid w:val="006037C0"/>
    <w:rsid w:val="006631B6"/>
    <w:rsid w:val="00680577"/>
    <w:rsid w:val="006F74FA"/>
    <w:rsid w:val="0071245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5DC"/>
    <w:rsid w:val="00930C23"/>
    <w:rsid w:val="0093193B"/>
    <w:rsid w:val="009509D8"/>
    <w:rsid w:val="00950B64"/>
    <w:rsid w:val="00963425"/>
    <w:rsid w:val="00981893"/>
    <w:rsid w:val="009D37E1"/>
    <w:rsid w:val="00A1687D"/>
    <w:rsid w:val="00A43E52"/>
    <w:rsid w:val="00A4678D"/>
    <w:rsid w:val="00A778C7"/>
    <w:rsid w:val="00AB441E"/>
    <w:rsid w:val="00AB6293"/>
    <w:rsid w:val="00AE0928"/>
    <w:rsid w:val="00AF3B82"/>
    <w:rsid w:val="00B12E95"/>
    <w:rsid w:val="00B22876"/>
    <w:rsid w:val="00B4041F"/>
    <w:rsid w:val="00B41041"/>
    <w:rsid w:val="00B558F0"/>
    <w:rsid w:val="00B55C41"/>
    <w:rsid w:val="00BD48FE"/>
    <w:rsid w:val="00BD7BD8"/>
    <w:rsid w:val="00BE6ADC"/>
    <w:rsid w:val="00C05BFE"/>
    <w:rsid w:val="00C23CD4"/>
    <w:rsid w:val="00C61C0C"/>
    <w:rsid w:val="00C941CB"/>
    <w:rsid w:val="00CC2357"/>
    <w:rsid w:val="00CF071A"/>
    <w:rsid w:val="00D0536E"/>
    <w:rsid w:val="00D058B8"/>
    <w:rsid w:val="00D56C11"/>
    <w:rsid w:val="00D834A0"/>
    <w:rsid w:val="00D872DF"/>
    <w:rsid w:val="00D91E21"/>
    <w:rsid w:val="00DA7FCD"/>
    <w:rsid w:val="00E365E1"/>
    <w:rsid w:val="00E820A4"/>
    <w:rsid w:val="00EB006A"/>
    <w:rsid w:val="00EB1B45"/>
    <w:rsid w:val="00EB4772"/>
    <w:rsid w:val="00ED169E"/>
    <w:rsid w:val="00ED4235"/>
    <w:rsid w:val="00F04346"/>
    <w:rsid w:val="00F075DC"/>
    <w:rsid w:val="00F149E9"/>
    <w:rsid w:val="00F5134D"/>
    <w:rsid w:val="00F67535"/>
    <w:rsid w:val="00F74202"/>
    <w:rsid w:val="00F87713"/>
    <w:rsid w:val="00FB1AD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0A5A8"/>
  <w15:chartTrackingRefBased/>
  <w15:docId w15:val="{0814A331-E936-4B22-9002-BE3BF9860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0536E"/>
    <w:pPr>
      <w:spacing w:after="240"/>
      <w:ind w:left="567" w:hanging="567"/>
    </w:pPr>
  </w:style>
  <w:style w:type="paragraph" w:customStyle="1" w:styleId="EPComma">
    <w:name w:val="EPComma"/>
    <w:basedOn w:val="Normal"/>
    <w:rsid w:val="00D0536E"/>
    <w:pPr>
      <w:spacing w:before="480" w:after="240"/>
    </w:pPr>
  </w:style>
  <w:style w:type="paragraph" w:styleId="BodyText">
    <w:name w:val="Body Text"/>
    <w:basedOn w:val="Normal"/>
    <w:link w:val="BodyTextChar"/>
    <w:unhideWhenUsed/>
    <w:qFormat/>
    <w:rsid w:val="00D0536E"/>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D0536E"/>
    <w:rPr>
      <w:sz w:val="24"/>
      <w:szCs w:val="24"/>
      <w:shd w:val="clear" w:color="auto" w:fill="FFFFFF"/>
      <w:lang w:val="lt-LT" w:eastAsia="hu-HU" w:bidi="hu-HU"/>
    </w:rPr>
  </w:style>
  <w:style w:type="paragraph" w:styleId="Revision">
    <w:name w:val="Revision"/>
    <w:hidden/>
    <w:uiPriority w:val="99"/>
    <w:semiHidden/>
    <w:rsid w:val="00055DF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926</Words>
  <Characters>6066</Characters>
  <Application>Microsoft Office Word</Application>
  <DocSecurity>0</DocSecurity>
  <Lines>50</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Prašymas atšaukti Péterio Magyaro (Péter Magyar) imunitetą</vt:lpstr>
      <vt:lpstr>        2025 m. spalio 7 d. Europos Parlamento sprendimas dėl prašymo atšaukti Péterio M</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2025-10-07T11:52:00Z</dcterms:created>
  <dcterms:modified xsi:type="dcterms:W3CDTF">2025-10-07T11:52:00Z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A10-0180/2025</vt:lpwstr>
  </property>
  <property fmtid="{D5CDD505-2E9C-101B-9397-08002B2CF9AE}" pid="4" name="&lt;Type&gt;">
    <vt:lpwstr>RR</vt:lpwstr>
  </property>
</Properties>
</file>