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7A7D" w14:paraId="26F5DD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2629FB" w14:textId="77777777" w:rsidR="00751A4A" w:rsidRPr="00B47A7D" w:rsidRDefault="007B4C16" w:rsidP="0010095E">
            <w:pPr>
              <w:pStyle w:val="EPName"/>
            </w:pPr>
            <w:r w:rsidRPr="00B47A7D">
              <w:t>Parlament Ewropew</w:t>
            </w:r>
          </w:p>
          <w:p w14:paraId="70255B4F" w14:textId="77777777" w:rsidR="00751A4A" w:rsidRPr="00B47A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7A7D">
              <w:t>2024</w:t>
            </w:r>
            <w:r w:rsidR="00817416" w:rsidRPr="00B47A7D">
              <w:t>-202</w:t>
            </w:r>
            <w:r w:rsidRPr="00B47A7D">
              <w:t>9</w:t>
            </w:r>
          </w:p>
        </w:tc>
        <w:tc>
          <w:tcPr>
            <w:tcW w:w="2268" w:type="dxa"/>
            <w:shd w:val="clear" w:color="auto" w:fill="auto"/>
          </w:tcPr>
          <w:p w14:paraId="642CD50A" w14:textId="77777777" w:rsidR="00751A4A" w:rsidRPr="00B47A7D" w:rsidRDefault="00187494" w:rsidP="0010095E">
            <w:pPr>
              <w:pStyle w:val="EPLogo"/>
            </w:pPr>
            <w:r w:rsidRPr="00B47A7D">
              <w:rPr>
                <w:noProof/>
                <w:lang w:eastAsia="ja-JP"/>
              </w:rPr>
              <w:drawing>
                <wp:inline distT="0" distB="0" distL="0" distR="0" wp14:anchorId="1BA4A3F8" wp14:editId="16332C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C4896" w14:textId="77777777" w:rsidR="00D058B8" w:rsidRPr="00B47A7D" w:rsidRDefault="00D058B8" w:rsidP="004C5D52">
      <w:pPr>
        <w:pStyle w:val="LineTop"/>
      </w:pPr>
    </w:p>
    <w:p w14:paraId="26898746" w14:textId="77777777" w:rsidR="00680577" w:rsidRPr="00B47A7D" w:rsidRDefault="007B4C16" w:rsidP="00680577">
      <w:pPr>
        <w:pStyle w:val="EPBodyTA1"/>
      </w:pPr>
      <w:r w:rsidRPr="00B47A7D">
        <w:t>TESTI ADOTTATI</w:t>
      </w:r>
    </w:p>
    <w:p w14:paraId="051747AC" w14:textId="77777777" w:rsidR="00D058B8" w:rsidRPr="00B47A7D" w:rsidRDefault="00D058B8" w:rsidP="00D058B8">
      <w:pPr>
        <w:pStyle w:val="LineBottom"/>
      </w:pPr>
    </w:p>
    <w:p w14:paraId="692550A6" w14:textId="2672428A" w:rsidR="007B4C16" w:rsidRPr="00B47A7D" w:rsidRDefault="007B4C16" w:rsidP="007B4C16">
      <w:pPr>
        <w:pStyle w:val="ATHeading1"/>
      </w:pPr>
      <w:bookmarkStart w:id="0" w:name="TANumber"/>
      <w:r w:rsidRPr="00B47A7D">
        <w:t>P10_TA(2025)0</w:t>
      </w:r>
      <w:r w:rsidR="00623CC4">
        <w:t>203</w:t>
      </w:r>
      <w:bookmarkEnd w:id="0"/>
    </w:p>
    <w:p w14:paraId="5793CEDD" w14:textId="77777777" w:rsidR="007B4C16" w:rsidRPr="00B47A7D" w:rsidRDefault="007B4C16" w:rsidP="007B4C16">
      <w:pPr>
        <w:pStyle w:val="ATHeading2"/>
      </w:pPr>
      <w:bookmarkStart w:id="1" w:name="title"/>
      <w:r w:rsidRPr="00B47A7D">
        <w:t xml:space="preserve">Talba għat-tneħħija tal-immunità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bookmarkEnd w:id="1"/>
      <w:proofErr w:type="spellEnd"/>
    </w:p>
    <w:p w14:paraId="5C73D6F7" w14:textId="77777777" w:rsidR="007B4C16" w:rsidRPr="00B47A7D" w:rsidRDefault="007B4C16" w:rsidP="007B4C16">
      <w:pPr>
        <w:rPr>
          <w:i/>
          <w:vanish/>
        </w:rPr>
      </w:pPr>
      <w:r w:rsidRPr="00B47A7D">
        <w:rPr>
          <w:i/>
        </w:rPr>
        <w:fldChar w:fldCharType="begin"/>
      </w:r>
      <w:r w:rsidRPr="00B47A7D">
        <w:rPr>
          <w:i/>
        </w:rPr>
        <w:instrText xml:space="preserve"> TC"(</w:instrText>
      </w:r>
      <w:bookmarkStart w:id="2" w:name="DocNumber"/>
      <w:r w:rsidRPr="00B47A7D">
        <w:rPr>
          <w:i/>
        </w:rPr>
        <w:instrText>A10-0180/2025</w:instrText>
      </w:r>
      <w:bookmarkEnd w:id="2"/>
      <w:r w:rsidRPr="00B47A7D">
        <w:rPr>
          <w:i/>
        </w:rPr>
        <w:instrText xml:space="preserve"> - Rapporteur: Krzysztof Śmiszek)"\l3 \n&gt; \* MERGEFORMAT </w:instrText>
      </w:r>
      <w:r w:rsidRPr="00B47A7D">
        <w:rPr>
          <w:i/>
        </w:rPr>
        <w:fldChar w:fldCharType="end"/>
      </w:r>
    </w:p>
    <w:p w14:paraId="630AA409" w14:textId="77777777" w:rsidR="007B4C16" w:rsidRPr="00B47A7D" w:rsidRDefault="007B4C16" w:rsidP="007B4C16">
      <w:pPr>
        <w:rPr>
          <w:vanish/>
        </w:rPr>
      </w:pPr>
      <w:bookmarkStart w:id="3" w:name="Commission"/>
      <w:r w:rsidRPr="00B47A7D">
        <w:rPr>
          <w:vanish/>
        </w:rPr>
        <w:t>Kumitat għall-Affarijiet Legali</w:t>
      </w:r>
      <w:bookmarkEnd w:id="3"/>
    </w:p>
    <w:p w14:paraId="2A43D319" w14:textId="77777777" w:rsidR="007B4C16" w:rsidRPr="00B47A7D" w:rsidRDefault="007B4C16" w:rsidP="007B4C16">
      <w:pPr>
        <w:rPr>
          <w:vanish/>
        </w:rPr>
      </w:pPr>
      <w:bookmarkStart w:id="4" w:name="PE"/>
      <w:r w:rsidRPr="00B47A7D">
        <w:rPr>
          <w:vanish/>
        </w:rPr>
        <w:t>PE770.241</w:t>
      </w:r>
      <w:bookmarkEnd w:id="4"/>
    </w:p>
    <w:p w14:paraId="07063A28" w14:textId="77777777" w:rsidR="007B4C16" w:rsidRPr="00B47A7D" w:rsidRDefault="007B4C16" w:rsidP="007B4C16">
      <w:pPr>
        <w:pStyle w:val="ATHeading3"/>
      </w:pPr>
      <w:bookmarkStart w:id="5" w:name="Sujet"/>
      <w:r w:rsidRPr="00B47A7D">
        <w:t xml:space="preserve">Deċiżjoni tal-Parlament Ewropew tas-7 ta' Ottubru 2025 dwar it-talba għat-tneħħija tal-immunità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bookmarkEnd w:id="5"/>
      <w:proofErr w:type="spellEnd"/>
      <w:r w:rsidRPr="00B47A7D">
        <w:t xml:space="preserve"> </w:t>
      </w:r>
      <w:bookmarkStart w:id="6" w:name="References"/>
      <w:r w:rsidRPr="00B47A7D">
        <w:t>(2024/2063(IMM))</w:t>
      </w:r>
      <w:bookmarkEnd w:id="6"/>
    </w:p>
    <w:p w14:paraId="0186AC64" w14:textId="77777777" w:rsidR="00253FFA" w:rsidRPr="00B47A7D" w:rsidRDefault="00253FFA" w:rsidP="00253FFA">
      <w:pPr>
        <w:pStyle w:val="EPComma"/>
      </w:pPr>
      <w:bookmarkStart w:id="7" w:name="TextBodyBegin"/>
      <w:bookmarkEnd w:id="7"/>
      <w:r w:rsidRPr="00B47A7D">
        <w:rPr>
          <w:i/>
        </w:rPr>
        <w:t>Il-Parlament Ewropew</w:t>
      </w:r>
      <w:r w:rsidRPr="00B47A7D">
        <w:t>,</w:t>
      </w:r>
    </w:p>
    <w:p w14:paraId="2690225D" w14:textId="0F7B9EB7" w:rsidR="00253FFA" w:rsidRPr="00B47A7D" w:rsidRDefault="00253FFA" w:rsidP="00253FFA">
      <w:pPr>
        <w:pStyle w:val="NormalHanging12a"/>
      </w:pPr>
      <w:r w:rsidRPr="00B47A7D">
        <w:t>–</w:t>
      </w:r>
      <w:r w:rsidRPr="00B47A7D">
        <w:tab/>
        <w:t xml:space="preserve">wara li kkunsidra t-talba għat-tneħħija tal-immunità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>, imressqa fis-26 ta’ Settembru 2024, mill-Prosekutur Ġenerali tal-Ungerija b’rabta mal-proċedimenti kriminali miġjuba kontr</w:t>
      </w:r>
      <w:r w:rsidR="002F3B9A">
        <w:t>ih,</w:t>
      </w:r>
      <w:r w:rsidRPr="00B47A7D">
        <w:t xml:space="preserve"> u mħabbra fil-</w:t>
      </w:r>
      <w:r w:rsidR="002F3B9A">
        <w:t>Parlament</w:t>
      </w:r>
      <w:r w:rsidR="002F3B9A" w:rsidRPr="00B47A7D">
        <w:t xml:space="preserve"> </w:t>
      </w:r>
      <w:r w:rsidRPr="00B47A7D">
        <w:t>fl-10 ta’ Ottubru 2024,</w:t>
      </w:r>
    </w:p>
    <w:p w14:paraId="02831FCF" w14:textId="77777777" w:rsidR="00253FFA" w:rsidRPr="00B47A7D" w:rsidRDefault="00253FFA" w:rsidP="00253FFA">
      <w:pPr>
        <w:pStyle w:val="NormalHanging12a"/>
        <w:widowControl/>
      </w:pPr>
      <w:r w:rsidRPr="00B47A7D">
        <w:t>–</w:t>
      </w:r>
      <w:r w:rsidRPr="00B47A7D">
        <w:tab/>
        <w:t xml:space="preserve">wara li sema’ lil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fl-24 ta’ Ġunju 2025, skont l-Artikolu 9(6) tar-Regoli ta’ Proċedura tiegħu,</w:t>
      </w:r>
    </w:p>
    <w:p w14:paraId="7B67F4E4" w14:textId="77777777" w:rsidR="00253FFA" w:rsidRPr="00B47A7D" w:rsidRDefault="00253FFA" w:rsidP="00253FFA">
      <w:pPr>
        <w:pStyle w:val="NormalHanging12a"/>
        <w:widowControl/>
      </w:pPr>
      <w:r w:rsidRPr="00B47A7D">
        <w:t>–</w:t>
      </w:r>
      <w:r w:rsidRPr="00B47A7D">
        <w:tab/>
        <w:t>wara li kkunsidra l-informazzjoni addizzjonali mressqa mill-Prosekutur Ġenerali tal-Ungerija,</w:t>
      </w:r>
    </w:p>
    <w:p w14:paraId="5E2AC939" w14:textId="14848942" w:rsidR="00253FFA" w:rsidRPr="00B47A7D" w:rsidRDefault="00253FFA" w:rsidP="00253FFA">
      <w:pPr>
        <w:pStyle w:val="NormalHanging12a"/>
        <w:widowControl/>
      </w:pPr>
      <w:r w:rsidRPr="00B47A7D">
        <w:t>–</w:t>
      </w:r>
      <w:r w:rsidRPr="00B47A7D">
        <w:tab/>
        <w:t>wara li kkunsidra l-Artikoli 8 u 9 tal-Protokoll Nru 7 dwar il-Privileġġi u l-</w:t>
      </w:r>
      <w:proofErr w:type="spellStart"/>
      <w:r w:rsidRPr="00B47A7D">
        <w:t>Immunitajiet</w:t>
      </w:r>
      <w:proofErr w:type="spellEnd"/>
      <w:r w:rsidRPr="00B47A7D">
        <w:t xml:space="preserve"> tal-Unjoni Ewropea kif ukoll l-Artikolu 6(2) tal-Att</w:t>
      </w:r>
      <w:r w:rsidR="004A6417">
        <w:t xml:space="preserve"> </w:t>
      </w:r>
      <w:r w:rsidR="004A6417" w:rsidRPr="00B47A7D">
        <w:t>tal-20 ta’ Settembru 1976</w:t>
      </w:r>
      <w:r w:rsidRPr="00B47A7D">
        <w:t xml:space="preserve"> dwar l-elezzjoni tal-Membri tal-Parlament Ewropew b’suffraġju universali dirett, </w:t>
      </w:r>
    </w:p>
    <w:p w14:paraId="2A7688B8" w14:textId="77777777" w:rsidR="00253FFA" w:rsidRPr="00B47A7D" w:rsidRDefault="00253FFA" w:rsidP="00253FFA">
      <w:pPr>
        <w:pStyle w:val="NormalHanging12a"/>
        <w:widowControl/>
      </w:pPr>
      <w:r w:rsidRPr="00B47A7D">
        <w:t>–</w:t>
      </w:r>
      <w:r w:rsidRPr="00B47A7D">
        <w:tab/>
        <w:t xml:space="preserve">wara li kkunsidra l-Artikolu </w:t>
      </w:r>
      <w:r w:rsidRPr="00B47A7D">
        <w:rPr>
          <w:color w:val="000000"/>
          <w:shd w:val="clear" w:color="auto" w:fill="FFFFFF"/>
        </w:rPr>
        <w:t>4(2) tal-Liġi Fundamentali tal-Ungerija</w:t>
      </w:r>
      <w:r w:rsidRPr="00B47A7D">
        <w:t>,</w:t>
      </w:r>
    </w:p>
    <w:p w14:paraId="2067BBBC" w14:textId="77777777" w:rsidR="00253FFA" w:rsidRPr="00B47A7D" w:rsidRDefault="00253FFA" w:rsidP="00253FFA">
      <w:pPr>
        <w:pStyle w:val="NormalHanging12a"/>
        <w:widowControl/>
      </w:pPr>
      <w:r w:rsidRPr="00B47A7D">
        <w:t>–</w:t>
      </w:r>
      <w:r w:rsidRPr="00B47A7D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B47A7D">
        <w:rPr>
          <w:rStyle w:val="FootnoteReference"/>
          <w:color w:val="000000"/>
        </w:rPr>
        <w:footnoteReference w:id="1"/>
      </w:r>
      <w:r w:rsidRPr="00B47A7D">
        <w:t>,</w:t>
      </w:r>
    </w:p>
    <w:p w14:paraId="4699DA50" w14:textId="77777777" w:rsidR="00253FFA" w:rsidRPr="00B47A7D" w:rsidRDefault="00253FFA" w:rsidP="00253FFA">
      <w:pPr>
        <w:pStyle w:val="NormalHanging12a"/>
        <w:widowControl/>
      </w:pPr>
      <w:r w:rsidRPr="00B47A7D">
        <w:lastRenderedPageBreak/>
        <w:t>–</w:t>
      </w:r>
      <w:r w:rsidRPr="00B47A7D">
        <w:tab/>
        <w:t>wara li kkunsidra l-Artikoli 5(2), l-Artikolu 6(1) u l-Artikolu 9 tar-Regoli ta’ Proċedura tiegħu,</w:t>
      </w:r>
    </w:p>
    <w:p w14:paraId="1758FFB0" w14:textId="77777777" w:rsidR="00253FFA" w:rsidRPr="00B47A7D" w:rsidRDefault="00253FFA" w:rsidP="00253FFA">
      <w:pPr>
        <w:pStyle w:val="NormalHanging12a"/>
        <w:widowControl/>
      </w:pPr>
      <w:r w:rsidRPr="00B47A7D">
        <w:t>–</w:t>
      </w:r>
      <w:r w:rsidRPr="00B47A7D">
        <w:tab/>
        <w:t>wara li kkunsidra r-rapport tal-Kumitat għall-Affarijiet Legali (A10-0180/2025),</w:t>
      </w:r>
    </w:p>
    <w:p w14:paraId="4C55C77F" w14:textId="7707AF16" w:rsidR="00253FFA" w:rsidRPr="00B47A7D" w:rsidRDefault="00253FFA" w:rsidP="00253FFA">
      <w:pPr>
        <w:pStyle w:val="NormalHanging12a"/>
        <w:widowControl/>
      </w:pPr>
      <w:r w:rsidRPr="00B47A7D">
        <w:t>A.</w:t>
      </w:r>
      <w:r w:rsidRPr="00B47A7D">
        <w:tab/>
        <w:t>billi</w:t>
      </w:r>
      <w:r w:rsidR="002F3B9A">
        <w:t>, fis-26 ta’ Settembru 2024,</w:t>
      </w:r>
      <w:r w:rsidRPr="00B47A7D">
        <w:t xml:space="preserve"> </w:t>
      </w:r>
      <w:r w:rsidR="002F3B9A">
        <w:t>i</w:t>
      </w:r>
      <w:r w:rsidRPr="00B47A7D">
        <w:t xml:space="preserve">l-Prosekutur Ġenerali tal-Ungerija ressaq talba għat-tneħħija tal-immunità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>, Membru tal-Parlament Ewropew</w:t>
      </w:r>
      <w:r w:rsidR="002F3B9A">
        <w:t xml:space="preserve"> elett fl-Ungerija</w:t>
      </w:r>
      <w:r w:rsidRPr="00B47A7D">
        <w:t>, b’rabta ma’ akkużi ta’ allegata mġiba ħażina ta’ serq imwettaq għal valur minuri skont it-Taqsima 370(1) u t-Taqsima 370(2)(a) tal-Att C tal-2012 (il-Kodiċi Kriminali Ungeriż);</w:t>
      </w:r>
    </w:p>
    <w:p w14:paraId="11D334B2" w14:textId="35BC3890" w:rsidR="00253FFA" w:rsidRPr="00B47A7D" w:rsidRDefault="00253FFA" w:rsidP="00253FFA">
      <w:pPr>
        <w:pStyle w:val="BodyText"/>
        <w:shd w:val="clear" w:color="auto" w:fill="auto"/>
        <w:ind w:left="567" w:hanging="567"/>
        <w:jc w:val="left"/>
      </w:pPr>
      <w:r w:rsidRPr="00B47A7D">
        <w:rPr>
          <w:shd w:val="clear" w:color="auto" w:fill="FFFFFF"/>
        </w:rPr>
        <w:t>B.</w:t>
      </w:r>
      <w:r w:rsidRPr="00B47A7D">
        <w:rPr>
          <w:shd w:val="clear" w:color="auto" w:fill="FFFFFF"/>
        </w:rPr>
        <w:tab/>
      </w:r>
      <w:r w:rsidRPr="00B47A7D">
        <w:t xml:space="preserve">billi t-talba tindika li fil-21 ta’ Ġunju 2024,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kien qiegħed fi klabb f’Budapest fejn huwa </w:t>
      </w:r>
      <w:proofErr w:type="spellStart"/>
      <w:r w:rsidRPr="00B47A7D">
        <w:t>ntgħaraf</w:t>
      </w:r>
      <w:proofErr w:type="spellEnd"/>
      <w:r w:rsidRPr="00B47A7D">
        <w:t xml:space="preserve"> mill-parti offiża li rreġistrat filmat tiegħu; billi t-talba tindika wkoll li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u l-parti offiża ġew fl-idejn għal ftit fejn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ġibed </w:t>
      </w:r>
      <w:proofErr w:type="spellStart"/>
      <w:r w:rsidRPr="00B47A7D">
        <w:t>it-telefown</w:t>
      </w:r>
      <w:proofErr w:type="spellEnd"/>
      <w:r w:rsidRPr="00B47A7D">
        <w:t xml:space="preserve"> minn id il-parti offiża bħala mod kif iwaqqaf ir-reġistrazzjoni, poġġa t-</w:t>
      </w:r>
      <w:proofErr w:type="spellStart"/>
      <w:r w:rsidRPr="00B47A7D">
        <w:t>telefown</w:t>
      </w:r>
      <w:proofErr w:type="spellEnd"/>
      <w:r w:rsidRPr="00B47A7D">
        <w:t xml:space="preserve"> fil-but tiegħu stess u telaq jimxi ’l hemm; billi wara, it-tnejn li huma reġgħu tlewmu bejniethom u spiċċaw biex tneħħew mill-klabb mill-gwardji tas-sigurtà; billi minkejja t-talbiet tal-parti offiża biex </w:t>
      </w:r>
      <w:proofErr w:type="spellStart"/>
      <w:r w:rsidRPr="00B47A7D">
        <w:t>ireġġagħlu</w:t>
      </w:r>
      <w:proofErr w:type="spellEnd"/>
      <w:r w:rsidRPr="00B47A7D">
        <w:t xml:space="preserve"> lura t-</w:t>
      </w:r>
      <w:proofErr w:type="spellStart"/>
      <w:r w:rsidRPr="00B47A7D">
        <w:t>telefown</w:t>
      </w:r>
      <w:proofErr w:type="spellEnd"/>
      <w:r w:rsidRPr="00B47A7D">
        <w:t xml:space="preserve">,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allegatament waqqa’ t-</w:t>
      </w:r>
      <w:proofErr w:type="spellStart"/>
      <w:r w:rsidRPr="00B47A7D">
        <w:t>telefown</w:t>
      </w:r>
      <w:proofErr w:type="spellEnd"/>
      <w:r w:rsidRPr="00B47A7D">
        <w:t xml:space="preserve"> tal-parti offiża fid-Danubju;</w:t>
      </w:r>
    </w:p>
    <w:p w14:paraId="6E99572B" w14:textId="77777777" w:rsidR="00253FFA" w:rsidRPr="00B47A7D" w:rsidRDefault="00253FFA" w:rsidP="00253FFA">
      <w:pPr>
        <w:pStyle w:val="NormalHanging12a"/>
        <w:widowControl/>
      </w:pPr>
      <w:r w:rsidRPr="00B47A7D">
        <w:t>C.</w:t>
      </w:r>
      <w:r w:rsidRPr="00B47A7D">
        <w:tab/>
        <w:t xml:space="preserve">billi skont it-talba, il-bugħaddasa tal-pulizija li ssejħu fuq il-post irkupraw </w:t>
      </w:r>
      <w:proofErr w:type="spellStart"/>
      <w:r w:rsidRPr="00B47A7D">
        <w:t>it-telefown</w:t>
      </w:r>
      <w:proofErr w:type="spellEnd"/>
      <w:r w:rsidRPr="00B47A7D">
        <w:t xml:space="preserve">, li kien jiswa madwar HUF 130 000–150 000, mid-Danubju u </w:t>
      </w:r>
      <w:proofErr w:type="spellStart"/>
      <w:r w:rsidRPr="00B47A7D">
        <w:t>reġġgħuh</w:t>
      </w:r>
      <w:proofErr w:type="spellEnd"/>
      <w:r w:rsidRPr="00B47A7D">
        <w:t xml:space="preserve"> lura lill-parti offiża fi stat ta’ funzjonament;</w:t>
      </w:r>
    </w:p>
    <w:p w14:paraId="0BB209E8" w14:textId="77777777" w:rsidR="00253FFA" w:rsidRPr="00B47A7D" w:rsidRDefault="00253FFA" w:rsidP="00253FFA">
      <w:pPr>
        <w:pStyle w:val="NormalHanging12a"/>
        <w:widowControl/>
      </w:pPr>
      <w:r w:rsidRPr="00B47A7D">
        <w:t>D.</w:t>
      </w:r>
      <w:r w:rsidRPr="00B47A7D">
        <w:tab/>
      </w:r>
      <w:r w:rsidRPr="00B47A7D">
        <w:rPr>
          <w:shd w:val="clear" w:color="auto" w:fill="FFFFFF"/>
        </w:rPr>
        <w:t xml:space="preserve">billi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</w:t>
      </w:r>
      <w:r w:rsidRPr="00B47A7D">
        <w:rPr>
          <w:shd w:val="clear" w:color="auto" w:fill="FFFFFF"/>
        </w:rPr>
        <w:t>ġie elett għall-Parlament Ewropew fl-elezzjonijiet Ewropej f’Ġunju 2024</w:t>
      </w:r>
      <w:r w:rsidRPr="00B47A7D">
        <w:t>; billi</w:t>
      </w:r>
      <w:r w:rsidRPr="00B47A7D">
        <w:rPr>
          <w:shd w:val="clear" w:color="auto" w:fill="FFFFFF"/>
        </w:rPr>
        <w:t xml:space="preserve"> r-riżultati tal-elezzjonijiet Ewropej fl-Ungerija ġew </w:t>
      </w:r>
      <w:proofErr w:type="spellStart"/>
      <w:r w:rsidRPr="00B47A7D">
        <w:rPr>
          <w:shd w:val="clear" w:color="auto" w:fill="FFFFFF"/>
        </w:rPr>
        <w:t>ipproklamati</w:t>
      </w:r>
      <w:proofErr w:type="spellEnd"/>
      <w:r w:rsidRPr="00B47A7D">
        <w:rPr>
          <w:shd w:val="clear" w:color="auto" w:fill="FFFFFF"/>
        </w:rPr>
        <w:t xml:space="preserve"> mill-awtoritajiet Ungeriżi fl-14 ta’ Ġunju 2024, u kienu jinkludu lil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</w:t>
      </w:r>
      <w:r w:rsidRPr="00B47A7D">
        <w:rPr>
          <w:shd w:val="clear" w:color="auto" w:fill="FFFFFF"/>
        </w:rPr>
        <w:t xml:space="preserve">fost il-Membri tal-Parlament Ewropew uffiċjalment iddikjarati eletti fl-Ungerija; billi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kien</w:t>
      </w:r>
      <w:r w:rsidRPr="00B47A7D">
        <w:rPr>
          <w:shd w:val="clear" w:color="auto" w:fill="FFFFFF"/>
        </w:rPr>
        <w:t xml:space="preserve"> għalhekk Membru tal-Parlament Ewropew fiż-żmien tal-allegat reat u tal-investigazzjonijiet imwettqa mill-awtoritajiet kompetenti;</w:t>
      </w:r>
    </w:p>
    <w:p w14:paraId="4832B15E" w14:textId="2950F511" w:rsidR="00253FFA" w:rsidRPr="00B47A7D" w:rsidRDefault="00253FFA" w:rsidP="00253FFA">
      <w:pPr>
        <w:pStyle w:val="NormalHanging12a"/>
        <w:widowControl/>
      </w:pPr>
      <w:r w:rsidRPr="00B47A7D">
        <w:t>E.</w:t>
      </w:r>
      <w:r w:rsidRPr="00B47A7D">
        <w:tab/>
      </w:r>
      <w:bookmarkStart w:id="8" w:name="_Hlk210734321"/>
      <w:r w:rsidRPr="00B47A7D">
        <w:t xml:space="preserve">billi l-allegat reat ma </w:t>
      </w:r>
      <w:proofErr w:type="spellStart"/>
      <w:r w:rsidRPr="00B47A7D">
        <w:t>jikkostitwix</w:t>
      </w:r>
      <w:proofErr w:type="spellEnd"/>
      <w:r w:rsidR="00096ED1">
        <w:t xml:space="preserve"> </w:t>
      </w:r>
      <w:r w:rsidRPr="00B47A7D">
        <w:t xml:space="preserve"> xi opinjoni espressa jew xi vot mitfugħ minn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fil-qadi ta’ dmirijietu skont it-tifsira tal-Artikolu 8 tal-Protokoll Nru 7 dwar il-Privileġġi u l-</w:t>
      </w:r>
      <w:proofErr w:type="spellStart"/>
      <w:r w:rsidRPr="00B47A7D">
        <w:t>Immunitajiet</w:t>
      </w:r>
      <w:proofErr w:type="spellEnd"/>
      <w:r w:rsidRPr="00B47A7D">
        <w:t xml:space="preserve"> tal-Unjoni Ewropea, u lanqas it-talba sussegwenti għat-tneħħija tal-immunità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ma hija relatata ma’ xi opinjoni espressa jew xi vot </w:t>
      </w:r>
      <w:proofErr w:type="spellStart"/>
      <w:r w:rsidRPr="00B47A7D">
        <w:t>mitfugh</w:t>
      </w:r>
      <w:proofErr w:type="spellEnd"/>
      <w:r w:rsidRPr="00B47A7D">
        <w:t xml:space="preserve"> minnu fil-qadi ta’ dmirijietu skont it-tifsira tal-istess Artikolu 8;</w:t>
      </w:r>
      <w:bookmarkEnd w:id="8"/>
    </w:p>
    <w:p w14:paraId="5BCB43CE" w14:textId="4CD26690" w:rsidR="00253FFA" w:rsidRPr="00B47A7D" w:rsidRDefault="00253FFA" w:rsidP="00253FFA">
      <w:pPr>
        <w:pStyle w:val="NormalHanging12a"/>
        <w:widowControl/>
      </w:pPr>
      <w:r w:rsidRPr="00B47A7D">
        <w:t>F.</w:t>
      </w:r>
      <w:r w:rsidRPr="00B47A7D">
        <w:tab/>
        <w:t>billi l-Artikolu 9, l-ewwel paragrafu, il-punt (a), tal-Protokoll Nru 7 dwar il-Privileġġi u l-</w:t>
      </w:r>
      <w:proofErr w:type="spellStart"/>
      <w:r w:rsidRPr="00B47A7D">
        <w:t>Immunitajiet</w:t>
      </w:r>
      <w:proofErr w:type="spellEnd"/>
      <w:r w:rsidRPr="00B47A7D">
        <w:t xml:space="preserve"> tal-Unjoni Ewropea jipprevedi li l-Membri tal-Parlament Ewropew għandhom igawdu</w:t>
      </w:r>
      <w:r w:rsidR="00096ED1">
        <w:t>,</w:t>
      </w:r>
      <w:r w:rsidRPr="00B47A7D">
        <w:t xml:space="preserve"> fit-territorju tal-Istat tagħhom stess, l-</w:t>
      </w:r>
      <w:proofErr w:type="spellStart"/>
      <w:r w:rsidRPr="00B47A7D">
        <w:t>immunitajiet</w:t>
      </w:r>
      <w:proofErr w:type="spellEnd"/>
      <w:r w:rsidRPr="00B47A7D">
        <w:t xml:space="preserve"> mogħtija lill-membri tal-parlament tagħhom;</w:t>
      </w:r>
    </w:p>
    <w:p w14:paraId="1FF51BD1" w14:textId="2BCE4518" w:rsidR="00253FFA" w:rsidRPr="00B47A7D" w:rsidRDefault="00253FFA" w:rsidP="00253FFA">
      <w:pPr>
        <w:pStyle w:val="NormalHanging12a"/>
        <w:widowControl/>
      </w:pPr>
      <w:r w:rsidRPr="00B47A7D">
        <w:t>G.</w:t>
      </w:r>
      <w:r w:rsidRPr="00B47A7D">
        <w:tab/>
        <w:t xml:space="preserve">billi </w:t>
      </w:r>
      <w:r w:rsidRPr="00B47A7D">
        <w:rPr>
          <w:color w:val="000000"/>
          <w:shd w:val="clear" w:color="auto" w:fill="FFFFFF"/>
        </w:rPr>
        <w:t xml:space="preserve">l-Artikolu 4(2) tal-Liġi Fundamentali tal-Ungerija jipprevedi li l-membri tal-Parlament </w:t>
      </w:r>
      <w:proofErr w:type="spellStart"/>
      <w:r w:rsidRPr="00B47A7D">
        <w:rPr>
          <w:color w:val="000000"/>
          <w:shd w:val="clear" w:color="auto" w:fill="FFFFFF"/>
        </w:rPr>
        <w:t>Ungeriz</w:t>
      </w:r>
      <w:proofErr w:type="spellEnd"/>
      <w:r w:rsidRPr="00B47A7D">
        <w:rPr>
          <w:color w:val="000000"/>
          <w:shd w:val="clear" w:color="auto" w:fill="FFFFFF"/>
        </w:rPr>
        <w:t xml:space="preserve"> għandhom igawdu l-immunità parlamentari; billi, skont it-Taqsima 79(2) tal-Att Nru XXXVI tal-2012 dwar l-Assemblea Nazzjonali, </w:t>
      </w:r>
      <w:r w:rsidRPr="00B47A7D">
        <w:t xml:space="preserve">persuna rreġistrata b’effett finali u </w:t>
      </w:r>
      <w:proofErr w:type="spellStart"/>
      <w:r w:rsidRPr="00B47A7D">
        <w:t>vinkolanti</w:t>
      </w:r>
      <w:proofErr w:type="spellEnd"/>
      <w:r w:rsidRPr="00B47A7D">
        <w:t xml:space="preserve"> bħala kandidat għandha tgawdi l-istess immunità bħall-membri sakemm ir-riżultat tal-elezzjoni jsir finali u </w:t>
      </w:r>
      <w:proofErr w:type="spellStart"/>
      <w:r w:rsidRPr="00B47A7D">
        <w:t>vinkolanti</w:t>
      </w:r>
      <w:proofErr w:type="spellEnd"/>
      <w:r w:rsidRPr="00B47A7D">
        <w:t xml:space="preserve">, u billi, fi kwalunkwe każ, skont it-Taqsima 79(1) tiegħu, il-Membri għandhom igawdu l-immunità mill-jum li fih jiġu eletti; </w:t>
      </w:r>
      <w:r w:rsidRPr="00B47A7D">
        <w:rPr>
          <w:color w:val="000000"/>
          <w:shd w:val="clear" w:color="auto" w:fill="FFFFFF"/>
        </w:rPr>
        <w:t xml:space="preserve">billi, skont it-Taqsima 74(1) tal-Att Nru XXXVI tal-2012 dwar l-Assemblea Nazzjonali, huwa biss bil-kunsens minn qabel tal-Assemblea Nazzjonali li jistgħu jinbdew u jiġu </w:t>
      </w:r>
      <w:proofErr w:type="spellStart"/>
      <w:r w:rsidRPr="00B47A7D">
        <w:rPr>
          <w:color w:val="000000"/>
          <w:shd w:val="clear" w:color="auto" w:fill="FFFFFF"/>
        </w:rPr>
        <w:t>prosegwiti</w:t>
      </w:r>
      <w:proofErr w:type="spellEnd"/>
      <w:r w:rsidRPr="00B47A7D">
        <w:rPr>
          <w:color w:val="000000"/>
          <w:shd w:val="clear" w:color="auto" w:fill="FFFFFF"/>
        </w:rPr>
        <w:t xml:space="preserve"> proċedimenti kriminali jew, fil-każ li l-immunità </w:t>
      </w:r>
      <w:bookmarkStart w:id="9" w:name="_Hlk210734537"/>
      <w:r w:rsidRPr="00B47A7D">
        <w:rPr>
          <w:color w:val="000000"/>
          <w:shd w:val="clear" w:color="auto" w:fill="FFFFFF"/>
        </w:rPr>
        <w:t xml:space="preserve">ma </w:t>
      </w:r>
      <w:r w:rsidRPr="00B47A7D">
        <w:rPr>
          <w:color w:val="000000"/>
          <w:shd w:val="clear" w:color="auto" w:fill="FFFFFF"/>
        </w:rPr>
        <w:lastRenderedPageBreak/>
        <w:t xml:space="preserve">titneħħiex </w:t>
      </w:r>
      <w:bookmarkEnd w:id="9"/>
      <w:r w:rsidRPr="00B47A7D">
        <w:rPr>
          <w:color w:val="000000"/>
          <w:shd w:val="clear" w:color="auto" w:fill="FFFFFF"/>
        </w:rPr>
        <w:t xml:space="preserve">b’mod volontarju fir-rigward tal-każ inkwistjoni, proċedimenti </w:t>
      </w:r>
      <w:r w:rsidR="002F3B9A">
        <w:rPr>
          <w:color w:val="000000"/>
          <w:shd w:val="clear" w:color="auto" w:fill="FFFFFF"/>
        </w:rPr>
        <w:t>ta’ ksur</w:t>
      </w:r>
      <w:r w:rsidR="00096ED1">
        <w:rPr>
          <w:color w:val="000000"/>
          <w:shd w:val="clear" w:color="auto" w:fill="FFFFFF"/>
        </w:rPr>
        <w:t>,</w:t>
      </w:r>
      <w:r w:rsidRPr="00B47A7D">
        <w:rPr>
          <w:color w:val="000000"/>
          <w:shd w:val="clear" w:color="auto" w:fill="FFFFFF"/>
        </w:rPr>
        <w:t xml:space="preserve"> u jiġu applikati miżuri ta’ </w:t>
      </w:r>
      <w:proofErr w:type="spellStart"/>
      <w:r w:rsidRPr="00B47A7D">
        <w:rPr>
          <w:color w:val="000000"/>
          <w:shd w:val="clear" w:color="auto" w:fill="FFFFFF"/>
        </w:rPr>
        <w:t>koerċizzjoni</w:t>
      </w:r>
      <w:proofErr w:type="spellEnd"/>
      <w:r w:rsidRPr="00B47A7D">
        <w:rPr>
          <w:color w:val="000000"/>
          <w:shd w:val="clear" w:color="auto" w:fill="FFFFFF"/>
        </w:rPr>
        <w:t xml:space="preserve"> </w:t>
      </w:r>
      <w:r w:rsidR="002F3B9A">
        <w:rPr>
          <w:color w:val="000000"/>
          <w:shd w:val="clear" w:color="auto" w:fill="FFFFFF"/>
        </w:rPr>
        <w:t xml:space="preserve">skont proċedura kriminali </w:t>
      </w:r>
      <w:r w:rsidRPr="00B47A7D">
        <w:rPr>
          <w:color w:val="000000"/>
          <w:shd w:val="clear" w:color="auto" w:fill="FFFFFF"/>
        </w:rPr>
        <w:t>kontra membru;</w:t>
      </w:r>
    </w:p>
    <w:p w14:paraId="1938DC92" w14:textId="77777777" w:rsidR="00253FFA" w:rsidRPr="00B47A7D" w:rsidRDefault="00253FFA" w:rsidP="00253FFA">
      <w:pPr>
        <w:pStyle w:val="NormalHanging12a"/>
        <w:widowControl/>
      </w:pPr>
      <w:r w:rsidRPr="00B47A7D">
        <w:t>H.</w:t>
      </w:r>
      <w:r w:rsidRPr="00B47A7D">
        <w:tab/>
        <w:t>billi, f’konformità mal-Artikolu 5(2) tar-Regoli ta’ Proċedura, l-immunità parlamentari mhix privileġġ personali ta’ Membru imma hija garanzija tal-indipendenza tal-Parlament Ewropew kollu kemm hu u tal-Membri tiegħu;</w:t>
      </w:r>
    </w:p>
    <w:p w14:paraId="357296FF" w14:textId="77777777" w:rsidR="00253FFA" w:rsidRPr="00B47A7D" w:rsidRDefault="00253FFA" w:rsidP="00253FFA">
      <w:pPr>
        <w:widowControl/>
        <w:ind w:left="567" w:hanging="567"/>
      </w:pPr>
      <w:r w:rsidRPr="00B47A7D">
        <w:t>I.</w:t>
      </w:r>
      <w:r w:rsidRPr="00B47A7D">
        <w:tab/>
        <w:t>billi l-għan tal-immunità prevista fil-Protokoll Nru 7 dwar il-Privileġġi u l-</w:t>
      </w:r>
      <w:proofErr w:type="spellStart"/>
      <w:r w:rsidRPr="00B47A7D">
        <w:t>Immunitajiet</w:t>
      </w:r>
      <w:proofErr w:type="spellEnd"/>
      <w:r w:rsidRPr="00B47A7D">
        <w:t xml:space="preserve"> tal-Unjoni Ewropea huwa li tipproteġi lill-Parlament u lill-Membri tiegħu minn proċedimenti ġudizzjarji fir-rigward ta’ attivitajiet imwettqa fil-qadi tad-dmirijiet parlamentari u li huma </w:t>
      </w:r>
      <w:proofErr w:type="spellStart"/>
      <w:r w:rsidRPr="00B47A7D">
        <w:t>inseparabbli</w:t>
      </w:r>
      <w:proofErr w:type="spellEnd"/>
      <w:r w:rsidRPr="00B47A7D">
        <w:t xml:space="preserve"> minn dawk id-dmirijiet; </w:t>
      </w:r>
    </w:p>
    <w:p w14:paraId="081772D5" w14:textId="77777777" w:rsidR="00253FFA" w:rsidRPr="00B47A7D" w:rsidRDefault="00253FFA" w:rsidP="00253FFA">
      <w:pPr>
        <w:widowControl/>
        <w:ind w:left="567" w:hanging="567"/>
        <w:rPr>
          <w:szCs w:val="24"/>
        </w:rPr>
      </w:pPr>
    </w:p>
    <w:p w14:paraId="069CFFB8" w14:textId="77777777" w:rsidR="00253FFA" w:rsidRPr="00B47A7D" w:rsidRDefault="00253FFA" w:rsidP="00253FFA">
      <w:pPr>
        <w:pStyle w:val="NormalHanging12a"/>
      </w:pPr>
      <w:r w:rsidRPr="00B47A7D">
        <w:t>J.</w:t>
      </w:r>
      <w:r w:rsidRPr="00B47A7D">
        <w:tab/>
        <w:t>billi mill-ġurisprudenza tal-Qorti tal-Ġustizzja tal-Unjoni Ewropea jirriżulta li l-Parlament għandu “setgħa diskrezzjonali wiesgħa fir-rigward tal-orjentazzjoni li kellu intenzjoni jagħti lid-deċiżjoni fir-rigward ta’ talba għat-tneħħija tal-immunità [...], minħabba n-natura politika li għandha tali deċiżjoni”</w:t>
      </w:r>
      <w:r w:rsidRPr="00B47A7D">
        <w:rPr>
          <w:vertAlign w:val="superscript"/>
        </w:rPr>
        <w:footnoteReference w:id="2"/>
      </w:r>
      <w:r w:rsidRPr="00B47A7D">
        <w:t>;</w:t>
      </w:r>
    </w:p>
    <w:p w14:paraId="500ADB02" w14:textId="4F7973C9" w:rsidR="00253FFA" w:rsidRPr="00B47A7D" w:rsidRDefault="00253FFA" w:rsidP="00253FFA">
      <w:pPr>
        <w:pStyle w:val="NormalHanging12a"/>
      </w:pPr>
      <w:r w:rsidRPr="00B47A7D">
        <w:t xml:space="preserve">K. </w:t>
      </w:r>
      <w:r w:rsidRPr="00B47A7D">
        <w:tab/>
        <w:t xml:space="preserve">billi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huwa l-president tal-Partit </w:t>
      </w:r>
      <w:proofErr w:type="spellStart"/>
      <w:r w:rsidRPr="00B47A7D">
        <w:t>Tisza</w:t>
      </w:r>
      <w:proofErr w:type="spellEnd"/>
      <w:r w:rsidRPr="00B47A7D">
        <w:t xml:space="preserve"> (</w:t>
      </w:r>
      <w:proofErr w:type="spellStart"/>
      <w:r w:rsidRPr="00B47A7D">
        <w:t>Tisztelet</w:t>
      </w:r>
      <w:proofErr w:type="spellEnd"/>
      <w:r w:rsidRPr="00B47A7D">
        <w:t xml:space="preserve"> </w:t>
      </w:r>
      <w:proofErr w:type="spellStart"/>
      <w:r w:rsidRPr="00B47A7D">
        <w:t>és</w:t>
      </w:r>
      <w:proofErr w:type="spellEnd"/>
      <w:r w:rsidRPr="00B47A7D">
        <w:t xml:space="preserve"> </w:t>
      </w:r>
      <w:proofErr w:type="spellStart"/>
      <w:r w:rsidRPr="00B47A7D">
        <w:t>Szabadság</w:t>
      </w:r>
      <w:proofErr w:type="spellEnd"/>
      <w:r w:rsidRPr="00B47A7D">
        <w:t xml:space="preserve"> </w:t>
      </w:r>
      <w:proofErr w:type="spellStart"/>
      <w:r w:rsidRPr="00B47A7D">
        <w:t>Párt</w:t>
      </w:r>
      <w:proofErr w:type="spellEnd"/>
      <w:r w:rsidRPr="00B47A7D">
        <w:t xml:space="preserve">) kif ukoll il-kap tal-lista tal-kandidati ta’ dak il-partit għall-elezzjonijiet Ewropej tal-2024; billi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kien avversarju vokali tal-politiki u l-pożizzjonijiet tal-</w:t>
      </w:r>
      <w:r w:rsidR="007D1170">
        <w:t>g</w:t>
      </w:r>
      <w:r w:rsidRPr="00B47A7D">
        <w:t xml:space="preserve">vern Ungeriż, inklużi dawk fir-rigward tal-Unjoni; billi l-fatti li wasslu għat-talba għat-tneħħija tal-immunità, l-inkonsistenzi fil-mod li bih twettqu l-investigazzjonijiet tal-pulizija, inkluża t-tweġiba mhux kompluta </w:t>
      </w:r>
      <w:r w:rsidR="002F3B9A">
        <w:t>mil</w:t>
      </w:r>
      <w:r w:rsidRPr="00B47A7D">
        <w:t>l-</w:t>
      </w:r>
      <w:r w:rsidR="002F3B9A">
        <w:t>P</w:t>
      </w:r>
      <w:r w:rsidRPr="00B47A7D">
        <w:t xml:space="preserve">rosekutur </w:t>
      </w:r>
      <w:r w:rsidR="002F3B9A">
        <w:t xml:space="preserve">Ġenerali tal-Ungerija </w:t>
      </w:r>
      <w:r w:rsidRPr="00B47A7D">
        <w:t xml:space="preserve">dwar il-proporzjonalità tal-azzjonijiet meħuda mill-awtoritajiet fil-każ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 meta mqabbla ma’ sitwazzjonijiet simili li jinvolvu oġġetti ta’ valur żgħir, u n-nuqqas ta’ ċarezza fit-tweġiba tal-awtoritajiet kompetenti dwar il-kwalifika legali tal-allegat reat kriminali li bih ġie akkużat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, </w:t>
      </w:r>
      <w:proofErr w:type="spellStart"/>
      <w:r w:rsidRPr="00B47A7D">
        <w:t>iqajmu</w:t>
      </w:r>
      <w:proofErr w:type="spellEnd"/>
      <w:r w:rsidRPr="00B47A7D">
        <w:t xml:space="preserve"> tħassib li l-intenzjoni wara l-proċedimenti setgħet kienet li tagħmel ħsara lir-reputazzjoni ta</w:t>
      </w:r>
      <w:r w:rsidR="002F3B9A">
        <w:t xml:space="preserve">’ </w:t>
      </w:r>
      <w:proofErr w:type="spellStart"/>
      <w:r w:rsidR="002F3B9A" w:rsidRPr="00B47A7D">
        <w:t>Péter</w:t>
      </w:r>
      <w:proofErr w:type="spellEnd"/>
      <w:r w:rsidR="002F3B9A" w:rsidRPr="00B47A7D">
        <w:t xml:space="preserve"> </w:t>
      </w:r>
      <w:proofErr w:type="spellStart"/>
      <w:r w:rsidR="002F3B9A" w:rsidRPr="00B47A7D">
        <w:t>Magyar</w:t>
      </w:r>
      <w:proofErr w:type="spellEnd"/>
      <w:r w:rsidRPr="00B47A7D">
        <w:t>;</w:t>
      </w:r>
    </w:p>
    <w:p w14:paraId="4B80B929" w14:textId="5EFE8C8B" w:rsidR="00253FFA" w:rsidRPr="00B47A7D" w:rsidRDefault="00253FFA" w:rsidP="00253FFA">
      <w:pPr>
        <w:pStyle w:val="NormalHanging12a"/>
      </w:pPr>
      <w:r w:rsidRPr="00B47A7D">
        <w:t>L.</w:t>
      </w:r>
      <w:r w:rsidRPr="00B47A7D">
        <w:tab/>
        <w:t xml:space="preserve">billi għalhekk jidher li dan huwa każ fejn wieħed jista’ jassumi l-eżistenza ta’ każ ta’ </w:t>
      </w:r>
      <w:proofErr w:type="spellStart"/>
      <w:r w:rsidRPr="00B47A7D">
        <w:rPr>
          <w:i/>
          <w:iCs/>
        </w:rPr>
        <w:t>fumus</w:t>
      </w:r>
      <w:proofErr w:type="spellEnd"/>
      <w:r w:rsidRPr="00B47A7D">
        <w:rPr>
          <w:i/>
          <w:iCs/>
        </w:rPr>
        <w:t xml:space="preserve"> </w:t>
      </w:r>
      <w:proofErr w:type="spellStart"/>
      <w:r w:rsidRPr="00B47A7D">
        <w:rPr>
          <w:i/>
          <w:iCs/>
        </w:rPr>
        <w:t>persecutionis</w:t>
      </w:r>
      <w:proofErr w:type="spellEnd"/>
      <w:r w:rsidRPr="00B47A7D">
        <w:t>, jiġifieri “evidenza konkreta”</w:t>
      </w:r>
      <w:r w:rsidRPr="00B47A7D">
        <w:rPr>
          <w:vertAlign w:val="superscript"/>
        </w:rPr>
        <w:footnoteReference w:id="3"/>
      </w:r>
      <w:r w:rsidRPr="00B47A7D">
        <w:t xml:space="preserve"> li tindika li l-prosekuzzjoni inkwistjoni nbdiet bl-intenzjoni li </w:t>
      </w:r>
      <w:proofErr w:type="spellStart"/>
      <w:r w:rsidRPr="00B47A7D">
        <w:t>timmina</w:t>
      </w:r>
      <w:proofErr w:type="spellEnd"/>
      <w:r w:rsidRPr="00B47A7D">
        <w:t xml:space="preserve"> l-attività politika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 xml:space="preserve">, </w:t>
      </w:r>
      <w:r w:rsidR="002F3B9A">
        <w:t xml:space="preserve">u </w:t>
      </w:r>
      <w:r w:rsidRPr="00B47A7D">
        <w:t>b’mod partikolari l-attività tiegħu bħala Membru tal-Parlament Ewropew;</w:t>
      </w:r>
    </w:p>
    <w:p w14:paraId="244C4724" w14:textId="77777777" w:rsidR="00253FFA" w:rsidRPr="00B47A7D" w:rsidRDefault="00253FFA" w:rsidP="00253FFA">
      <w:pPr>
        <w:pStyle w:val="NormalHanging12a"/>
        <w:widowControl/>
      </w:pPr>
      <w:r w:rsidRPr="00B47A7D">
        <w:t>M.</w:t>
      </w:r>
      <w:r w:rsidRPr="00B47A7D">
        <w:tab/>
        <w:t>billi, minn naħa, il-Parlament ma jistax jitqies bħala qorti u, min-naħa l-oħra, il-Membru ma jistax, fil-kuntest ta’ proċedura għat-tneħħija tal-immunità, jitqies bħala “akkużat”</w:t>
      </w:r>
      <w:r w:rsidRPr="00B47A7D">
        <w:rPr>
          <w:vertAlign w:val="superscript"/>
        </w:rPr>
        <w:footnoteReference w:id="4"/>
      </w:r>
      <w:r w:rsidRPr="00B47A7D">
        <w:t>;</w:t>
      </w:r>
    </w:p>
    <w:p w14:paraId="1D52037A" w14:textId="77777777" w:rsidR="00253FFA" w:rsidRPr="00B47A7D" w:rsidRDefault="00253FFA" w:rsidP="00253FFA">
      <w:pPr>
        <w:pStyle w:val="NormalHanging12a"/>
      </w:pPr>
      <w:r w:rsidRPr="00B47A7D">
        <w:t>1.</w:t>
      </w:r>
      <w:r w:rsidRPr="00B47A7D">
        <w:tab/>
        <w:t xml:space="preserve">Jiddeċiedi li ma jneħħix l-immunità ta’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>;</w:t>
      </w:r>
    </w:p>
    <w:p w14:paraId="1CCCBB99" w14:textId="4F577811" w:rsidR="00E365E1" w:rsidRPr="00B47A7D" w:rsidRDefault="00253FFA" w:rsidP="002F3B9A">
      <w:pPr>
        <w:ind w:left="567" w:hanging="567"/>
      </w:pPr>
      <w:r w:rsidRPr="00B47A7D">
        <w:t>2.</w:t>
      </w:r>
      <w:r w:rsidRPr="00B47A7D">
        <w:tab/>
        <w:t xml:space="preserve">Jagħti istruzzjonijiet lill-President tiegħu biex tgħaddi minnufih din id-deċiżjoni u r-rapport tal-kumitat responsabbli tiegħu lill-awtoritajiet kompetenti tal-Ungerija u lil </w:t>
      </w:r>
      <w:proofErr w:type="spellStart"/>
      <w:r w:rsidRPr="00B47A7D">
        <w:t>Péter</w:t>
      </w:r>
      <w:proofErr w:type="spellEnd"/>
      <w:r w:rsidRPr="00B47A7D">
        <w:t xml:space="preserve"> </w:t>
      </w:r>
      <w:proofErr w:type="spellStart"/>
      <w:r w:rsidRPr="00B47A7D">
        <w:t>Magyar</w:t>
      </w:r>
      <w:proofErr w:type="spellEnd"/>
      <w:r w:rsidRPr="00B47A7D">
        <w:t>.</w:t>
      </w:r>
    </w:p>
    <w:sectPr w:rsidR="00E365E1" w:rsidRPr="00B47A7D" w:rsidSect="00B47A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29B77" w14:textId="77777777" w:rsidR="007B4C16" w:rsidRPr="00B47A7D" w:rsidRDefault="007B4C16">
      <w:r w:rsidRPr="00B47A7D">
        <w:separator/>
      </w:r>
    </w:p>
  </w:endnote>
  <w:endnote w:type="continuationSeparator" w:id="0">
    <w:p w14:paraId="7D507227" w14:textId="77777777" w:rsidR="007B4C16" w:rsidRPr="00B47A7D" w:rsidRDefault="007B4C16">
      <w:r w:rsidRPr="00B47A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B0DF2" w14:textId="77777777" w:rsidR="00064002" w:rsidRPr="00B47A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C6432" w14:textId="77777777" w:rsidR="00064002" w:rsidRPr="00B47A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D517" w14:textId="77777777" w:rsidR="00064002" w:rsidRPr="00B47A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E9CD9" w14:textId="77777777" w:rsidR="007B4C16" w:rsidRPr="00B47A7D" w:rsidRDefault="007B4C16">
      <w:r w:rsidRPr="00B47A7D">
        <w:separator/>
      </w:r>
    </w:p>
  </w:footnote>
  <w:footnote w:type="continuationSeparator" w:id="0">
    <w:p w14:paraId="0DB987DE" w14:textId="77777777" w:rsidR="007B4C16" w:rsidRPr="00B47A7D" w:rsidRDefault="007B4C16">
      <w:r w:rsidRPr="00B47A7D">
        <w:continuationSeparator/>
      </w:r>
    </w:p>
  </w:footnote>
  <w:footnote w:id="1">
    <w:p w14:paraId="5E3E42C9" w14:textId="09F1D71B" w:rsidR="00253FFA" w:rsidRPr="00B47A7D" w:rsidRDefault="00253FFA" w:rsidP="00B47A7D">
      <w:pPr>
        <w:pStyle w:val="FootnoteText"/>
        <w:ind w:left="567" w:hanging="567"/>
        <w:rPr>
          <w:sz w:val="24"/>
          <w:lang w:val="mt-MT"/>
        </w:rPr>
      </w:pPr>
      <w:r w:rsidRPr="00B47A7D">
        <w:rPr>
          <w:rStyle w:val="FootnoteReference"/>
          <w:sz w:val="24"/>
          <w:szCs w:val="16"/>
          <w:lang w:val="mt-MT"/>
        </w:rPr>
        <w:footnoteRef/>
      </w:r>
      <w:r w:rsidR="00B47A7D" w:rsidRPr="00B47A7D">
        <w:rPr>
          <w:sz w:val="24"/>
          <w:lang w:val="mt-MT"/>
        </w:rPr>
        <w:t xml:space="preserve"> </w:t>
      </w:r>
      <w:r w:rsidR="00B47A7D" w:rsidRPr="00B47A7D">
        <w:rPr>
          <w:sz w:val="24"/>
          <w:lang w:val="mt-MT"/>
        </w:rPr>
        <w:tab/>
      </w:r>
      <w:r w:rsidRPr="00B47A7D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B47A7D">
        <w:rPr>
          <w:i/>
          <w:iCs/>
          <w:sz w:val="24"/>
          <w:lang w:val="mt-MT"/>
        </w:rPr>
        <w:t>Marra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 xml:space="preserve">De </w:t>
      </w:r>
      <w:proofErr w:type="spellStart"/>
      <w:r w:rsidRPr="00B47A7D">
        <w:rPr>
          <w:i/>
          <w:iCs/>
          <w:sz w:val="24"/>
          <w:lang w:val="mt-MT"/>
        </w:rPr>
        <w:t>Gregorio</w:t>
      </w:r>
      <w:proofErr w:type="spellEnd"/>
      <w:r w:rsidRPr="00B47A7D">
        <w:rPr>
          <w:i/>
          <w:iCs/>
          <w:sz w:val="24"/>
          <w:lang w:val="mt-MT"/>
        </w:rPr>
        <w:t xml:space="preserve"> u </w:t>
      </w:r>
      <w:proofErr w:type="spellStart"/>
      <w:r w:rsidRPr="00B47A7D">
        <w:rPr>
          <w:i/>
          <w:iCs/>
          <w:sz w:val="24"/>
          <w:lang w:val="mt-MT"/>
        </w:rPr>
        <w:t>Clemente</w:t>
      </w:r>
      <w:proofErr w:type="spellEnd"/>
      <w:r w:rsidRPr="00B47A7D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B47A7D">
        <w:rPr>
          <w:i/>
          <w:iCs/>
          <w:sz w:val="24"/>
          <w:lang w:val="mt-MT"/>
        </w:rPr>
        <w:t>Gollnisch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>Il-Parlament</w:t>
      </w:r>
      <w:r w:rsidRPr="00B47A7D">
        <w:rPr>
          <w:sz w:val="24"/>
          <w:lang w:val="mt-MT"/>
        </w:rPr>
        <w:t xml:space="preserve">, T-42/06, ECLI:EU:T:2010:102; is-sentenza tal-Qorti tal-Ġustizzja tas-6 ta’ Settembru 2011, </w:t>
      </w:r>
      <w:proofErr w:type="spellStart"/>
      <w:r w:rsidRPr="00B47A7D">
        <w:rPr>
          <w:i/>
          <w:iCs/>
          <w:sz w:val="24"/>
          <w:lang w:val="mt-MT"/>
        </w:rPr>
        <w:t>Patriciello</w:t>
      </w:r>
      <w:proofErr w:type="spellEnd"/>
      <w:r w:rsidRPr="00B47A7D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B47A7D">
        <w:rPr>
          <w:i/>
          <w:iCs/>
          <w:sz w:val="24"/>
          <w:lang w:val="mt-MT"/>
        </w:rPr>
        <w:t>Gollnisch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>Il-Parlament</w:t>
      </w:r>
      <w:r w:rsidRPr="00B47A7D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B47A7D">
        <w:rPr>
          <w:i/>
          <w:iCs/>
          <w:sz w:val="24"/>
          <w:lang w:val="mt-MT"/>
        </w:rPr>
        <w:t>Junqueras</w:t>
      </w:r>
      <w:proofErr w:type="spellEnd"/>
      <w:r w:rsidRPr="00B47A7D">
        <w:rPr>
          <w:i/>
          <w:iCs/>
          <w:sz w:val="24"/>
          <w:lang w:val="mt-MT"/>
        </w:rPr>
        <w:t xml:space="preserve"> </w:t>
      </w:r>
      <w:proofErr w:type="spellStart"/>
      <w:r w:rsidRPr="00B47A7D">
        <w:rPr>
          <w:i/>
          <w:iCs/>
          <w:sz w:val="24"/>
          <w:lang w:val="mt-MT"/>
        </w:rPr>
        <w:t>Vies</w:t>
      </w:r>
      <w:proofErr w:type="spellEnd"/>
      <w:r w:rsidRPr="00B47A7D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B47A7D">
        <w:rPr>
          <w:i/>
          <w:iCs/>
          <w:sz w:val="24"/>
          <w:lang w:val="mt-MT"/>
        </w:rPr>
        <w:t>Puigdemont</w:t>
      </w:r>
      <w:proofErr w:type="spellEnd"/>
      <w:r w:rsidRPr="00B47A7D">
        <w:rPr>
          <w:i/>
          <w:iCs/>
          <w:sz w:val="24"/>
          <w:lang w:val="mt-MT"/>
        </w:rPr>
        <w:t xml:space="preserve"> i </w:t>
      </w:r>
      <w:proofErr w:type="spellStart"/>
      <w:r w:rsidRPr="00B47A7D">
        <w:rPr>
          <w:i/>
          <w:iCs/>
          <w:sz w:val="24"/>
          <w:lang w:val="mt-MT"/>
        </w:rPr>
        <w:t>Casamajó</w:t>
      </w:r>
      <w:proofErr w:type="spellEnd"/>
      <w:r w:rsidRPr="00B47A7D">
        <w:rPr>
          <w:i/>
          <w:iCs/>
          <w:sz w:val="24"/>
          <w:lang w:val="mt-MT"/>
        </w:rPr>
        <w:t xml:space="preserve"> </w:t>
      </w:r>
      <w:proofErr w:type="spellStart"/>
      <w:r w:rsidRPr="00B47A7D">
        <w:rPr>
          <w:i/>
          <w:iCs/>
          <w:sz w:val="24"/>
          <w:lang w:val="mt-MT"/>
        </w:rPr>
        <w:t>et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>Il-Parlament Ewropew</w:t>
      </w:r>
      <w:r w:rsidRPr="00B47A7D">
        <w:rPr>
          <w:sz w:val="24"/>
          <w:lang w:val="mt-MT"/>
        </w:rPr>
        <w:t>, T-272/21, ECLI:EU:T:2023:373.</w:t>
      </w:r>
    </w:p>
  </w:footnote>
  <w:footnote w:id="2">
    <w:p w14:paraId="159513D4" w14:textId="307D102F" w:rsidR="00253FFA" w:rsidRPr="00B47A7D" w:rsidRDefault="00253FFA" w:rsidP="00B47A7D">
      <w:pPr>
        <w:pStyle w:val="FootnoteText"/>
        <w:ind w:left="567" w:hanging="567"/>
        <w:rPr>
          <w:sz w:val="24"/>
          <w:lang w:val="mt-MT"/>
        </w:rPr>
      </w:pPr>
      <w:r w:rsidRPr="00B47A7D">
        <w:rPr>
          <w:rStyle w:val="FootnoteReference"/>
          <w:sz w:val="24"/>
          <w:lang w:val="mt-MT"/>
        </w:rPr>
        <w:footnoteRef/>
      </w:r>
      <w:r w:rsidR="00B47A7D" w:rsidRPr="00B47A7D">
        <w:rPr>
          <w:sz w:val="24"/>
          <w:lang w:val="mt-MT"/>
        </w:rPr>
        <w:t xml:space="preserve"> </w:t>
      </w:r>
      <w:r w:rsidR="00B47A7D" w:rsidRPr="00B47A7D">
        <w:rPr>
          <w:sz w:val="24"/>
          <w:lang w:val="mt-MT"/>
        </w:rPr>
        <w:tab/>
      </w:r>
      <w:r w:rsidRPr="00B47A7D">
        <w:rPr>
          <w:sz w:val="24"/>
          <w:lang w:val="mt-MT"/>
        </w:rPr>
        <w:t xml:space="preserve">Is-sentenza tal-Qorti Ġenerali tas-17 ta’ Jannar 2013, </w:t>
      </w:r>
      <w:proofErr w:type="spellStart"/>
      <w:r w:rsidRPr="00B47A7D">
        <w:rPr>
          <w:i/>
          <w:iCs/>
          <w:sz w:val="24"/>
          <w:lang w:val="mt-MT"/>
        </w:rPr>
        <w:t>Gollnisch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>Il-Parlament</w:t>
      </w:r>
      <w:r w:rsidRPr="00B47A7D">
        <w:rPr>
          <w:sz w:val="24"/>
          <w:lang w:val="mt-MT"/>
        </w:rPr>
        <w:t xml:space="preserve">, T-346/11 u T-347/11, ECLI:EU:T:2013:23, il-punt 59 u l-ġurisprudenza </w:t>
      </w:r>
      <w:proofErr w:type="spellStart"/>
      <w:r w:rsidRPr="00B47A7D">
        <w:rPr>
          <w:sz w:val="24"/>
          <w:lang w:val="mt-MT"/>
        </w:rPr>
        <w:t>ċċitata</w:t>
      </w:r>
      <w:proofErr w:type="spellEnd"/>
      <w:r w:rsidRPr="00B47A7D">
        <w:rPr>
          <w:sz w:val="24"/>
          <w:lang w:val="mt-MT"/>
        </w:rPr>
        <w:t>.</w:t>
      </w:r>
    </w:p>
  </w:footnote>
  <w:footnote w:id="3">
    <w:p w14:paraId="13267AB2" w14:textId="3A4C3D50" w:rsidR="00253FFA" w:rsidRPr="00B47A7D" w:rsidRDefault="00253FFA" w:rsidP="00B47A7D">
      <w:pPr>
        <w:pStyle w:val="FootnoteText"/>
        <w:ind w:left="567" w:hanging="567"/>
        <w:rPr>
          <w:sz w:val="24"/>
          <w:lang w:val="mt-MT"/>
        </w:rPr>
      </w:pPr>
      <w:r w:rsidRPr="00B47A7D">
        <w:rPr>
          <w:rStyle w:val="FootnoteReference"/>
          <w:sz w:val="24"/>
          <w:lang w:val="mt-MT"/>
        </w:rPr>
        <w:footnoteRef/>
      </w:r>
      <w:r w:rsidR="00B47A7D" w:rsidRPr="00B47A7D">
        <w:rPr>
          <w:sz w:val="24"/>
          <w:lang w:val="mt-MT"/>
        </w:rPr>
        <w:t xml:space="preserve"> </w:t>
      </w:r>
      <w:r w:rsidR="00B47A7D" w:rsidRPr="00B47A7D">
        <w:rPr>
          <w:sz w:val="24"/>
          <w:lang w:val="mt-MT"/>
        </w:rPr>
        <w:tab/>
      </w:r>
      <w:r w:rsidRPr="00B47A7D">
        <w:rPr>
          <w:sz w:val="24"/>
          <w:lang w:val="mt-MT"/>
        </w:rPr>
        <w:t xml:space="preserve">Is-sentenza tal-Qorti tal-Ġustizzja tas-17 ta’ Settembru 2020, </w:t>
      </w:r>
      <w:proofErr w:type="spellStart"/>
      <w:r w:rsidRPr="00B47A7D">
        <w:rPr>
          <w:i/>
          <w:iCs/>
          <w:sz w:val="24"/>
          <w:lang w:val="mt-MT"/>
        </w:rPr>
        <w:t>Troszczynski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>Il-</w:t>
      </w:r>
      <w:proofErr w:type="spellStart"/>
      <w:r w:rsidRPr="00B47A7D">
        <w:rPr>
          <w:i/>
          <w:iCs/>
          <w:sz w:val="24"/>
          <w:lang w:val="mt-MT"/>
        </w:rPr>
        <w:t>Parliament</w:t>
      </w:r>
      <w:proofErr w:type="spellEnd"/>
      <w:r w:rsidRPr="00B47A7D">
        <w:rPr>
          <w:sz w:val="24"/>
          <w:lang w:val="mt-MT"/>
        </w:rPr>
        <w:t>, C-12/19 P, ECLI:EU:C:2020:725, punt 26.</w:t>
      </w:r>
    </w:p>
  </w:footnote>
  <w:footnote w:id="4">
    <w:p w14:paraId="463DA780" w14:textId="33A4C0B0" w:rsidR="00253FFA" w:rsidRPr="00B47A7D" w:rsidRDefault="00253FFA" w:rsidP="00B47A7D">
      <w:pPr>
        <w:pStyle w:val="FootnoteText"/>
        <w:ind w:left="567" w:hanging="567"/>
        <w:rPr>
          <w:sz w:val="24"/>
          <w:lang w:val="mt-MT"/>
        </w:rPr>
      </w:pPr>
      <w:r w:rsidRPr="00B47A7D">
        <w:rPr>
          <w:rStyle w:val="FootnoteReference"/>
          <w:sz w:val="24"/>
          <w:szCs w:val="16"/>
          <w:lang w:val="mt-MT"/>
        </w:rPr>
        <w:footnoteRef/>
      </w:r>
      <w:r w:rsidR="00B47A7D" w:rsidRPr="00B47A7D">
        <w:rPr>
          <w:sz w:val="24"/>
          <w:lang w:val="mt-MT"/>
        </w:rPr>
        <w:t xml:space="preserve"> </w:t>
      </w:r>
      <w:r w:rsidR="00B47A7D" w:rsidRPr="00B47A7D">
        <w:rPr>
          <w:sz w:val="24"/>
          <w:lang w:val="mt-MT"/>
        </w:rPr>
        <w:tab/>
      </w:r>
      <w:r w:rsidRPr="00B47A7D">
        <w:rPr>
          <w:sz w:val="24"/>
          <w:lang w:val="mt-MT"/>
        </w:rPr>
        <w:t xml:space="preserve">Is-sentenza tal-Qorti Ġenerali tat-30 ta’ April 2019, </w:t>
      </w:r>
      <w:proofErr w:type="spellStart"/>
      <w:r w:rsidRPr="00B47A7D">
        <w:rPr>
          <w:i/>
          <w:iCs/>
          <w:sz w:val="24"/>
          <w:lang w:val="mt-MT"/>
        </w:rPr>
        <w:t>Briois</w:t>
      </w:r>
      <w:proofErr w:type="spellEnd"/>
      <w:r w:rsidRPr="00B47A7D">
        <w:rPr>
          <w:sz w:val="24"/>
          <w:lang w:val="mt-MT"/>
        </w:rPr>
        <w:t xml:space="preserve"> </w:t>
      </w:r>
      <w:proofErr w:type="spellStart"/>
      <w:r w:rsidRPr="00B47A7D">
        <w:rPr>
          <w:sz w:val="24"/>
          <w:lang w:val="mt-MT"/>
        </w:rPr>
        <w:t>vs</w:t>
      </w:r>
      <w:proofErr w:type="spellEnd"/>
      <w:r w:rsidRPr="00B47A7D">
        <w:rPr>
          <w:sz w:val="24"/>
          <w:lang w:val="mt-MT"/>
        </w:rPr>
        <w:t xml:space="preserve"> </w:t>
      </w:r>
      <w:r w:rsidRPr="00B47A7D">
        <w:rPr>
          <w:i/>
          <w:iCs/>
          <w:sz w:val="24"/>
          <w:lang w:val="mt-MT"/>
        </w:rPr>
        <w:t>Il-Parlament</w:t>
      </w:r>
      <w:r w:rsidRPr="00B47A7D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87BF" w14:textId="77777777" w:rsidR="00064002" w:rsidRPr="00B47A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56A28" w14:textId="77777777" w:rsidR="00064002" w:rsidRPr="00B47A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108B" w14:textId="77777777" w:rsidR="00064002" w:rsidRPr="00B47A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8133737">
    <w:abstractNumId w:val="9"/>
  </w:num>
  <w:num w:numId="2" w16cid:durableId="598177724">
    <w:abstractNumId w:val="9"/>
  </w:num>
  <w:num w:numId="3" w16cid:durableId="1348824070">
    <w:abstractNumId w:val="7"/>
  </w:num>
  <w:num w:numId="4" w16cid:durableId="552692839">
    <w:abstractNumId w:val="7"/>
  </w:num>
  <w:num w:numId="5" w16cid:durableId="1276789255">
    <w:abstractNumId w:val="6"/>
  </w:num>
  <w:num w:numId="6" w16cid:durableId="1216968446">
    <w:abstractNumId w:val="6"/>
  </w:num>
  <w:num w:numId="7" w16cid:durableId="840395342">
    <w:abstractNumId w:val="5"/>
  </w:num>
  <w:num w:numId="8" w16cid:durableId="89816945">
    <w:abstractNumId w:val="5"/>
  </w:num>
  <w:num w:numId="9" w16cid:durableId="708335219">
    <w:abstractNumId w:val="4"/>
  </w:num>
  <w:num w:numId="10" w16cid:durableId="1081945358">
    <w:abstractNumId w:val="4"/>
  </w:num>
  <w:num w:numId="11" w16cid:durableId="1509783573">
    <w:abstractNumId w:val="8"/>
  </w:num>
  <w:num w:numId="12" w16cid:durableId="631716022">
    <w:abstractNumId w:val="8"/>
  </w:num>
  <w:num w:numId="13" w16cid:durableId="470752066">
    <w:abstractNumId w:val="3"/>
  </w:num>
  <w:num w:numId="14" w16cid:durableId="1857228188">
    <w:abstractNumId w:val="3"/>
  </w:num>
  <w:num w:numId="15" w16cid:durableId="1463503247">
    <w:abstractNumId w:val="2"/>
  </w:num>
  <w:num w:numId="16" w16cid:durableId="307515625">
    <w:abstractNumId w:val="2"/>
  </w:num>
  <w:num w:numId="17" w16cid:durableId="27027573">
    <w:abstractNumId w:val="1"/>
  </w:num>
  <w:num w:numId="18" w16cid:durableId="1712653718">
    <w:abstractNumId w:val="1"/>
  </w:num>
  <w:num w:numId="19" w16cid:durableId="2044086775">
    <w:abstractNumId w:val="0"/>
  </w:num>
  <w:num w:numId="20" w16cid:durableId="303581878">
    <w:abstractNumId w:val="0"/>
  </w:num>
  <w:num w:numId="21" w16cid:durableId="2074767757">
    <w:abstractNumId w:val="9"/>
  </w:num>
  <w:num w:numId="22" w16cid:durableId="1956520272">
    <w:abstractNumId w:val="7"/>
  </w:num>
  <w:num w:numId="23" w16cid:durableId="1984038212">
    <w:abstractNumId w:val="6"/>
  </w:num>
  <w:num w:numId="24" w16cid:durableId="490293339">
    <w:abstractNumId w:val="5"/>
  </w:num>
  <w:num w:numId="25" w16cid:durableId="986979544">
    <w:abstractNumId w:val="4"/>
  </w:num>
  <w:num w:numId="26" w16cid:durableId="573861531">
    <w:abstractNumId w:val="8"/>
  </w:num>
  <w:num w:numId="27" w16cid:durableId="733234014">
    <w:abstractNumId w:val="3"/>
  </w:num>
  <w:num w:numId="28" w16cid:durableId="532886340">
    <w:abstractNumId w:val="2"/>
  </w:num>
  <w:num w:numId="29" w16cid:durableId="476649297">
    <w:abstractNumId w:val="1"/>
  </w:num>
  <w:num w:numId="30" w16cid:durableId="2078935231">
    <w:abstractNumId w:val="0"/>
  </w:num>
  <w:num w:numId="31" w16cid:durableId="1664311754">
    <w:abstractNumId w:val="9"/>
  </w:num>
  <w:num w:numId="32" w16cid:durableId="1962420945">
    <w:abstractNumId w:val="7"/>
  </w:num>
  <w:num w:numId="33" w16cid:durableId="1573352511">
    <w:abstractNumId w:val="6"/>
  </w:num>
  <w:num w:numId="34" w16cid:durableId="626935435">
    <w:abstractNumId w:val="5"/>
  </w:num>
  <w:num w:numId="35" w16cid:durableId="1041050127">
    <w:abstractNumId w:val="4"/>
  </w:num>
  <w:num w:numId="36" w16cid:durableId="1191604003">
    <w:abstractNumId w:val="8"/>
  </w:num>
  <w:num w:numId="37" w16cid:durableId="625239917">
    <w:abstractNumId w:val="3"/>
  </w:num>
  <w:num w:numId="38" w16cid:durableId="311834705">
    <w:abstractNumId w:val="2"/>
  </w:num>
  <w:num w:numId="39" w16cid:durableId="1968781204">
    <w:abstractNumId w:val="1"/>
  </w:num>
  <w:num w:numId="40" w16cid:durableId="278875855">
    <w:abstractNumId w:val="0"/>
  </w:num>
  <w:num w:numId="41" w16cid:durableId="1890149007">
    <w:abstractNumId w:val="10"/>
  </w:num>
  <w:num w:numId="42" w16cid:durableId="1791122755">
    <w:abstractNumId w:val="10"/>
  </w:num>
  <w:num w:numId="43" w16cid:durableId="1490363608">
    <w:abstractNumId w:val="10"/>
  </w:num>
  <w:num w:numId="44" w16cid:durableId="4211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MT"/>
    <w:docVar w:name="dvnumam" w:val="0"/>
    <w:docVar w:name="dvpe" w:val="770.241"/>
    <w:docVar w:name="dvrapporteur" w:val="Rapporteur: "/>
    <w:docVar w:name="dvtitre" w:val="Deċiżjoni tal-Parlament Ewropew tas-7 ta' Ottubru 2025 dwar it-talba għat-tneħħija tal-immunità ta’ Péter Magyar(2024/2063(IMM))"/>
  </w:docVars>
  <w:rsids>
    <w:rsidRoot w:val="007B4C16"/>
    <w:rsid w:val="00002272"/>
    <w:rsid w:val="00064002"/>
    <w:rsid w:val="000677B9"/>
    <w:rsid w:val="000831BA"/>
    <w:rsid w:val="00096ED1"/>
    <w:rsid w:val="000A42CC"/>
    <w:rsid w:val="000E7DD9"/>
    <w:rsid w:val="0010095E"/>
    <w:rsid w:val="00125B37"/>
    <w:rsid w:val="00187494"/>
    <w:rsid w:val="001F32AE"/>
    <w:rsid w:val="00243273"/>
    <w:rsid w:val="00253FFA"/>
    <w:rsid w:val="00260EBE"/>
    <w:rsid w:val="002767FF"/>
    <w:rsid w:val="002B18FE"/>
    <w:rsid w:val="002B5493"/>
    <w:rsid w:val="002F3B9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41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CC4"/>
    <w:rsid w:val="00631926"/>
    <w:rsid w:val="006435A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C16"/>
    <w:rsid w:val="007D117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A7D"/>
    <w:rsid w:val="00B558F0"/>
    <w:rsid w:val="00BD48FE"/>
    <w:rsid w:val="00BD6162"/>
    <w:rsid w:val="00BD7BD8"/>
    <w:rsid w:val="00BE6ADC"/>
    <w:rsid w:val="00C05BFE"/>
    <w:rsid w:val="00C23CD4"/>
    <w:rsid w:val="00C51B5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AD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80FE4"/>
  <w15:chartTrackingRefBased/>
  <w15:docId w15:val="{2DA5A6EB-2263-43D5-BE58-E608F1A6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53FFA"/>
    <w:pPr>
      <w:spacing w:after="240"/>
      <w:ind w:left="567" w:hanging="567"/>
    </w:pPr>
  </w:style>
  <w:style w:type="paragraph" w:customStyle="1" w:styleId="EPComma">
    <w:name w:val="EPComma"/>
    <w:basedOn w:val="Normal"/>
    <w:rsid w:val="00253FFA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253FFA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253FFA"/>
    <w:rPr>
      <w:sz w:val="24"/>
      <w:szCs w:val="24"/>
      <w:shd w:val="clear" w:color="auto" w:fill="FFFFFF"/>
      <w:lang w:val="mt-MT" w:eastAsia="hu-HU" w:bidi="hu-HU"/>
    </w:rPr>
  </w:style>
  <w:style w:type="paragraph" w:styleId="Revision">
    <w:name w:val="Revision"/>
    <w:hidden/>
    <w:uiPriority w:val="99"/>
    <w:semiHidden/>
    <w:rsid w:val="002F3B9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6670</Characters>
  <Application>Microsoft Office Word</Application>
  <DocSecurity>0</DocSecurity>
  <Lines>290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2025-10-07T12:04:00Z</dcterms:created>
  <dcterms:modified xsi:type="dcterms:W3CDTF">2025-10-07T12:04:00Z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