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6E3C69" w14:paraId="3BE8404A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63BD9EF8" w14:textId="729A71EC" w:rsidR="00751A4A" w:rsidRPr="006E3C69" w:rsidRDefault="00E2419D" w:rsidP="0010095E">
            <w:pPr>
              <w:pStyle w:val="EPName"/>
            </w:pPr>
            <w:r w:rsidRPr="006E3C69">
              <w:t>Parlament Europejski</w:t>
            </w:r>
          </w:p>
          <w:p w14:paraId="7C8886ED" w14:textId="77777777" w:rsidR="00751A4A" w:rsidRPr="006E3C69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6E3C69">
              <w:t>2024</w:t>
            </w:r>
            <w:r w:rsidR="00817416" w:rsidRPr="006E3C69">
              <w:t>-202</w:t>
            </w:r>
            <w:r w:rsidRPr="006E3C69">
              <w:t>9</w:t>
            </w:r>
          </w:p>
        </w:tc>
        <w:tc>
          <w:tcPr>
            <w:tcW w:w="2268" w:type="dxa"/>
            <w:shd w:val="clear" w:color="auto" w:fill="auto"/>
          </w:tcPr>
          <w:p w14:paraId="1CAD3573" w14:textId="77777777" w:rsidR="00751A4A" w:rsidRPr="006E3C69" w:rsidRDefault="00187494" w:rsidP="0010095E">
            <w:pPr>
              <w:pStyle w:val="EPLogo"/>
            </w:pPr>
            <w:r w:rsidRPr="006E3C69">
              <w:rPr>
                <w:noProof/>
                <w:lang w:eastAsia="ja-JP"/>
              </w:rPr>
              <w:drawing>
                <wp:inline distT="0" distB="0" distL="0" distR="0" wp14:anchorId="45719983" wp14:editId="321B1BAB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7F7239C" w14:textId="77777777" w:rsidR="00D058B8" w:rsidRPr="006E3C69" w:rsidRDefault="00D058B8" w:rsidP="004C5D52">
      <w:pPr>
        <w:pStyle w:val="LineTop"/>
      </w:pPr>
    </w:p>
    <w:p w14:paraId="3F1DF183" w14:textId="75EC0150" w:rsidR="00680577" w:rsidRPr="006E3C69" w:rsidRDefault="00E2419D" w:rsidP="00680577">
      <w:pPr>
        <w:pStyle w:val="EPBodyTA1"/>
      </w:pPr>
      <w:r w:rsidRPr="006E3C69">
        <w:t>TEKSTY PRZYJĘTE</w:t>
      </w:r>
    </w:p>
    <w:p w14:paraId="7AC70042" w14:textId="77777777" w:rsidR="00D058B8" w:rsidRPr="006E3C69" w:rsidRDefault="00D058B8" w:rsidP="00D058B8">
      <w:pPr>
        <w:pStyle w:val="LineBottom"/>
      </w:pPr>
    </w:p>
    <w:p w14:paraId="44322FBE" w14:textId="652DED52" w:rsidR="00E2419D" w:rsidRPr="006E3C69" w:rsidRDefault="00E2419D" w:rsidP="00E2419D">
      <w:pPr>
        <w:pStyle w:val="ATHeading1"/>
      </w:pPr>
      <w:bookmarkStart w:id="0" w:name="TANumber"/>
      <w:r w:rsidRPr="006E3C69">
        <w:t>P10_TA(2025)</w:t>
      </w:r>
      <w:bookmarkEnd w:id="0"/>
      <w:r w:rsidR="005D5970" w:rsidRPr="006E3C69">
        <w:t>0</w:t>
      </w:r>
      <w:r w:rsidR="005D5970">
        <w:t>203</w:t>
      </w:r>
    </w:p>
    <w:p w14:paraId="11DE90F3" w14:textId="77777777" w:rsidR="00E2419D" w:rsidRPr="006E3C69" w:rsidRDefault="00E2419D" w:rsidP="00E2419D">
      <w:pPr>
        <w:pStyle w:val="ATHeading2"/>
      </w:pPr>
      <w:bookmarkStart w:id="1" w:name="title"/>
      <w:r w:rsidRPr="006E3C69">
        <w:t xml:space="preserve">Wniosek o uchylenie immunitetu </w:t>
      </w:r>
      <w:proofErr w:type="spellStart"/>
      <w:r w:rsidRPr="006E3C69">
        <w:t>Pétera</w:t>
      </w:r>
      <w:proofErr w:type="spellEnd"/>
      <w:r w:rsidRPr="006E3C69">
        <w:t xml:space="preserve"> </w:t>
      </w:r>
      <w:proofErr w:type="spellStart"/>
      <w:r w:rsidRPr="006E3C69">
        <w:t>Magyara</w:t>
      </w:r>
      <w:bookmarkEnd w:id="1"/>
      <w:proofErr w:type="spellEnd"/>
    </w:p>
    <w:p w14:paraId="04D2B58D" w14:textId="77777777" w:rsidR="00E2419D" w:rsidRPr="006E3C69" w:rsidRDefault="00E2419D" w:rsidP="00E2419D">
      <w:pPr>
        <w:rPr>
          <w:i/>
          <w:vanish/>
        </w:rPr>
      </w:pPr>
      <w:r w:rsidRPr="006E3C69">
        <w:rPr>
          <w:i/>
        </w:rPr>
        <w:fldChar w:fldCharType="begin"/>
      </w:r>
      <w:r w:rsidRPr="006E3C69">
        <w:rPr>
          <w:i/>
        </w:rPr>
        <w:instrText xml:space="preserve"> TC"(</w:instrText>
      </w:r>
      <w:bookmarkStart w:id="2" w:name="DocNumber"/>
      <w:r w:rsidRPr="006E3C69">
        <w:rPr>
          <w:i/>
        </w:rPr>
        <w:instrText>A10-0180/2025</w:instrText>
      </w:r>
      <w:bookmarkEnd w:id="2"/>
      <w:r w:rsidRPr="006E3C69">
        <w:rPr>
          <w:i/>
        </w:rPr>
        <w:instrText xml:space="preserve"> - Sprawozdawca: Krzysztof Śmiszek)"\l3 \n&gt; \* MERGEFORMAT </w:instrText>
      </w:r>
      <w:r w:rsidRPr="006E3C69">
        <w:rPr>
          <w:i/>
        </w:rPr>
        <w:fldChar w:fldCharType="end"/>
      </w:r>
    </w:p>
    <w:p w14:paraId="4C6FF551" w14:textId="77777777" w:rsidR="00E2419D" w:rsidRPr="006E3C69" w:rsidRDefault="00E2419D" w:rsidP="00E2419D">
      <w:pPr>
        <w:rPr>
          <w:vanish/>
        </w:rPr>
      </w:pPr>
      <w:bookmarkStart w:id="3" w:name="Commission"/>
      <w:r w:rsidRPr="006E3C69">
        <w:rPr>
          <w:vanish/>
        </w:rPr>
        <w:t>Komisja Prawna</w:t>
      </w:r>
      <w:bookmarkEnd w:id="3"/>
    </w:p>
    <w:p w14:paraId="147B6ED3" w14:textId="77777777" w:rsidR="00E2419D" w:rsidRPr="006E3C69" w:rsidRDefault="00E2419D" w:rsidP="00E2419D">
      <w:pPr>
        <w:rPr>
          <w:vanish/>
        </w:rPr>
      </w:pPr>
      <w:bookmarkStart w:id="4" w:name="PE"/>
      <w:r w:rsidRPr="006E3C69">
        <w:rPr>
          <w:vanish/>
        </w:rPr>
        <w:t>PE770.241</w:t>
      </w:r>
      <w:bookmarkEnd w:id="4"/>
    </w:p>
    <w:p w14:paraId="4829960B" w14:textId="12E5C29D" w:rsidR="00E2419D" w:rsidRPr="006E3C69" w:rsidRDefault="00E2419D" w:rsidP="00E2419D">
      <w:pPr>
        <w:pStyle w:val="ATHeading3"/>
      </w:pPr>
      <w:bookmarkStart w:id="5" w:name="Sujet"/>
      <w:r w:rsidRPr="006E3C69">
        <w:t xml:space="preserve">Decyzja Parlamentu Europejskiego z dnia </w:t>
      </w:r>
      <w:r w:rsidR="00CF468A">
        <w:t>7 października</w:t>
      </w:r>
      <w:r w:rsidRPr="006E3C69">
        <w:t xml:space="preserve"> 2025 r. w sprawie wniosku o uchylenie immunitetu </w:t>
      </w:r>
      <w:proofErr w:type="spellStart"/>
      <w:r w:rsidRPr="006E3C69">
        <w:t>Pétera</w:t>
      </w:r>
      <w:proofErr w:type="spellEnd"/>
      <w:r w:rsidRPr="006E3C69">
        <w:t xml:space="preserve"> </w:t>
      </w:r>
      <w:proofErr w:type="spellStart"/>
      <w:r w:rsidRPr="006E3C69">
        <w:t>Magyara</w:t>
      </w:r>
      <w:bookmarkEnd w:id="5"/>
      <w:proofErr w:type="spellEnd"/>
      <w:r w:rsidRPr="006E3C69">
        <w:t xml:space="preserve"> </w:t>
      </w:r>
      <w:bookmarkStart w:id="6" w:name="References"/>
      <w:r w:rsidRPr="006E3C69">
        <w:t>(2024/2063(IMM))</w:t>
      </w:r>
      <w:bookmarkEnd w:id="6"/>
    </w:p>
    <w:p w14:paraId="1822F511" w14:textId="77777777" w:rsidR="008E27A8" w:rsidRPr="006E3C69" w:rsidRDefault="008E27A8" w:rsidP="008E27A8">
      <w:pPr>
        <w:pStyle w:val="EPComma"/>
      </w:pPr>
      <w:bookmarkStart w:id="7" w:name="TextBodyBegin"/>
      <w:bookmarkEnd w:id="7"/>
      <w:r w:rsidRPr="006E3C69">
        <w:rPr>
          <w:i/>
        </w:rPr>
        <w:t>Parlament Europejski</w:t>
      </w:r>
      <w:r w:rsidRPr="006E3C69">
        <w:t>,</w:t>
      </w:r>
    </w:p>
    <w:p w14:paraId="1020594E" w14:textId="2DF63D4E" w:rsidR="008E27A8" w:rsidRPr="006E3C69" w:rsidRDefault="008E27A8" w:rsidP="008E27A8">
      <w:pPr>
        <w:pStyle w:val="NormalHanging12a"/>
      </w:pPr>
      <w:r w:rsidRPr="006E3C69">
        <w:t>–</w:t>
      </w:r>
      <w:r w:rsidRPr="006E3C69">
        <w:tab/>
        <w:t xml:space="preserve">uwzględniając wniosek z 26 września 2024 r. o uchylenie immunitetu </w:t>
      </w:r>
      <w:proofErr w:type="spellStart"/>
      <w:r w:rsidRPr="006E3C69">
        <w:t>Pétera</w:t>
      </w:r>
      <w:proofErr w:type="spellEnd"/>
      <w:r w:rsidRPr="006E3C69">
        <w:t xml:space="preserve"> </w:t>
      </w:r>
      <w:proofErr w:type="spellStart"/>
      <w:r w:rsidRPr="006E3C69">
        <w:t>Magyara</w:t>
      </w:r>
      <w:proofErr w:type="spellEnd"/>
      <w:r w:rsidRPr="006E3C69">
        <w:t xml:space="preserve">, złożony przez Prokuratora Generalnego Węgier w związku z postępowaniem karnym wszczętym przeciwko </w:t>
      </w:r>
      <w:r w:rsidR="00CF468A">
        <w:t>niemu</w:t>
      </w:r>
      <w:r w:rsidRPr="006E3C69">
        <w:t xml:space="preserve"> i ogłoszony na posiedzeniu plenarnym 10 października 2024 r.,</w:t>
      </w:r>
    </w:p>
    <w:p w14:paraId="440ECDCB" w14:textId="77777777" w:rsidR="008E27A8" w:rsidRPr="006E3C69" w:rsidRDefault="008E27A8" w:rsidP="008E27A8">
      <w:pPr>
        <w:pStyle w:val="NormalHanging12a"/>
        <w:widowControl/>
      </w:pPr>
      <w:r w:rsidRPr="006E3C69">
        <w:t>–</w:t>
      </w:r>
      <w:r w:rsidRPr="006E3C69">
        <w:tab/>
        <w:t xml:space="preserve">po wysłuchaniu wyjaśnień </w:t>
      </w:r>
      <w:proofErr w:type="spellStart"/>
      <w:r w:rsidRPr="006E3C69">
        <w:t>Pétera</w:t>
      </w:r>
      <w:proofErr w:type="spellEnd"/>
      <w:r w:rsidRPr="006E3C69">
        <w:t xml:space="preserve"> </w:t>
      </w:r>
      <w:proofErr w:type="spellStart"/>
      <w:r w:rsidRPr="006E3C69">
        <w:t>Magyara</w:t>
      </w:r>
      <w:proofErr w:type="spellEnd"/>
      <w:r w:rsidRPr="006E3C69">
        <w:t xml:space="preserve"> 24 czerwca 2025 r., zgodnie z art. 9 ust. 6 Regulaminu,</w:t>
      </w:r>
    </w:p>
    <w:p w14:paraId="06F9B107" w14:textId="77777777" w:rsidR="008E27A8" w:rsidRPr="006E3C69" w:rsidRDefault="008E27A8" w:rsidP="008E27A8">
      <w:pPr>
        <w:pStyle w:val="NormalHanging12a"/>
        <w:widowControl/>
      </w:pPr>
      <w:r w:rsidRPr="006E3C69">
        <w:t>–</w:t>
      </w:r>
      <w:r w:rsidRPr="006E3C69">
        <w:tab/>
        <w:t>uwzględniając dodatkowe informacje przedstawione przez Prokuratora Generalnego Węgier,</w:t>
      </w:r>
    </w:p>
    <w:p w14:paraId="34090993" w14:textId="77777777" w:rsidR="008E27A8" w:rsidRPr="006E3C69" w:rsidRDefault="008E27A8" w:rsidP="008E27A8">
      <w:pPr>
        <w:pStyle w:val="NormalHanging12a"/>
        <w:widowControl/>
      </w:pPr>
      <w:r w:rsidRPr="006E3C69">
        <w:t>–</w:t>
      </w:r>
      <w:r w:rsidRPr="006E3C69">
        <w:tab/>
        <w:t>uwzględniając art. 8 i 9 protokołu nr 7 w sprawie przywilejów i immunitetów Unii Europejskiej, jak również art. 6 ust. 2 aktu dotyczącego wyboru członków Parlamentu Europejskiego w powszechnych wyborach bezpośrednich z dnia 20 września 1976 r.,</w:t>
      </w:r>
    </w:p>
    <w:p w14:paraId="59C11070" w14:textId="77777777" w:rsidR="008E27A8" w:rsidRPr="006E3C69" w:rsidRDefault="008E27A8" w:rsidP="008E27A8">
      <w:pPr>
        <w:pStyle w:val="NormalHanging12a"/>
        <w:widowControl/>
      </w:pPr>
      <w:r w:rsidRPr="006E3C69">
        <w:t>–</w:t>
      </w:r>
      <w:r w:rsidRPr="006E3C69">
        <w:tab/>
        <w:t xml:space="preserve">uwzględniając art. </w:t>
      </w:r>
      <w:r w:rsidRPr="006E3C69">
        <w:rPr>
          <w:color w:val="000000"/>
          <w:shd w:val="clear" w:color="auto" w:fill="FFFFFF"/>
        </w:rPr>
        <w:t>4 ust. 2 węgierskiej ustawy zasadniczej</w:t>
      </w:r>
      <w:r w:rsidRPr="006E3C69">
        <w:t>,</w:t>
      </w:r>
    </w:p>
    <w:p w14:paraId="5EA06FD4" w14:textId="77777777" w:rsidR="008E27A8" w:rsidRPr="006E3C69" w:rsidRDefault="008E27A8" w:rsidP="008E27A8">
      <w:pPr>
        <w:pStyle w:val="NormalHanging12a"/>
        <w:widowControl/>
      </w:pPr>
      <w:r w:rsidRPr="006E3C69">
        <w:t>–</w:t>
      </w:r>
      <w:r w:rsidRPr="006E3C69">
        <w:tab/>
        <w:t>uwzględniając wyroki wydane przez Trybunał Sprawiedliwości Unii Europejskiej w dniach 21 października 2008 r., 19 marca 2010 r., 6 września 2011 r., 17 stycznia 2013 r., 19 grudnia 2019 r. i 5 lipca 2023 r.</w:t>
      </w:r>
      <w:r w:rsidRPr="006E3C69">
        <w:rPr>
          <w:rStyle w:val="FootnoteReference"/>
          <w:color w:val="000000"/>
        </w:rPr>
        <w:footnoteReference w:id="1"/>
      </w:r>
      <w:r w:rsidRPr="006E3C69">
        <w:t>,</w:t>
      </w:r>
    </w:p>
    <w:p w14:paraId="4BEEFB5F" w14:textId="77777777" w:rsidR="008E27A8" w:rsidRPr="006E3C69" w:rsidRDefault="008E27A8" w:rsidP="008E27A8">
      <w:pPr>
        <w:pStyle w:val="NormalHanging12a"/>
        <w:widowControl/>
      </w:pPr>
      <w:r w:rsidRPr="006E3C69">
        <w:lastRenderedPageBreak/>
        <w:t>–</w:t>
      </w:r>
      <w:r w:rsidRPr="006E3C69">
        <w:tab/>
        <w:t>uwzględniając art. 5 ust. 2, art. 6 ust. 1 oraz art. 9 Regulaminu,</w:t>
      </w:r>
    </w:p>
    <w:p w14:paraId="2A2E3FCF" w14:textId="77777777" w:rsidR="008E27A8" w:rsidRPr="006E3C69" w:rsidRDefault="008E27A8" w:rsidP="008E27A8">
      <w:pPr>
        <w:pStyle w:val="NormalHanging12a"/>
        <w:widowControl/>
      </w:pPr>
      <w:r w:rsidRPr="006E3C69">
        <w:t>–</w:t>
      </w:r>
      <w:r w:rsidRPr="006E3C69">
        <w:tab/>
        <w:t>uwzględniając sprawozdanie Komisji Prawnej (A10-0180/2025),</w:t>
      </w:r>
    </w:p>
    <w:p w14:paraId="4B52A8F0" w14:textId="69D6C28E" w:rsidR="008E27A8" w:rsidRPr="006E3C69" w:rsidRDefault="008E27A8" w:rsidP="008E27A8">
      <w:pPr>
        <w:pStyle w:val="NormalHanging12a"/>
        <w:widowControl/>
      </w:pPr>
      <w:r w:rsidRPr="006E3C69">
        <w:t>A.</w:t>
      </w:r>
      <w:r w:rsidRPr="006E3C69">
        <w:tab/>
        <w:t xml:space="preserve">mając na uwadze, że </w:t>
      </w:r>
      <w:r w:rsidR="00CF468A">
        <w:t xml:space="preserve">26 września 2024 r. </w:t>
      </w:r>
      <w:r w:rsidRPr="006E3C69">
        <w:t xml:space="preserve">Prokurator Generalny Węgier złożył wniosek o uchylenie immunitetu </w:t>
      </w:r>
      <w:proofErr w:type="spellStart"/>
      <w:r w:rsidRPr="006E3C69">
        <w:t>Pétera</w:t>
      </w:r>
      <w:proofErr w:type="spellEnd"/>
      <w:r w:rsidRPr="006E3C69">
        <w:t xml:space="preserve"> </w:t>
      </w:r>
      <w:proofErr w:type="spellStart"/>
      <w:r w:rsidRPr="006E3C69">
        <w:t>Magyara</w:t>
      </w:r>
      <w:proofErr w:type="spellEnd"/>
      <w:r w:rsidRPr="006E3C69">
        <w:t>, posła do Parlamentu Europejskiego</w:t>
      </w:r>
      <w:r w:rsidR="009E66BD">
        <w:t xml:space="preserve"> </w:t>
      </w:r>
      <w:r w:rsidR="006718C6" w:rsidRPr="001149C3">
        <w:t>wybranego z Węgier</w:t>
      </w:r>
      <w:r w:rsidRPr="006E3C69">
        <w:t>, w związku z oskarżeniami o kradzież przedmiotu o niskiej wartości na podstawie sekcji 370 ust. 1 i sekcji 370 ust. 2 lit. a) ustawy C z 2012 r. (węgierski kodeks karny);</w:t>
      </w:r>
    </w:p>
    <w:p w14:paraId="3D27D6A1" w14:textId="77777777" w:rsidR="008E27A8" w:rsidRPr="006E3C69" w:rsidRDefault="008E27A8" w:rsidP="008E27A8">
      <w:pPr>
        <w:pStyle w:val="BodyText"/>
        <w:shd w:val="clear" w:color="auto" w:fill="auto"/>
        <w:ind w:left="567" w:hanging="567"/>
        <w:jc w:val="left"/>
      </w:pPr>
      <w:r w:rsidRPr="006E3C69">
        <w:rPr>
          <w:shd w:val="clear" w:color="auto" w:fill="FFFFFF"/>
        </w:rPr>
        <w:t>B.</w:t>
      </w:r>
      <w:r w:rsidRPr="006E3C69">
        <w:rPr>
          <w:shd w:val="clear" w:color="auto" w:fill="FFFFFF"/>
        </w:rPr>
        <w:tab/>
      </w:r>
      <w:r w:rsidRPr="006E3C69">
        <w:t xml:space="preserve">mając na uwadze, że zgodnie z opisem przedstawionym w tym wniosku 21 czerwca 2024 r. </w:t>
      </w:r>
      <w:proofErr w:type="spellStart"/>
      <w:r w:rsidRPr="006E3C69">
        <w:t>Péter</w:t>
      </w:r>
      <w:proofErr w:type="spellEnd"/>
      <w:r w:rsidRPr="006E3C69">
        <w:t xml:space="preserve"> </w:t>
      </w:r>
      <w:proofErr w:type="spellStart"/>
      <w:r w:rsidRPr="006E3C69">
        <w:t>Magyar</w:t>
      </w:r>
      <w:proofErr w:type="spellEnd"/>
      <w:r w:rsidRPr="006E3C69">
        <w:t xml:space="preserve"> bawił się w jednym z klubów w Budapeszcie, gdzie został rozpoznany przez pokrzywdzonego, który nagrał go telefonem; mając na uwadze, że – jak opisano we wniosku – między </w:t>
      </w:r>
      <w:proofErr w:type="spellStart"/>
      <w:r w:rsidRPr="006E3C69">
        <w:t>Péterem</w:t>
      </w:r>
      <w:proofErr w:type="spellEnd"/>
      <w:r w:rsidRPr="006E3C69">
        <w:t xml:space="preserve"> </w:t>
      </w:r>
      <w:proofErr w:type="spellStart"/>
      <w:r w:rsidRPr="006E3C69">
        <w:t>Magyarem</w:t>
      </w:r>
      <w:proofErr w:type="spellEnd"/>
      <w:r w:rsidRPr="006E3C69">
        <w:t xml:space="preserve"> a pokrzywdzonym doszło do szarpaniny, w czasie której </w:t>
      </w:r>
      <w:proofErr w:type="spellStart"/>
      <w:r w:rsidRPr="006E3C69">
        <w:t>Péter</w:t>
      </w:r>
      <w:proofErr w:type="spellEnd"/>
      <w:r w:rsidRPr="006E3C69">
        <w:t xml:space="preserve"> </w:t>
      </w:r>
      <w:proofErr w:type="spellStart"/>
      <w:r w:rsidRPr="006E3C69">
        <w:t>Magyar</w:t>
      </w:r>
      <w:proofErr w:type="spellEnd"/>
      <w:r w:rsidRPr="006E3C69">
        <w:t xml:space="preserve"> wyrwał telefon z ręki pokrzywdzonego, aby zatrzymać nagrywanie, po czym włożył ten telefon do swojej kieszeni i odszedł; mając na uwadze, że między obydwoma panami doszło do ponownej sprzeczki, która zakończyła się wyproszeniem ich z klubu przez pracowników ochrony; mając na uwadze, że pomimo próśb pokrzywdzonego o zwrot telefonu </w:t>
      </w:r>
      <w:proofErr w:type="spellStart"/>
      <w:r w:rsidRPr="006E3C69">
        <w:t>Péter</w:t>
      </w:r>
      <w:proofErr w:type="spellEnd"/>
      <w:r w:rsidRPr="006E3C69">
        <w:t xml:space="preserve"> </w:t>
      </w:r>
      <w:proofErr w:type="spellStart"/>
      <w:r w:rsidRPr="006E3C69">
        <w:t>Magyar</w:t>
      </w:r>
      <w:proofErr w:type="spellEnd"/>
      <w:r w:rsidRPr="006E3C69">
        <w:t xml:space="preserve"> wrzucił telefon pokrzywdzonego do Dunaju;</w:t>
      </w:r>
    </w:p>
    <w:p w14:paraId="3C61B75B" w14:textId="77777777" w:rsidR="008E27A8" w:rsidRPr="006E3C69" w:rsidRDefault="008E27A8" w:rsidP="008E27A8">
      <w:pPr>
        <w:pStyle w:val="NormalHanging12a"/>
        <w:widowControl/>
      </w:pPr>
      <w:r w:rsidRPr="006E3C69">
        <w:t>C.</w:t>
      </w:r>
      <w:r w:rsidRPr="006E3C69">
        <w:tab/>
        <w:t>mając na uwadze, że – jak opisano we wniosku – policyjni nurkowie wezwani na miejsce zdarzenia wyłowili telefon (o wartości około 130-150 tysięcy forintów) z Dunaju i zwrócili go pokrzywdzonemu, przy czym telefon był wciąż sprawny;</w:t>
      </w:r>
    </w:p>
    <w:p w14:paraId="0BC3E1DF" w14:textId="77777777" w:rsidR="008E27A8" w:rsidRPr="006E3C69" w:rsidRDefault="008E27A8" w:rsidP="008E27A8">
      <w:pPr>
        <w:pStyle w:val="NormalHanging12a"/>
        <w:widowControl/>
      </w:pPr>
      <w:r w:rsidRPr="006E3C69">
        <w:t>D.</w:t>
      </w:r>
      <w:r w:rsidRPr="006E3C69">
        <w:tab/>
      </w:r>
      <w:r w:rsidRPr="006E3C69">
        <w:rPr>
          <w:shd w:val="clear" w:color="auto" w:fill="FFFFFF"/>
        </w:rPr>
        <w:t>mając na uwadze, że</w:t>
      </w:r>
      <w:r w:rsidRPr="006E3C69">
        <w:t xml:space="preserve"> </w:t>
      </w:r>
      <w:proofErr w:type="spellStart"/>
      <w:r w:rsidRPr="006E3C69">
        <w:rPr>
          <w:shd w:val="clear" w:color="auto" w:fill="FFFFFF"/>
        </w:rPr>
        <w:t>Péter</w:t>
      </w:r>
      <w:proofErr w:type="spellEnd"/>
      <w:r w:rsidRPr="006E3C69">
        <w:rPr>
          <w:shd w:val="clear" w:color="auto" w:fill="FFFFFF"/>
        </w:rPr>
        <w:t xml:space="preserve"> </w:t>
      </w:r>
      <w:proofErr w:type="spellStart"/>
      <w:r w:rsidRPr="006E3C69">
        <w:rPr>
          <w:shd w:val="clear" w:color="auto" w:fill="FFFFFF"/>
        </w:rPr>
        <w:t>Magyar</w:t>
      </w:r>
      <w:proofErr w:type="spellEnd"/>
      <w:r w:rsidRPr="006E3C69">
        <w:rPr>
          <w:shd w:val="clear" w:color="auto" w:fill="FFFFFF"/>
        </w:rPr>
        <w:t xml:space="preserve"> został wybrany na posła do Parlamentu Europejskiego w wyborach w czerwcu 2024 r.</w:t>
      </w:r>
      <w:r w:rsidRPr="006E3C69">
        <w:t xml:space="preserve">; mając na uwadze, że </w:t>
      </w:r>
      <w:r w:rsidRPr="006E3C69">
        <w:rPr>
          <w:shd w:val="clear" w:color="auto" w:fill="FFFFFF"/>
        </w:rPr>
        <w:t xml:space="preserve">14 czerwca 2024 r. władze węgierskie ogłosiły wyniki wyborów europejskich na Węgrzech, w tym oficjalnie potwierdziły wybór </w:t>
      </w:r>
      <w:proofErr w:type="spellStart"/>
      <w:r w:rsidRPr="006E3C69">
        <w:t>Pétera</w:t>
      </w:r>
      <w:proofErr w:type="spellEnd"/>
      <w:r w:rsidRPr="006E3C69">
        <w:t xml:space="preserve"> </w:t>
      </w:r>
      <w:proofErr w:type="spellStart"/>
      <w:r w:rsidRPr="006E3C69">
        <w:t>Magyara</w:t>
      </w:r>
      <w:proofErr w:type="spellEnd"/>
      <w:r w:rsidRPr="006E3C69">
        <w:rPr>
          <w:shd w:val="clear" w:color="auto" w:fill="FFFFFF"/>
        </w:rPr>
        <w:t xml:space="preserve"> do Parlamentu Europejskiego; mając na uwadze, że w związku z tym </w:t>
      </w:r>
      <w:proofErr w:type="spellStart"/>
      <w:r w:rsidRPr="006E3C69">
        <w:t>Péter</w:t>
      </w:r>
      <w:proofErr w:type="spellEnd"/>
      <w:r w:rsidRPr="006E3C69">
        <w:t xml:space="preserve"> </w:t>
      </w:r>
      <w:proofErr w:type="spellStart"/>
      <w:r w:rsidRPr="006E3C69">
        <w:t>Magyar</w:t>
      </w:r>
      <w:proofErr w:type="spellEnd"/>
      <w:r w:rsidRPr="006E3C69">
        <w:rPr>
          <w:shd w:val="clear" w:color="auto" w:fill="FFFFFF"/>
        </w:rPr>
        <w:t xml:space="preserve"> był posłem do Parlamentu Europejskiego w czasie, kiedy doszło do zarzucanego wykroczenia, a właściwe organy prowadziły czynności śledcze;</w:t>
      </w:r>
    </w:p>
    <w:p w14:paraId="74BCEA3F" w14:textId="77777777" w:rsidR="008E27A8" w:rsidRPr="006E3C69" w:rsidRDefault="008E27A8" w:rsidP="008E27A8">
      <w:pPr>
        <w:pStyle w:val="NormalHanging12a"/>
        <w:widowControl/>
      </w:pPr>
      <w:r w:rsidRPr="006E3C69">
        <w:t>E.</w:t>
      </w:r>
      <w:r w:rsidRPr="006E3C69">
        <w:tab/>
        <w:t xml:space="preserve">mając na uwadze, że zarzucany czyn i późniejszy wniosek o uchylenie immunitetu nie dotyczą opinii wyrażonej przez </w:t>
      </w:r>
      <w:proofErr w:type="spellStart"/>
      <w:r w:rsidRPr="006E3C69">
        <w:t>Pétera</w:t>
      </w:r>
      <w:proofErr w:type="spellEnd"/>
      <w:r w:rsidRPr="006E3C69">
        <w:t xml:space="preserve"> </w:t>
      </w:r>
      <w:proofErr w:type="spellStart"/>
      <w:r w:rsidRPr="006E3C69">
        <w:t>Magyara</w:t>
      </w:r>
      <w:proofErr w:type="spellEnd"/>
      <w:r w:rsidRPr="006E3C69">
        <w:t xml:space="preserve"> ani stanowiska zajętego przez niego w głosowaniu w czasie wykonywania obowiązków służbowych w rozumieniu art. 8 Protokołu nr 7 w sprawie przywilejów i immunitetów Unii Europejskiej;</w:t>
      </w:r>
    </w:p>
    <w:p w14:paraId="0E73629C" w14:textId="77777777" w:rsidR="008E27A8" w:rsidRPr="006E3C69" w:rsidRDefault="008E27A8" w:rsidP="008E27A8">
      <w:pPr>
        <w:pStyle w:val="NormalHanging12a"/>
        <w:widowControl/>
      </w:pPr>
      <w:r w:rsidRPr="006E3C69">
        <w:t>F.</w:t>
      </w:r>
      <w:r w:rsidRPr="006E3C69">
        <w:tab/>
        <w:t>mając na uwadze, że zgodnie z art. 9 akapit pierwszy lit. a) protokołu nr 7 w sprawie przywilejów i immunitetów Unii Europejskiej posłowie do Parlamentu Europejskiego korzystają na terytorium swoich państw z immunitetów przyznawanych członkom parlamentu ich państwa;</w:t>
      </w:r>
    </w:p>
    <w:p w14:paraId="7B9AA78D" w14:textId="2354F04A" w:rsidR="008E27A8" w:rsidRPr="006E3C69" w:rsidRDefault="008E27A8" w:rsidP="008E27A8">
      <w:pPr>
        <w:pStyle w:val="NormalHanging12a"/>
        <w:widowControl/>
      </w:pPr>
      <w:r w:rsidRPr="006E3C69">
        <w:t>G.</w:t>
      </w:r>
      <w:r w:rsidRPr="006E3C69">
        <w:tab/>
        <w:t xml:space="preserve">mając na uwadze, że </w:t>
      </w:r>
      <w:r w:rsidRPr="006E3C69">
        <w:rPr>
          <w:color w:val="000000"/>
          <w:shd w:val="clear" w:color="auto" w:fill="FFFFFF"/>
        </w:rPr>
        <w:t>zgodnie z art. 4 ust. 2 węgierskiej ustawy zasadniczej posłom do węgierskiego parlamentu przysługuje immunitet; mając na uwadze, że zgodnie z sekcją 79 ust. 2 ustawy nr XXXVI z 2012 r. o Zgromadzeniu Narodowym</w:t>
      </w:r>
      <w:r w:rsidRPr="006E3C69">
        <w:t xml:space="preserve"> osobie prawomocnie zarejestrowanej jako kandydat przysługuje taki sam immunitet jak posłom do czasu, gdy wynik wyborów stanie się ostateczny i wiążący, oraz mając na uwadze, że w każdym przypadku zgodnie z sekcją 79 ust. 1 tej ustawy posłom przysługuje immunitet od dnia ich wyboru; </w:t>
      </w:r>
      <w:r w:rsidRPr="006E3C69">
        <w:rPr>
          <w:color w:val="000000"/>
          <w:shd w:val="clear" w:color="auto" w:fill="FFFFFF"/>
        </w:rPr>
        <w:t xml:space="preserve">mając na uwadze, że zgodnie z sekcją 74 ust. 1 węgierskiej ustawy nr XXXVI z 2012 r. o Zgromadzeniu Narodowym, można wszcząć </w:t>
      </w:r>
      <w:r w:rsidRPr="006E3C69">
        <w:rPr>
          <w:color w:val="000000"/>
          <w:shd w:val="clear" w:color="auto" w:fill="FFFFFF"/>
        </w:rPr>
        <w:lastRenderedPageBreak/>
        <w:t xml:space="preserve">lub prowadzić postępowanie karne lub – w przypadku immunitetu, którego w danej sprawie nie można się zrzec – postępowanie w sprawie o wykroczenie oraz zastosować środki przymusu </w:t>
      </w:r>
      <w:r w:rsidR="00E34E4F">
        <w:rPr>
          <w:color w:val="000000"/>
          <w:shd w:val="clear" w:color="auto" w:fill="FFFFFF"/>
        </w:rPr>
        <w:t xml:space="preserve">w ramach postępowania karnego </w:t>
      </w:r>
      <w:r w:rsidRPr="006E3C69">
        <w:rPr>
          <w:color w:val="000000"/>
          <w:shd w:val="clear" w:color="auto" w:fill="FFFFFF"/>
        </w:rPr>
        <w:t>wobec posła tylko za uprzednią zgodą Zgromadzenia Narodowego;</w:t>
      </w:r>
    </w:p>
    <w:p w14:paraId="771AC4DB" w14:textId="77777777" w:rsidR="008E27A8" w:rsidRPr="006E3C69" w:rsidRDefault="008E27A8" w:rsidP="008E27A8">
      <w:pPr>
        <w:pStyle w:val="NormalHanging12a"/>
        <w:widowControl/>
      </w:pPr>
      <w:r w:rsidRPr="006E3C69">
        <w:t>H.</w:t>
      </w:r>
      <w:r w:rsidRPr="006E3C69">
        <w:tab/>
        <w:t>mając na uwadze, że zgodnie z art. 5 ust. 2 Regulaminu immunitet parlamentarny nie jest osobistym przywilejem posła, lecz gwarancją niezależności Parlamentu Europejskiego jako całości oraz jego członków;</w:t>
      </w:r>
    </w:p>
    <w:p w14:paraId="58FEF07B" w14:textId="77777777" w:rsidR="008E27A8" w:rsidRPr="006E3C69" w:rsidRDefault="008E27A8" w:rsidP="008E27A8">
      <w:pPr>
        <w:widowControl/>
        <w:ind w:left="567" w:hanging="567"/>
      </w:pPr>
      <w:r w:rsidRPr="006E3C69">
        <w:t>I.</w:t>
      </w:r>
      <w:r w:rsidRPr="006E3C69">
        <w:tab/>
        <w:t xml:space="preserve">mając na uwadze, że immunitet parlamentarny, o którym mowa w protokole nr 7 w sprawie przywilejów i immunitetów Unii Europejskiej, ma chronić Parlament i posłów do niego przed postępowaniami sądowymi w związku z działaniami podejmowanymi w ramach wykonywania obowiązków parlamentarnych i niemożliwych do oddzielenia od tych obowiązków; </w:t>
      </w:r>
    </w:p>
    <w:p w14:paraId="475C8051" w14:textId="77777777" w:rsidR="008E27A8" w:rsidRPr="006E3C69" w:rsidRDefault="008E27A8" w:rsidP="008E27A8">
      <w:pPr>
        <w:widowControl/>
        <w:ind w:left="567" w:hanging="567"/>
        <w:rPr>
          <w:szCs w:val="24"/>
        </w:rPr>
      </w:pPr>
    </w:p>
    <w:p w14:paraId="42B370E7" w14:textId="77777777" w:rsidR="008E27A8" w:rsidRPr="006E3C69" w:rsidRDefault="008E27A8" w:rsidP="008E27A8">
      <w:pPr>
        <w:pStyle w:val="NormalHanging12a"/>
      </w:pPr>
      <w:r w:rsidRPr="006E3C69">
        <w:t>J.</w:t>
      </w:r>
      <w:r w:rsidRPr="006E3C69">
        <w:tab/>
        <w:t>mając na uwadze, że z orzecznictwa Trybunału Sprawiedliwości Unii Europejskiej wynika, iż Parlament dysponuje „bardzo szerokim zakresem uznania co do kierunku, jaki zamierza nadać decyzji w następstwie wniosku o uchylenie immunitetu [...], ze względu na polityczny charakter takiej decyzji”</w:t>
      </w:r>
      <w:r w:rsidRPr="006E3C69">
        <w:rPr>
          <w:vertAlign w:val="superscript"/>
        </w:rPr>
        <w:footnoteReference w:id="2"/>
      </w:r>
      <w:r w:rsidRPr="006E3C69">
        <w:t>;</w:t>
      </w:r>
    </w:p>
    <w:p w14:paraId="78FF20B6" w14:textId="70D64180" w:rsidR="008E27A8" w:rsidRPr="006E3C69" w:rsidRDefault="008E27A8" w:rsidP="008E27A8">
      <w:pPr>
        <w:pStyle w:val="NormalHanging12a"/>
      </w:pPr>
      <w:r w:rsidRPr="006E3C69">
        <w:t xml:space="preserve">K. </w:t>
      </w:r>
      <w:r w:rsidRPr="006E3C69">
        <w:tab/>
        <w:t xml:space="preserve">mając na uwadze, że </w:t>
      </w:r>
      <w:proofErr w:type="spellStart"/>
      <w:r w:rsidRPr="006E3C69">
        <w:t>Péter</w:t>
      </w:r>
      <w:proofErr w:type="spellEnd"/>
      <w:r w:rsidRPr="006E3C69">
        <w:t xml:space="preserve"> </w:t>
      </w:r>
      <w:proofErr w:type="spellStart"/>
      <w:r w:rsidRPr="006E3C69">
        <w:t>Magyar</w:t>
      </w:r>
      <w:proofErr w:type="spellEnd"/>
      <w:r w:rsidRPr="006E3C69">
        <w:t xml:space="preserve"> jest przewodniczącym partii </w:t>
      </w:r>
      <w:proofErr w:type="spellStart"/>
      <w:r w:rsidRPr="006E3C69">
        <w:t>Tisza</w:t>
      </w:r>
      <w:proofErr w:type="spellEnd"/>
      <w:r w:rsidRPr="006E3C69">
        <w:t xml:space="preserve"> (</w:t>
      </w:r>
      <w:proofErr w:type="spellStart"/>
      <w:r w:rsidRPr="006E3C69">
        <w:t>Tisztelet</w:t>
      </w:r>
      <w:proofErr w:type="spellEnd"/>
      <w:r w:rsidRPr="006E3C69">
        <w:t xml:space="preserve"> </w:t>
      </w:r>
      <w:proofErr w:type="spellStart"/>
      <w:r w:rsidRPr="006E3C69">
        <w:t>és</w:t>
      </w:r>
      <w:proofErr w:type="spellEnd"/>
      <w:r w:rsidRPr="006E3C69">
        <w:t xml:space="preserve"> </w:t>
      </w:r>
      <w:proofErr w:type="spellStart"/>
      <w:r w:rsidRPr="006E3C69">
        <w:t>Szabadság</w:t>
      </w:r>
      <w:proofErr w:type="spellEnd"/>
      <w:r w:rsidRPr="006E3C69">
        <w:t xml:space="preserve"> </w:t>
      </w:r>
      <w:proofErr w:type="spellStart"/>
      <w:r w:rsidRPr="006E3C69">
        <w:t>Párt</w:t>
      </w:r>
      <w:proofErr w:type="spellEnd"/>
      <w:r w:rsidRPr="006E3C69">
        <w:t xml:space="preserve">), a także głównym kandydatem tej partii w wyborach europejskich w 2024 r.; mając na uwadze, że </w:t>
      </w:r>
      <w:proofErr w:type="spellStart"/>
      <w:r w:rsidRPr="006E3C69">
        <w:t>Péter</w:t>
      </w:r>
      <w:proofErr w:type="spellEnd"/>
      <w:r w:rsidRPr="006E3C69">
        <w:t xml:space="preserve"> </w:t>
      </w:r>
      <w:proofErr w:type="spellStart"/>
      <w:r w:rsidRPr="006E3C69">
        <w:t>Magyar</w:t>
      </w:r>
      <w:proofErr w:type="spellEnd"/>
      <w:r w:rsidRPr="006E3C69">
        <w:t xml:space="preserve"> jest zdecydowanym przeciwnikiem polityki i stanowiska rządu węgierskiego, w tym w odniesieniu do Unii; mając na uwadze, że fakty leżące u podstaw wniosku o uchylenie immunitetu, niespójności w sposobie prowadzenia dochodzeń policyjnych, w tym niepełna odpowiedź prokuratora </w:t>
      </w:r>
      <w:r w:rsidR="00E34E4F">
        <w:t>generalnego Węgier</w:t>
      </w:r>
      <w:r w:rsidR="00E34E4F" w:rsidRPr="006E3C69">
        <w:t xml:space="preserve"> </w:t>
      </w:r>
      <w:r w:rsidRPr="006E3C69">
        <w:t xml:space="preserve">dotycząca proporcjonalności działań podjętych przez władze w sprawie </w:t>
      </w:r>
      <w:proofErr w:type="spellStart"/>
      <w:r w:rsidRPr="006E3C69">
        <w:t>Pétera</w:t>
      </w:r>
      <w:proofErr w:type="spellEnd"/>
      <w:r w:rsidRPr="006E3C69">
        <w:t xml:space="preserve"> </w:t>
      </w:r>
      <w:proofErr w:type="spellStart"/>
      <w:r w:rsidRPr="006E3C69">
        <w:t>Magyara</w:t>
      </w:r>
      <w:proofErr w:type="spellEnd"/>
      <w:r w:rsidRPr="006E3C69">
        <w:t xml:space="preserve"> w porównaniu z podobnymi sytuacjami dotyczącymi przedmiotów o niewielkiej wartości, a także brak jasności w odpowiedzi właściwych organów dotyczącej kwalifikacji prawnej domniemanego czynu zabronionego, o które oskarżono </w:t>
      </w:r>
      <w:proofErr w:type="spellStart"/>
      <w:r w:rsidRPr="006E3C69">
        <w:t>Pétera</w:t>
      </w:r>
      <w:proofErr w:type="spellEnd"/>
      <w:r w:rsidRPr="006E3C69">
        <w:t xml:space="preserve"> </w:t>
      </w:r>
      <w:proofErr w:type="spellStart"/>
      <w:r w:rsidRPr="006E3C69">
        <w:t>Magyara</w:t>
      </w:r>
      <w:proofErr w:type="spellEnd"/>
      <w:r w:rsidRPr="006E3C69">
        <w:t>, rodzą obawy, że celem postępowania mogło być nadszarpnięcie reputacji</w:t>
      </w:r>
      <w:r w:rsidR="00E34E4F" w:rsidRPr="00E34E4F">
        <w:t xml:space="preserve"> </w:t>
      </w:r>
      <w:proofErr w:type="spellStart"/>
      <w:r w:rsidR="00E34E4F" w:rsidRPr="006E3C69">
        <w:t>Pétera</w:t>
      </w:r>
      <w:proofErr w:type="spellEnd"/>
      <w:r w:rsidR="00E34E4F" w:rsidRPr="006E3C69">
        <w:t xml:space="preserve"> </w:t>
      </w:r>
      <w:proofErr w:type="spellStart"/>
      <w:r w:rsidR="00E34E4F" w:rsidRPr="006E3C69">
        <w:t>Magyara</w:t>
      </w:r>
      <w:proofErr w:type="spellEnd"/>
      <w:r w:rsidRPr="006E3C69">
        <w:t xml:space="preserve">; </w:t>
      </w:r>
    </w:p>
    <w:p w14:paraId="6E96DB4D" w14:textId="77777777" w:rsidR="008E27A8" w:rsidRPr="006E3C69" w:rsidRDefault="008E27A8" w:rsidP="008E27A8">
      <w:pPr>
        <w:pStyle w:val="NormalHanging12a"/>
      </w:pPr>
      <w:r w:rsidRPr="006E3C69">
        <w:t>L.</w:t>
      </w:r>
      <w:r w:rsidRPr="006E3C69">
        <w:tab/>
        <w:t xml:space="preserve">mając na uwadze, że w związku z tym wydaje się, iż w przedmiotowej sprawie istnieje </w:t>
      </w:r>
      <w:proofErr w:type="spellStart"/>
      <w:r w:rsidRPr="006E3C69">
        <w:t>fumus</w:t>
      </w:r>
      <w:proofErr w:type="spellEnd"/>
      <w:r w:rsidRPr="006E3C69">
        <w:t xml:space="preserve"> </w:t>
      </w:r>
      <w:proofErr w:type="spellStart"/>
      <w:r w:rsidRPr="006E3C69">
        <w:t>persecutionis</w:t>
      </w:r>
      <w:proofErr w:type="spellEnd"/>
      <w:r w:rsidRPr="006E3C69">
        <w:t>, tj. konkretne elementy</w:t>
      </w:r>
      <w:r w:rsidRPr="006E3C69">
        <w:rPr>
          <w:vertAlign w:val="superscript"/>
        </w:rPr>
        <w:footnoteReference w:id="3"/>
      </w:r>
      <w:r w:rsidRPr="006E3C69">
        <w:t xml:space="preserve"> wskazujące na to, że sprawę wniesiono do sądu z zamiarem zaszkodzenia działalności politycznej </w:t>
      </w:r>
      <w:proofErr w:type="spellStart"/>
      <w:r w:rsidRPr="006E3C69">
        <w:t>Pétera</w:t>
      </w:r>
      <w:proofErr w:type="spellEnd"/>
      <w:r w:rsidRPr="006E3C69">
        <w:t xml:space="preserve"> </w:t>
      </w:r>
      <w:proofErr w:type="spellStart"/>
      <w:r w:rsidRPr="006E3C69">
        <w:t>Magyara</w:t>
      </w:r>
      <w:proofErr w:type="spellEnd"/>
      <w:r w:rsidRPr="006E3C69">
        <w:t>, a zwłaszcza jego działalności jako posła do Parlamentu Europejskiego;</w:t>
      </w:r>
    </w:p>
    <w:p w14:paraId="2C681C79" w14:textId="77777777" w:rsidR="008E27A8" w:rsidRPr="006E3C69" w:rsidRDefault="008E27A8" w:rsidP="008E27A8">
      <w:pPr>
        <w:pStyle w:val="NormalHanging12a"/>
        <w:widowControl/>
      </w:pPr>
      <w:r w:rsidRPr="006E3C69">
        <w:t>M.</w:t>
      </w:r>
      <w:r w:rsidRPr="006E3C69">
        <w:tab/>
        <w:t>mając na uwadze, że, z jednej strony, Parlamentu nie można uznawać za sąd, a z drugiej – że posła nie można uznawać za „oskarżonego” w kontekście procedury uchylenia immunitetu</w:t>
      </w:r>
      <w:r w:rsidRPr="006E3C69">
        <w:rPr>
          <w:vertAlign w:val="superscript"/>
        </w:rPr>
        <w:footnoteReference w:id="4"/>
      </w:r>
      <w:r w:rsidRPr="006E3C69">
        <w:t>;</w:t>
      </w:r>
    </w:p>
    <w:p w14:paraId="31191F68" w14:textId="77777777" w:rsidR="008E27A8" w:rsidRPr="006E3C69" w:rsidRDefault="008E27A8" w:rsidP="008E27A8">
      <w:pPr>
        <w:pStyle w:val="NormalHanging12a"/>
      </w:pPr>
      <w:r w:rsidRPr="006E3C69">
        <w:t>1.</w:t>
      </w:r>
      <w:r w:rsidRPr="006E3C69">
        <w:tab/>
        <w:t xml:space="preserve">podejmuje decyzję o odmowie uchylenia immunitetu </w:t>
      </w:r>
      <w:proofErr w:type="spellStart"/>
      <w:r w:rsidRPr="006E3C69">
        <w:t>Pétera</w:t>
      </w:r>
      <w:proofErr w:type="spellEnd"/>
      <w:r w:rsidRPr="006E3C69">
        <w:t xml:space="preserve"> </w:t>
      </w:r>
      <w:proofErr w:type="spellStart"/>
      <w:r w:rsidRPr="006E3C69">
        <w:t>Magyara</w:t>
      </w:r>
      <w:proofErr w:type="spellEnd"/>
      <w:r w:rsidRPr="006E3C69">
        <w:t>;</w:t>
      </w:r>
    </w:p>
    <w:p w14:paraId="2BD69D44" w14:textId="4AE239DE" w:rsidR="006E3C69" w:rsidRPr="006E3C69" w:rsidRDefault="008E27A8" w:rsidP="006E3C69">
      <w:pPr>
        <w:pStyle w:val="NormalHanging12a"/>
      </w:pPr>
      <w:r w:rsidRPr="006E3C69">
        <w:t>2.</w:t>
      </w:r>
      <w:r w:rsidRPr="006E3C69">
        <w:tab/>
        <w:t xml:space="preserve">zobowiązuje swoją Przewodniczącą do niezwłocznego przekazania niniejszej decyzji </w:t>
      </w:r>
      <w:r w:rsidRPr="006E3C69">
        <w:lastRenderedPageBreak/>
        <w:t xml:space="preserve">oraz sprawozdania właściwej komisji właściwym władzom Węgier i </w:t>
      </w:r>
      <w:proofErr w:type="spellStart"/>
      <w:r w:rsidRPr="006E3C69">
        <w:t>Péterowi</w:t>
      </w:r>
      <w:proofErr w:type="spellEnd"/>
      <w:r w:rsidRPr="006E3C69">
        <w:t xml:space="preserve"> </w:t>
      </w:r>
      <w:proofErr w:type="spellStart"/>
      <w:r w:rsidRPr="006E3C69">
        <w:t>Magyarowi</w:t>
      </w:r>
      <w:proofErr w:type="spellEnd"/>
      <w:r w:rsidRPr="006E3C69">
        <w:t>.</w:t>
      </w:r>
    </w:p>
    <w:p w14:paraId="4B31A563" w14:textId="08111D69" w:rsidR="00E365E1" w:rsidRPr="006E3C69" w:rsidRDefault="00E365E1" w:rsidP="00E2419D"/>
    <w:sectPr w:rsidR="00E365E1" w:rsidRPr="006E3C69" w:rsidSect="006E3C69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D1F9A28" w14:textId="77777777" w:rsidR="00E2419D" w:rsidRPr="006E3C69" w:rsidRDefault="00E2419D">
      <w:r w:rsidRPr="006E3C69">
        <w:separator/>
      </w:r>
    </w:p>
  </w:endnote>
  <w:endnote w:type="continuationSeparator" w:id="0">
    <w:p w14:paraId="15998F48" w14:textId="77777777" w:rsidR="00E2419D" w:rsidRPr="006E3C69" w:rsidRDefault="00E2419D">
      <w:r w:rsidRPr="006E3C69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8BA670" w14:textId="77777777" w:rsidR="00064002" w:rsidRPr="006E3C69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8AB312" w14:textId="77777777" w:rsidR="00064002" w:rsidRPr="006E3C69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BD962D" w14:textId="77777777" w:rsidR="00064002" w:rsidRPr="006E3C69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D89B4D8" w14:textId="77777777" w:rsidR="00E2419D" w:rsidRPr="006E3C69" w:rsidRDefault="00E2419D">
      <w:r w:rsidRPr="006E3C69">
        <w:separator/>
      </w:r>
    </w:p>
  </w:footnote>
  <w:footnote w:type="continuationSeparator" w:id="0">
    <w:p w14:paraId="63072BDA" w14:textId="77777777" w:rsidR="00E2419D" w:rsidRPr="006E3C69" w:rsidRDefault="00E2419D">
      <w:r w:rsidRPr="006E3C69">
        <w:continuationSeparator/>
      </w:r>
    </w:p>
  </w:footnote>
  <w:footnote w:id="1">
    <w:p w14:paraId="5E834BE0" w14:textId="0268128F" w:rsidR="008E27A8" w:rsidRPr="006E3C69" w:rsidRDefault="008E27A8" w:rsidP="006E3C69">
      <w:pPr>
        <w:pStyle w:val="FootnoteText"/>
        <w:ind w:left="567" w:hanging="567"/>
        <w:rPr>
          <w:sz w:val="24"/>
          <w:lang w:val="pl-PL"/>
        </w:rPr>
      </w:pPr>
      <w:r w:rsidRPr="006E3C69">
        <w:rPr>
          <w:rStyle w:val="FootnoteReference"/>
          <w:sz w:val="24"/>
          <w:szCs w:val="16"/>
          <w:lang w:val="pl-PL"/>
        </w:rPr>
        <w:footnoteRef/>
      </w:r>
      <w:r w:rsidR="006E3C69" w:rsidRPr="006E3C69">
        <w:rPr>
          <w:sz w:val="24"/>
          <w:lang w:val="pl-PL"/>
        </w:rPr>
        <w:t xml:space="preserve"> </w:t>
      </w:r>
      <w:r w:rsidR="006E3C69" w:rsidRPr="006E3C69">
        <w:rPr>
          <w:sz w:val="24"/>
          <w:lang w:val="pl-PL"/>
        </w:rPr>
        <w:tab/>
      </w:r>
      <w:r w:rsidRPr="006E3C69">
        <w:rPr>
          <w:sz w:val="24"/>
          <w:lang w:val="pl-PL"/>
        </w:rPr>
        <w:t xml:space="preserve">wyrok Trybunału Sprawiedliwości z dnia 21 października 2008 r., </w:t>
      </w:r>
      <w:proofErr w:type="spellStart"/>
      <w:r w:rsidRPr="006E3C69">
        <w:rPr>
          <w:sz w:val="24"/>
          <w:lang w:val="pl-PL"/>
        </w:rPr>
        <w:t>Marra</w:t>
      </w:r>
      <w:proofErr w:type="spellEnd"/>
      <w:r w:rsidRPr="006E3C69">
        <w:rPr>
          <w:sz w:val="24"/>
          <w:lang w:val="pl-PL"/>
        </w:rPr>
        <w:t xml:space="preserve">/De </w:t>
      </w:r>
      <w:proofErr w:type="spellStart"/>
      <w:r w:rsidRPr="006E3C69">
        <w:rPr>
          <w:sz w:val="24"/>
          <w:lang w:val="pl-PL"/>
        </w:rPr>
        <w:t>Gregorio</w:t>
      </w:r>
      <w:proofErr w:type="spellEnd"/>
      <w:r w:rsidRPr="006E3C69">
        <w:rPr>
          <w:sz w:val="24"/>
          <w:lang w:val="pl-PL"/>
        </w:rPr>
        <w:t xml:space="preserve"> i </w:t>
      </w:r>
      <w:proofErr w:type="spellStart"/>
      <w:r w:rsidRPr="006E3C69">
        <w:rPr>
          <w:sz w:val="24"/>
          <w:lang w:val="pl-PL"/>
        </w:rPr>
        <w:t>Clemente</w:t>
      </w:r>
      <w:proofErr w:type="spellEnd"/>
      <w:r w:rsidRPr="006E3C69">
        <w:rPr>
          <w:sz w:val="24"/>
          <w:lang w:val="pl-PL"/>
        </w:rPr>
        <w:t xml:space="preserve">, C-200/07 i C-201/07, ECLI:EU:C:2008:579; wyrok Sądu z dnia 19 marca 2010 r., </w:t>
      </w:r>
      <w:proofErr w:type="spellStart"/>
      <w:r w:rsidRPr="006E3C69">
        <w:rPr>
          <w:sz w:val="24"/>
          <w:lang w:val="pl-PL"/>
        </w:rPr>
        <w:t>Gollnisch</w:t>
      </w:r>
      <w:proofErr w:type="spellEnd"/>
      <w:r w:rsidRPr="006E3C69">
        <w:rPr>
          <w:sz w:val="24"/>
          <w:lang w:val="pl-PL"/>
        </w:rPr>
        <w:t xml:space="preserve">/Parlament, T-42/06, ECLI:EU:T:2010:102; wyrok Trybunału Sprawiedliwości z dnia 6 września 2011 r., </w:t>
      </w:r>
      <w:proofErr w:type="spellStart"/>
      <w:r w:rsidRPr="006E3C69">
        <w:rPr>
          <w:sz w:val="24"/>
          <w:lang w:val="pl-PL"/>
        </w:rPr>
        <w:t>Patriciello</w:t>
      </w:r>
      <w:proofErr w:type="spellEnd"/>
      <w:r w:rsidRPr="006E3C69">
        <w:rPr>
          <w:sz w:val="24"/>
          <w:lang w:val="pl-PL"/>
        </w:rPr>
        <w:t xml:space="preserve">, C-163/10, ECLI: EU:C:2011:543; wyrok Sądu z dnia 17 stycznia 2013 r., </w:t>
      </w:r>
      <w:proofErr w:type="spellStart"/>
      <w:r w:rsidRPr="006E3C69">
        <w:rPr>
          <w:sz w:val="24"/>
          <w:lang w:val="pl-PL"/>
        </w:rPr>
        <w:t>Gollnisch</w:t>
      </w:r>
      <w:proofErr w:type="spellEnd"/>
      <w:r w:rsidRPr="006E3C69">
        <w:rPr>
          <w:sz w:val="24"/>
          <w:lang w:val="pl-PL"/>
        </w:rPr>
        <w:t xml:space="preserve">/Parlament, T-346/11 i T-347/11, ECLI:EU:T:2013:23; wyrok Trybunału Sprawiedliwości z dnia 19 grudnia 2019 r., </w:t>
      </w:r>
      <w:proofErr w:type="spellStart"/>
      <w:r w:rsidRPr="006E3C69">
        <w:rPr>
          <w:sz w:val="24"/>
          <w:lang w:val="pl-PL"/>
        </w:rPr>
        <w:t>Junqueras</w:t>
      </w:r>
      <w:proofErr w:type="spellEnd"/>
      <w:r w:rsidRPr="006E3C69">
        <w:rPr>
          <w:sz w:val="24"/>
          <w:lang w:val="pl-PL"/>
        </w:rPr>
        <w:t xml:space="preserve"> </w:t>
      </w:r>
      <w:proofErr w:type="spellStart"/>
      <w:r w:rsidRPr="006E3C69">
        <w:rPr>
          <w:sz w:val="24"/>
          <w:lang w:val="pl-PL"/>
        </w:rPr>
        <w:t>Vies</w:t>
      </w:r>
      <w:proofErr w:type="spellEnd"/>
      <w:r w:rsidRPr="006E3C69">
        <w:rPr>
          <w:sz w:val="24"/>
          <w:lang w:val="pl-PL"/>
        </w:rPr>
        <w:t xml:space="preserve">, C-502/19, ECLI:EU:C:2019:1115; wyrok Sądu z dnia 5 lipca 2023 r., </w:t>
      </w:r>
      <w:proofErr w:type="spellStart"/>
      <w:r w:rsidRPr="006E3C69">
        <w:rPr>
          <w:sz w:val="24"/>
          <w:lang w:val="pl-PL"/>
        </w:rPr>
        <w:t>Puigdemont</w:t>
      </w:r>
      <w:proofErr w:type="spellEnd"/>
      <w:r w:rsidRPr="006E3C69">
        <w:rPr>
          <w:sz w:val="24"/>
          <w:lang w:val="pl-PL"/>
        </w:rPr>
        <w:t xml:space="preserve"> i </w:t>
      </w:r>
      <w:proofErr w:type="spellStart"/>
      <w:r w:rsidRPr="006E3C69">
        <w:rPr>
          <w:sz w:val="24"/>
          <w:lang w:val="pl-PL"/>
        </w:rPr>
        <w:t>Casamajó</w:t>
      </w:r>
      <w:proofErr w:type="spellEnd"/>
      <w:r w:rsidRPr="006E3C69">
        <w:rPr>
          <w:sz w:val="24"/>
          <w:lang w:val="pl-PL"/>
        </w:rPr>
        <w:t xml:space="preserve"> i in./Parlament, T-272/21, ECLI:EU:T:2023:373.</w:t>
      </w:r>
    </w:p>
  </w:footnote>
  <w:footnote w:id="2">
    <w:p w14:paraId="6E02A6EA" w14:textId="2D4CB314" w:rsidR="008E27A8" w:rsidRPr="006E3C69" w:rsidRDefault="008E27A8" w:rsidP="006E3C69">
      <w:pPr>
        <w:pStyle w:val="FootnoteText"/>
        <w:ind w:left="567" w:hanging="567"/>
        <w:rPr>
          <w:sz w:val="24"/>
          <w:lang w:val="pl-PL"/>
        </w:rPr>
      </w:pPr>
      <w:r w:rsidRPr="006E3C69">
        <w:rPr>
          <w:rStyle w:val="FootnoteReference"/>
          <w:sz w:val="24"/>
          <w:lang w:val="pl-PL"/>
        </w:rPr>
        <w:footnoteRef/>
      </w:r>
      <w:r w:rsidR="006E3C69" w:rsidRPr="006E3C69">
        <w:rPr>
          <w:sz w:val="24"/>
          <w:lang w:val="pl-PL"/>
        </w:rPr>
        <w:t xml:space="preserve"> </w:t>
      </w:r>
      <w:r w:rsidR="006E3C69" w:rsidRPr="006E3C69">
        <w:rPr>
          <w:sz w:val="24"/>
          <w:lang w:val="pl-PL"/>
        </w:rPr>
        <w:tab/>
      </w:r>
      <w:r w:rsidRPr="006E3C69">
        <w:rPr>
          <w:sz w:val="24"/>
          <w:lang w:val="pl-PL"/>
        </w:rPr>
        <w:t xml:space="preserve">Wyrok Sądu z dnia 17 stycznia 2013 r., </w:t>
      </w:r>
      <w:proofErr w:type="spellStart"/>
      <w:r w:rsidRPr="006E3C69">
        <w:rPr>
          <w:sz w:val="24"/>
          <w:lang w:val="pl-PL"/>
        </w:rPr>
        <w:t>Gollnisch</w:t>
      </w:r>
      <w:proofErr w:type="spellEnd"/>
      <w:r w:rsidRPr="006E3C69">
        <w:rPr>
          <w:sz w:val="24"/>
          <w:lang w:val="pl-PL"/>
        </w:rPr>
        <w:t>/Parlament, T-346/11 i T-347/11, ECLI:EU:T:2013:23, pkt 59 i cytowane orzecznictwo.</w:t>
      </w:r>
    </w:p>
  </w:footnote>
  <w:footnote w:id="3">
    <w:p w14:paraId="76CA5757" w14:textId="03F030F5" w:rsidR="008E27A8" w:rsidRPr="006E3C69" w:rsidRDefault="008E27A8" w:rsidP="006E3C69">
      <w:pPr>
        <w:pStyle w:val="FootnoteText"/>
        <w:ind w:left="567" w:hanging="567"/>
        <w:rPr>
          <w:sz w:val="24"/>
          <w:lang w:val="pl-PL"/>
        </w:rPr>
      </w:pPr>
      <w:r w:rsidRPr="006E3C69">
        <w:rPr>
          <w:rStyle w:val="FootnoteReference"/>
          <w:sz w:val="24"/>
          <w:lang w:val="pl-PL"/>
        </w:rPr>
        <w:footnoteRef/>
      </w:r>
      <w:r w:rsidR="006E3C69" w:rsidRPr="006E3C69">
        <w:rPr>
          <w:sz w:val="24"/>
          <w:lang w:val="pl-PL"/>
        </w:rPr>
        <w:t xml:space="preserve"> </w:t>
      </w:r>
      <w:r w:rsidR="006E3C69" w:rsidRPr="006E3C69">
        <w:rPr>
          <w:sz w:val="24"/>
          <w:lang w:val="pl-PL"/>
        </w:rPr>
        <w:tab/>
      </w:r>
      <w:r w:rsidRPr="006E3C69">
        <w:rPr>
          <w:sz w:val="24"/>
          <w:lang w:val="pl-PL"/>
        </w:rPr>
        <w:t xml:space="preserve">Wyrok Trybunału Sprawiedliwości z 17 września 2020 r. </w:t>
      </w:r>
      <w:proofErr w:type="spellStart"/>
      <w:r w:rsidRPr="006E3C69">
        <w:rPr>
          <w:sz w:val="24"/>
          <w:lang w:val="pl-PL"/>
        </w:rPr>
        <w:t>Troszczynski</w:t>
      </w:r>
      <w:proofErr w:type="spellEnd"/>
      <w:r w:rsidRPr="006E3C69">
        <w:rPr>
          <w:sz w:val="24"/>
          <w:lang w:val="pl-PL"/>
        </w:rPr>
        <w:t>/Parlament, C-12/19 P, ECLI:EU:C:2020:725, pkt 26.</w:t>
      </w:r>
    </w:p>
  </w:footnote>
  <w:footnote w:id="4">
    <w:p w14:paraId="4B859A05" w14:textId="0B59036E" w:rsidR="008E27A8" w:rsidRPr="006E3C69" w:rsidRDefault="008E27A8" w:rsidP="006E3C69">
      <w:pPr>
        <w:pStyle w:val="FootnoteText"/>
        <w:ind w:left="567" w:hanging="567"/>
        <w:rPr>
          <w:sz w:val="24"/>
          <w:lang w:val="pl-PL"/>
        </w:rPr>
      </w:pPr>
      <w:r w:rsidRPr="006E3C69">
        <w:rPr>
          <w:rStyle w:val="FootnoteReference"/>
          <w:sz w:val="24"/>
          <w:szCs w:val="16"/>
          <w:lang w:val="pl-PL"/>
        </w:rPr>
        <w:footnoteRef/>
      </w:r>
      <w:r w:rsidR="006E3C69" w:rsidRPr="006E3C69">
        <w:rPr>
          <w:sz w:val="24"/>
          <w:lang w:val="pl-PL"/>
        </w:rPr>
        <w:t xml:space="preserve"> </w:t>
      </w:r>
      <w:r w:rsidR="006E3C69" w:rsidRPr="006E3C69">
        <w:rPr>
          <w:sz w:val="24"/>
          <w:lang w:val="pl-PL"/>
        </w:rPr>
        <w:tab/>
      </w:r>
      <w:r w:rsidRPr="006E3C69">
        <w:rPr>
          <w:sz w:val="24"/>
          <w:lang w:val="pl-PL"/>
        </w:rPr>
        <w:t xml:space="preserve">Wyrok Sądu z dnia 30 kwietnia 2019 r., </w:t>
      </w:r>
      <w:proofErr w:type="spellStart"/>
      <w:r w:rsidRPr="006E3C69">
        <w:rPr>
          <w:sz w:val="24"/>
          <w:lang w:val="pl-PL"/>
        </w:rPr>
        <w:t>Briois</w:t>
      </w:r>
      <w:proofErr w:type="spellEnd"/>
      <w:r w:rsidRPr="006E3C69">
        <w:rPr>
          <w:sz w:val="24"/>
          <w:lang w:val="pl-PL"/>
        </w:rPr>
        <w:t>/Parlament, T-214/18, ECLI:EU:T:2019:266.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BB98DF" w14:textId="77777777" w:rsidR="00064002" w:rsidRPr="006E3C69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47E773" w14:textId="77777777" w:rsidR="00064002" w:rsidRPr="006E3C69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FD63B4" w14:textId="77777777" w:rsidR="00064002" w:rsidRPr="006E3C69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585725287">
    <w:abstractNumId w:val="9"/>
  </w:num>
  <w:num w:numId="2" w16cid:durableId="1552572090">
    <w:abstractNumId w:val="9"/>
  </w:num>
  <w:num w:numId="3" w16cid:durableId="1673793368">
    <w:abstractNumId w:val="7"/>
  </w:num>
  <w:num w:numId="4" w16cid:durableId="1253978575">
    <w:abstractNumId w:val="7"/>
  </w:num>
  <w:num w:numId="5" w16cid:durableId="1081638848">
    <w:abstractNumId w:val="6"/>
  </w:num>
  <w:num w:numId="6" w16cid:durableId="1539659272">
    <w:abstractNumId w:val="6"/>
  </w:num>
  <w:num w:numId="7" w16cid:durableId="765536681">
    <w:abstractNumId w:val="5"/>
  </w:num>
  <w:num w:numId="8" w16cid:durableId="619382739">
    <w:abstractNumId w:val="5"/>
  </w:num>
  <w:num w:numId="9" w16cid:durableId="2018271465">
    <w:abstractNumId w:val="4"/>
  </w:num>
  <w:num w:numId="10" w16cid:durableId="898707836">
    <w:abstractNumId w:val="4"/>
  </w:num>
  <w:num w:numId="11" w16cid:durableId="454833478">
    <w:abstractNumId w:val="8"/>
  </w:num>
  <w:num w:numId="12" w16cid:durableId="989213672">
    <w:abstractNumId w:val="8"/>
  </w:num>
  <w:num w:numId="13" w16cid:durableId="1432510182">
    <w:abstractNumId w:val="3"/>
  </w:num>
  <w:num w:numId="14" w16cid:durableId="2065323149">
    <w:abstractNumId w:val="3"/>
  </w:num>
  <w:num w:numId="15" w16cid:durableId="307442266">
    <w:abstractNumId w:val="2"/>
  </w:num>
  <w:num w:numId="16" w16cid:durableId="827867353">
    <w:abstractNumId w:val="2"/>
  </w:num>
  <w:num w:numId="17" w16cid:durableId="2140799656">
    <w:abstractNumId w:val="1"/>
  </w:num>
  <w:num w:numId="18" w16cid:durableId="395516362">
    <w:abstractNumId w:val="1"/>
  </w:num>
  <w:num w:numId="19" w16cid:durableId="711806271">
    <w:abstractNumId w:val="0"/>
  </w:num>
  <w:num w:numId="20" w16cid:durableId="171845638">
    <w:abstractNumId w:val="0"/>
  </w:num>
  <w:num w:numId="21" w16cid:durableId="2105497143">
    <w:abstractNumId w:val="9"/>
  </w:num>
  <w:num w:numId="22" w16cid:durableId="162429564">
    <w:abstractNumId w:val="7"/>
  </w:num>
  <w:num w:numId="23" w16cid:durableId="1388187593">
    <w:abstractNumId w:val="6"/>
  </w:num>
  <w:num w:numId="24" w16cid:durableId="605428495">
    <w:abstractNumId w:val="5"/>
  </w:num>
  <w:num w:numId="25" w16cid:durableId="1958754802">
    <w:abstractNumId w:val="4"/>
  </w:num>
  <w:num w:numId="26" w16cid:durableId="207302908">
    <w:abstractNumId w:val="8"/>
  </w:num>
  <w:num w:numId="27" w16cid:durableId="1844516250">
    <w:abstractNumId w:val="3"/>
  </w:num>
  <w:num w:numId="28" w16cid:durableId="57364048">
    <w:abstractNumId w:val="2"/>
  </w:num>
  <w:num w:numId="29" w16cid:durableId="1609041158">
    <w:abstractNumId w:val="1"/>
  </w:num>
  <w:num w:numId="30" w16cid:durableId="1717507348">
    <w:abstractNumId w:val="0"/>
  </w:num>
  <w:num w:numId="31" w16cid:durableId="2054306192">
    <w:abstractNumId w:val="9"/>
  </w:num>
  <w:num w:numId="32" w16cid:durableId="1555308090">
    <w:abstractNumId w:val="7"/>
  </w:num>
  <w:num w:numId="33" w16cid:durableId="87043471">
    <w:abstractNumId w:val="6"/>
  </w:num>
  <w:num w:numId="34" w16cid:durableId="62921816">
    <w:abstractNumId w:val="5"/>
  </w:num>
  <w:num w:numId="35" w16cid:durableId="1850178040">
    <w:abstractNumId w:val="4"/>
  </w:num>
  <w:num w:numId="36" w16cid:durableId="1408069725">
    <w:abstractNumId w:val="8"/>
  </w:num>
  <w:num w:numId="37" w16cid:durableId="1240554875">
    <w:abstractNumId w:val="3"/>
  </w:num>
  <w:num w:numId="38" w16cid:durableId="1342049080">
    <w:abstractNumId w:val="2"/>
  </w:num>
  <w:num w:numId="39" w16cid:durableId="13463696">
    <w:abstractNumId w:val="1"/>
  </w:num>
  <w:num w:numId="40" w16cid:durableId="647325353">
    <w:abstractNumId w:val="0"/>
  </w:num>
  <w:num w:numId="41" w16cid:durableId="1731032423">
    <w:abstractNumId w:val="10"/>
  </w:num>
  <w:num w:numId="42" w16cid:durableId="1514416478">
    <w:abstractNumId w:val="10"/>
  </w:num>
  <w:num w:numId="43" w16cid:durableId="495343760">
    <w:abstractNumId w:val="10"/>
  </w:num>
  <w:num w:numId="44" w16cid:durableId="173962800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180/2025"/>
    <w:docVar w:name="dvlangue" w:val="PL"/>
    <w:docVar w:name="dvnumam" w:val="0"/>
    <w:docVar w:name="dvpe" w:val="770.241"/>
    <w:docVar w:name="dvrapporteur" w:val="Sprawozdawca: "/>
    <w:docVar w:name="dvtitre" w:val="Decyzja Parlamentu Europejskiego z dnia  2025 r. w sprawie wniosku o uchylenie immunitetu Pétera Magyara(2024/2063(IMM))"/>
  </w:docVars>
  <w:rsids>
    <w:rsidRoot w:val="00E2419D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336AF7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342"/>
    <w:rsid w:val="005C2568"/>
    <w:rsid w:val="005D5970"/>
    <w:rsid w:val="005F1B17"/>
    <w:rsid w:val="006037C0"/>
    <w:rsid w:val="006631B6"/>
    <w:rsid w:val="006718C6"/>
    <w:rsid w:val="00680577"/>
    <w:rsid w:val="006E3C69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8E27A8"/>
    <w:rsid w:val="00930C23"/>
    <w:rsid w:val="0093193B"/>
    <w:rsid w:val="009509D8"/>
    <w:rsid w:val="00950B64"/>
    <w:rsid w:val="00981893"/>
    <w:rsid w:val="009E66BD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1C57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CF468A"/>
    <w:rsid w:val="00D058B8"/>
    <w:rsid w:val="00D56C11"/>
    <w:rsid w:val="00D834A0"/>
    <w:rsid w:val="00D872DF"/>
    <w:rsid w:val="00D91E21"/>
    <w:rsid w:val="00DA7FCD"/>
    <w:rsid w:val="00E2419D"/>
    <w:rsid w:val="00E34E4F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6569700"/>
  <w15:chartTrackingRefBased/>
  <w15:docId w15:val="{9B554269-68CA-4135-B0BD-D15CA236D5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Body Text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pl-PL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rsid w:val="008E27A8"/>
    <w:pPr>
      <w:spacing w:after="240"/>
      <w:ind w:left="567" w:hanging="567"/>
    </w:pPr>
  </w:style>
  <w:style w:type="paragraph" w:customStyle="1" w:styleId="EPComma">
    <w:name w:val="EPComma"/>
    <w:basedOn w:val="Normal"/>
    <w:rsid w:val="008E27A8"/>
    <w:pPr>
      <w:spacing w:before="480" w:after="240"/>
    </w:pPr>
  </w:style>
  <w:style w:type="paragraph" w:styleId="BodyText">
    <w:name w:val="Body Text"/>
    <w:basedOn w:val="Normal"/>
    <w:link w:val="BodyTextChar"/>
    <w:unhideWhenUsed/>
    <w:qFormat/>
    <w:rsid w:val="008E27A8"/>
    <w:pPr>
      <w:shd w:val="clear" w:color="auto" w:fill="FFFFFF"/>
      <w:spacing w:after="260"/>
      <w:jc w:val="both"/>
    </w:pPr>
    <w:rPr>
      <w:szCs w:val="24"/>
      <w:lang w:eastAsia="hu-HU" w:bidi="hu-HU"/>
    </w:rPr>
  </w:style>
  <w:style w:type="character" w:customStyle="1" w:styleId="BodyTextChar">
    <w:name w:val="Body Text Char"/>
    <w:basedOn w:val="DefaultParagraphFont"/>
    <w:link w:val="BodyText"/>
    <w:rsid w:val="008E27A8"/>
    <w:rPr>
      <w:sz w:val="24"/>
      <w:szCs w:val="24"/>
      <w:shd w:val="clear" w:color="auto" w:fill="FFFFFF"/>
      <w:lang w:val="pl-PL" w:eastAsia="hu-HU" w:bidi="hu-HU"/>
    </w:rPr>
  </w:style>
  <w:style w:type="paragraph" w:styleId="Revision">
    <w:name w:val="Revision"/>
    <w:hidden/>
    <w:uiPriority w:val="99"/>
    <w:semiHidden/>
    <w:rsid w:val="00CF468A"/>
    <w:rPr>
      <w:sz w:val="24"/>
      <w:lang w:val="pl-PL"/>
    </w:rPr>
  </w:style>
  <w:style w:type="character" w:styleId="CommentReference">
    <w:name w:val="annotation reference"/>
    <w:basedOn w:val="DefaultParagraphFont"/>
    <w:rsid w:val="006718C6"/>
    <w:rPr>
      <w:sz w:val="16"/>
      <w:szCs w:val="16"/>
    </w:rPr>
  </w:style>
  <w:style w:type="paragraph" w:styleId="CommentText">
    <w:name w:val="annotation text"/>
    <w:basedOn w:val="Normal"/>
    <w:link w:val="CommentTextChar"/>
    <w:rsid w:val="006718C6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6718C6"/>
    <w:rPr>
      <w:lang w:val="pl-PL"/>
    </w:rPr>
  </w:style>
  <w:style w:type="paragraph" w:styleId="CommentSubject">
    <w:name w:val="annotation subject"/>
    <w:basedOn w:val="CommentText"/>
    <w:next w:val="CommentText"/>
    <w:link w:val="CommentSubjectChar"/>
    <w:rsid w:val="006718C6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6718C6"/>
    <w:rPr>
      <w:b/>
      <w:bCs/>
      <w:lang w:val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1037</Words>
  <Characters>6227</Characters>
  <Application>Microsoft Office Word</Application>
  <DocSecurity>0</DocSecurity>
  <Lines>51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7250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ZALESKI Tomasz</dc:creator>
  <cp:keywords/>
  <cp:lastModifiedBy>ZALESKI Tomasz</cp:lastModifiedBy>
  <cp:revision>2</cp:revision>
  <cp:lastPrinted>2004-11-19T15:42:00Z</cp:lastPrinted>
  <dcterms:created xsi:type="dcterms:W3CDTF">2025-10-07T11:45:00Z</dcterms:created>
  <dcterms:modified xsi:type="dcterms:W3CDTF">2025-10-07T11:45:00Z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PL</vt:lpwstr>
  </property>
  <property fmtid="{D5CDD505-2E9C-101B-9397-08002B2CF9AE}" pid="3" name="&lt;FdR&gt;">
    <vt:lpwstr>A10-0180/2025</vt:lpwstr>
  </property>
  <property fmtid="{D5CDD505-2E9C-101B-9397-08002B2CF9AE}" pid="4" name="&lt;Type&gt;">
    <vt:lpwstr>RR</vt:lpwstr>
  </property>
</Properties>
</file>