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7D57" w14:paraId="2EC6B4C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3584DB" w14:textId="77777777" w:rsidR="00751A4A" w:rsidRPr="00527D57" w:rsidRDefault="00A956DB" w:rsidP="0010095E">
            <w:pPr>
              <w:pStyle w:val="EPName"/>
            </w:pPr>
            <w:r w:rsidRPr="00527D57">
              <w:t xml:space="preserve">Parlamento </w:t>
            </w:r>
            <w:proofErr w:type="gramStart"/>
            <w:r w:rsidRPr="00527D57">
              <w:t>Europeu</w:t>
            </w:r>
            <w:proofErr w:type="gramEnd"/>
          </w:p>
          <w:p w14:paraId="3936C7C9" w14:textId="77777777" w:rsidR="00751A4A" w:rsidRPr="00527D5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7D57">
              <w:t>2024</w:t>
            </w:r>
            <w:r w:rsidR="00817416" w:rsidRPr="00527D57">
              <w:t>-202</w:t>
            </w:r>
            <w:r w:rsidRPr="00527D57">
              <w:t>9</w:t>
            </w:r>
          </w:p>
        </w:tc>
        <w:tc>
          <w:tcPr>
            <w:tcW w:w="2268" w:type="dxa"/>
            <w:shd w:val="clear" w:color="auto" w:fill="auto"/>
          </w:tcPr>
          <w:p w14:paraId="059B382C" w14:textId="77777777" w:rsidR="00751A4A" w:rsidRPr="00527D57" w:rsidRDefault="00187494" w:rsidP="0010095E">
            <w:pPr>
              <w:pStyle w:val="EPLogo"/>
            </w:pPr>
            <w:r w:rsidRPr="00527D57">
              <w:rPr>
                <w:noProof/>
                <w:lang w:eastAsia="ja-JP"/>
              </w:rPr>
              <w:drawing>
                <wp:inline distT="0" distB="0" distL="0" distR="0" wp14:anchorId="56C976CF" wp14:editId="09DFC31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11B9AB" w14:textId="77777777" w:rsidR="00D058B8" w:rsidRPr="00527D57" w:rsidRDefault="00D058B8" w:rsidP="004C5D52">
      <w:pPr>
        <w:pStyle w:val="LineTop"/>
      </w:pPr>
    </w:p>
    <w:p w14:paraId="7B0C8F43" w14:textId="77777777" w:rsidR="00680577" w:rsidRPr="00527D57" w:rsidRDefault="00A956DB" w:rsidP="00680577">
      <w:pPr>
        <w:pStyle w:val="EPBodyTA1"/>
      </w:pPr>
      <w:r w:rsidRPr="00527D57">
        <w:t>TEXTOS APROVADOS</w:t>
      </w:r>
    </w:p>
    <w:p w14:paraId="2BE0FBBF" w14:textId="77777777" w:rsidR="00D058B8" w:rsidRPr="00527D57" w:rsidRDefault="00D058B8" w:rsidP="00D058B8">
      <w:pPr>
        <w:pStyle w:val="LineBottom"/>
      </w:pPr>
    </w:p>
    <w:p w14:paraId="71269258" w14:textId="43ADCB5E" w:rsidR="00A956DB" w:rsidRPr="00527D57" w:rsidRDefault="00A956DB" w:rsidP="00A956DB">
      <w:pPr>
        <w:pStyle w:val="ATHeading1"/>
      </w:pPr>
      <w:bookmarkStart w:id="0" w:name="TANumber"/>
      <w:r w:rsidRPr="00527D57">
        <w:t>P10_</w:t>
      </w:r>
      <w:proofErr w:type="gramStart"/>
      <w:r w:rsidRPr="00527D57">
        <w:t>TA(</w:t>
      </w:r>
      <w:proofErr w:type="gramEnd"/>
      <w:r w:rsidRPr="00527D57">
        <w:t>2025)0</w:t>
      </w:r>
      <w:r w:rsidR="00B8699C" w:rsidRPr="00527D57">
        <w:t>203</w:t>
      </w:r>
      <w:bookmarkEnd w:id="0"/>
    </w:p>
    <w:p w14:paraId="6FC93081" w14:textId="77777777" w:rsidR="00A956DB" w:rsidRPr="00527D57" w:rsidRDefault="00A956DB" w:rsidP="00A956DB">
      <w:pPr>
        <w:pStyle w:val="ATHeading2"/>
      </w:pPr>
      <w:bookmarkStart w:id="1" w:name="title"/>
      <w:r w:rsidRPr="00527D57">
        <w:t xml:space="preserve">Pedido de levantamento da imunidade de </w:t>
      </w:r>
      <w:proofErr w:type="spellStart"/>
      <w:r w:rsidRPr="00527D57">
        <w:t>Péter</w:t>
      </w:r>
      <w:proofErr w:type="spellEnd"/>
      <w:r w:rsidRPr="00527D57">
        <w:t xml:space="preserve"> </w:t>
      </w:r>
      <w:proofErr w:type="spellStart"/>
      <w:r w:rsidRPr="00527D57">
        <w:t>Magyar</w:t>
      </w:r>
      <w:bookmarkEnd w:id="1"/>
      <w:proofErr w:type="spellEnd"/>
    </w:p>
    <w:p w14:paraId="1456AC7E" w14:textId="77777777" w:rsidR="00A956DB" w:rsidRPr="00527D57" w:rsidRDefault="00A956DB" w:rsidP="00A956DB">
      <w:pPr>
        <w:rPr>
          <w:i/>
          <w:vanish/>
        </w:rPr>
      </w:pPr>
      <w:r w:rsidRPr="00527D57">
        <w:rPr>
          <w:i/>
        </w:rPr>
        <w:fldChar w:fldCharType="begin"/>
      </w:r>
      <w:r w:rsidRPr="00527D57">
        <w:rPr>
          <w:i/>
        </w:rPr>
        <w:instrText xml:space="preserve"> TC"(</w:instrText>
      </w:r>
      <w:bookmarkStart w:id="2" w:name="DocNumber"/>
      <w:r w:rsidRPr="00527D57">
        <w:rPr>
          <w:i/>
        </w:rPr>
        <w:instrText>A10-0180/2025</w:instrText>
      </w:r>
      <w:bookmarkEnd w:id="2"/>
      <w:r w:rsidRPr="00527D57">
        <w:rPr>
          <w:i/>
        </w:rPr>
        <w:instrText xml:space="preserve"> - Relator: Krzysztof Śmiszek)"\l3 \n&gt; \* MERGEFORMAT </w:instrText>
      </w:r>
      <w:r w:rsidRPr="00527D57">
        <w:rPr>
          <w:i/>
        </w:rPr>
        <w:fldChar w:fldCharType="end"/>
      </w:r>
    </w:p>
    <w:p w14:paraId="5C241957" w14:textId="77777777" w:rsidR="00A956DB" w:rsidRPr="00527D57" w:rsidRDefault="00A956DB" w:rsidP="00A956DB">
      <w:pPr>
        <w:rPr>
          <w:vanish/>
        </w:rPr>
      </w:pPr>
      <w:bookmarkStart w:id="3" w:name="Commission"/>
      <w:r w:rsidRPr="00527D57">
        <w:rPr>
          <w:vanish/>
        </w:rPr>
        <w:t>Comissão dos Assuntos Jurídicos</w:t>
      </w:r>
      <w:bookmarkEnd w:id="3"/>
    </w:p>
    <w:p w14:paraId="6FED07F4" w14:textId="77777777" w:rsidR="00A956DB" w:rsidRPr="00527D57" w:rsidRDefault="00A956DB" w:rsidP="00A956DB">
      <w:pPr>
        <w:rPr>
          <w:vanish/>
        </w:rPr>
      </w:pPr>
      <w:bookmarkStart w:id="4" w:name="PE"/>
      <w:r w:rsidRPr="00527D57">
        <w:rPr>
          <w:vanish/>
        </w:rPr>
        <w:t>PE770.241</w:t>
      </w:r>
      <w:bookmarkEnd w:id="4"/>
    </w:p>
    <w:p w14:paraId="7094DFBE" w14:textId="4EF3A0CA" w:rsidR="00A956DB" w:rsidRPr="00527D57" w:rsidRDefault="00A956DB" w:rsidP="00ED18B3">
      <w:pPr>
        <w:pStyle w:val="ATHeading3"/>
      </w:pPr>
      <w:bookmarkStart w:id="5" w:name="Sujet"/>
      <w:r w:rsidRPr="00527D57">
        <w:t xml:space="preserve">Decisão do Parlamento Europeu, de </w:t>
      </w:r>
      <w:r w:rsidR="00ED18B3" w:rsidRPr="00527D57">
        <w:t xml:space="preserve">7 </w:t>
      </w:r>
      <w:r w:rsidRPr="00527D57">
        <w:t xml:space="preserve">de </w:t>
      </w:r>
      <w:r w:rsidR="00ED18B3" w:rsidRPr="00527D57">
        <w:t xml:space="preserve">outubro </w:t>
      </w:r>
      <w:r w:rsidRPr="00527D57">
        <w:t xml:space="preserve">de 2025, sobre o pedido de levantamento da imunidade de </w:t>
      </w:r>
      <w:proofErr w:type="spellStart"/>
      <w:r w:rsidRPr="00527D57">
        <w:t>Péter</w:t>
      </w:r>
      <w:proofErr w:type="spellEnd"/>
      <w:r w:rsidRPr="00527D57">
        <w:t xml:space="preserve"> </w:t>
      </w:r>
      <w:proofErr w:type="spellStart"/>
      <w:r w:rsidRPr="00527D57">
        <w:t>Magyar</w:t>
      </w:r>
      <w:bookmarkEnd w:id="5"/>
      <w:proofErr w:type="spellEnd"/>
      <w:r w:rsidRPr="00527D57">
        <w:t xml:space="preserve"> </w:t>
      </w:r>
      <w:bookmarkStart w:id="6" w:name="References"/>
      <w:r w:rsidRPr="00527D57">
        <w:t>(2024/2063(IMM))</w:t>
      </w:r>
      <w:bookmarkEnd w:id="6"/>
    </w:p>
    <w:p w14:paraId="77D9625B" w14:textId="77777777" w:rsidR="0063173A" w:rsidRPr="00527D57" w:rsidRDefault="0063173A" w:rsidP="0063173A">
      <w:pPr>
        <w:pStyle w:val="EPComma"/>
      </w:pPr>
      <w:bookmarkStart w:id="7" w:name="TextBodyBegin"/>
      <w:bookmarkEnd w:id="7"/>
      <w:r w:rsidRPr="00527D57">
        <w:rPr>
          <w:i/>
          <w:iCs/>
        </w:rPr>
        <w:t>O Parlamento Europeu</w:t>
      </w:r>
      <w:r w:rsidRPr="00527D57">
        <w:t>,</w:t>
      </w:r>
    </w:p>
    <w:p w14:paraId="699F23B5" w14:textId="070C4514" w:rsidR="0063173A" w:rsidRPr="00527D57" w:rsidRDefault="0063173A" w:rsidP="0063173A">
      <w:pPr>
        <w:pStyle w:val="NormalHanging12a"/>
      </w:pPr>
      <w:r w:rsidRPr="00527D57">
        <w:t>–</w:t>
      </w:r>
      <w:r w:rsidRPr="00527D57">
        <w:tab/>
        <w:t xml:space="preserve">Tendo recebido um pedido de levantamento da imunidade de </w:t>
      </w:r>
      <w:proofErr w:type="spellStart"/>
      <w:r w:rsidRPr="00527D57">
        <w:t>Péter</w:t>
      </w:r>
      <w:proofErr w:type="spellEnd"/>
      <w:r w:rsidRPr="00527D57">
        <w:t xml:space="preserve"> </w:t>
      </w:r>
      <w:proofErr w:type="spellStart"/>
      <w:r w:rsidRPr="00527D57">
        <w:t>Magyar</w:t>
      </w:r>
      <w:proofErr w:type="spellEnd"/>
      <w:r w:rsidRPr="00527D57">
        <w:t xml:space="preserve">, transmitido em 26 de setembro de 2024 pelo procurador-geral da Hungria, no âmbito de uma ação penal intentada contra </w:t>
      </w:r>
      <w:proofErr w:type="spellStart"/>
      <w:r w:rsidRPr="00527D57">
        <w:t>Péter</w:t>
      </w:r>
      <w:proofErr w:type="spellEnd"/>
      <w:r w:rsidRPr="00527D57">
        <w:t xml:space="preserve"> </w:t>
      </w:r>
      <w:proofErr w:type="spellStart"/>
      <w:r w:rsidRPr="00527D57">
        <w:t>Magyar</w:t>
      </w:r>
      <w:proofErr w:type="spellEnd"/>
      <w:r w:rsidRPr="00527D57">
        <w:t xml:space="preserve">, o qual foi </w:t>
      </w:r>
      <w:r w:rsidR="00ED18B3" w:rsidRPr="00527D57">
        <w:t xml:space="preserve">anunciado </w:t>
      </w:r>
      <w:r w:rsidRPr="00527D57">
        <w:t>em sessão plenária em 10 de outubro de 2024,</w:t>
      </w:r>
    </w:p>
    <w:p w14:paraId="1929D144" w14:textId="77777777" w:rsidR="0063173A" w:rsidRPr="00527D57" w:rsidRDefault="0063173A" w:rsidP="0063173A">
      <w:pPr>
        <w:pStyle w:val="NormalHanging12a"/>
        <w:widowControl/>
      </w:pPr>
      <w:r w:rsidRPr="00527D57">
        <w:t>–</w:t>
      </w:r>
      <w:r w:rsidRPr="00527D57">
        <w:tab/>
        <w:t xml:space="preserve">Tendo ouvido </w:t>
      </w:r>
      <w:proofErr w:type="spellStart"/>
      <w:r w:rsidRPr="00527D57">
        <w:t>Péter</w:t>
      </w:r>
      <w:proofErr w:type="spellEnd"/>
      <w:r w:rsidRPr="00527D57">
        <w:t xml:space="preserve"> </w:t>
      </w:r>
      <w:proofErr w:type="spellStart"/>
      <w:r w:rsidRPr="00527D57">
        <w:t>Magyar</w:t>
      </w:r>
      <w:proofErr w:type="spellEnd"/>
      <w:r w:rsidRPr="00527D57">
        <w:t xml:space="preserve"> em 24 de junho de 2025, nos termos do artigo 9.º, n.º 6, do seu Regimento,</w:t>
      </w:r>
    </w:p>
    <w:p w14:paraId="744DD080" w14:textId="77777777" w:rsidR="0063173A" w:rsidRPr="00527D57" w:rsidRDefault="0063173A" w:rsidP="0063173A">
      <w:pPr>
        <w:pStyle w:val="NormalHanging12a"/>
        <w:widowControl/>
      </w:pPr>
      <w:r w:rsidRPr="00527D57">
        <w:t>–</w:t>
      </w:r>
      <w:r w:rsidRPr="00527D57">
        <w:tab/>
        <w:t>Tendo em conta a informação adicional apresentada pelo procurador-geral da Hungria,</w:t>
      </w:r>
    </w:p>
    <w:p w14:paraId="6844C48B" w14:textId="7E21F224" w:rsidR="0063173A" w:rsidRPr="00527D57" w:rsidRDefault="0063173A" w:rsidP="0063173A">
      <w:pPr>
        <w:pStyle w:val="NormalHanging12a"/>
        <w:widowControl/>
      </w:pPr>
      <w:r w:rsidRPr="00527D57">
        <w:t>–</w:t>
      </w:r>
      <w:r w:rsidRPr="00527D57">
        <w:tab/>
        <w:t>Tendo em conta os artigos 8.º e 9.º do Protocolo n.º 7 relativo aos Privilégios e Imunidades da União Europeia, bem como o artigo 6.º, n.º 2, do Ato relativo à Eleição dos Deputados ao Parlamento Europeu por Sufrágio Universal Direto, de 20 de setembro de 1976,</w:t>
      </w:r>
    </w:p>
    <w:p w14:paraId="3135070D" w14:textId="77777777" w:rsidR="0063173A" w:rsidRPr="00527D57" w:rsidRDefault="0063173A" w:rsidP="0063173A">
      <w:pPr>
        <w:pStyle w:val="NormalHanging12a"/>
        <w:widowControl/>
      </w:pPr>
      <w:r w:rsidRPr="00527D57">
        <w:t>–</w:t>
      </w:r>
      <w:r w:rsidRPr="00527D57">
        <w:tab/>
        <w:t>Tendo em conta o artigo 4.º, n.º 2, da Lei Fundamental da Hungria,</w:t>
      </w:r>
    </w:p>
    <w:p w14:paraId="5A5C4F8B" w14:textId="77777777" w:rsidR="0063173A" w:rsidRPr="00527D57" w:rsidRDefault="0063173A" w:rsidP="0063173A">
      <w:pPr>
        <w:pStyle w:val="NormalHanging12a"/>
        <w:widowControl/>
      </w:pPr>
      <w:r w:rsidRPr="00527D57">
        <w:lastRenderedPageBreak/>
        <w:t>–</w:t>
      </w:r>
      <w:r w:rsidRPr="00527D57">
        <w:tab/>
        <w:t>Tendo em conta os acórdãos proferidos pelo Tribunal de Justiça da União Europeia em 21 de outubro de 2008, 19 de março de 2010, 6 de setembro de 2011, 17 de janeiro de 2013, 19 de dezembro de 2019 e 5 de julho de 2023</w:t>
      </w:r>
      <w:r w:rsidRPr="00527D57">
        <w:rPr>
          <w:rStyle w:val="FootnoteReference"/>
          <w:color w:val="000000"/>
        </w:rPr>
        <w:footnoteReference w:id="1"/>
      </w:r>
      <w:r w:rsidRPr="00527D57">
        <w:t>,</w:t>
      </w:r>
    </w:p>
    <w:p w14:paraId="22646ED3" w14:textId="77777777" w:rsidR="0063173A" w:rsidRPr="00527D57" w:rsidRDefault="0063173A" w:rsidP="0063173A">
      <w:pPr>
        <w:pStyle w:val="NormalHanging12a"/>
        <w:widowControl/>
      </w:pPr>
      <w:r w:rsidRPr="00527D57">
        <w:t>–</w:t>
      </w:r>
      <w:r w:rsidRPr="00527D57">
        <w:tab/>
        <w:t>Tendo em conta o artigo 5.º, n.º 2, o artigo 6.º, n.º 1, e o artigo 9.º do seu Regimento,</w:t>
      </w:r>
    </w:p>
    <w:p w14:paraId="01FC5AA4" w14:textId="77777777" w:rsidR="0063173A" w:rsidRPr="00527D57" w:rsidRDefault="0063173A" w:rsidP="0063173A">
      <w:pPr>
        <w:pStyle w:val="NormalHanging12a"/>
        <w:widowControl/>
      </w:pPr>
      <w:r w:rsidRPr="00527D57">
        <w:t>–</w:t>
      </w:r>
      <w:r w:rsidRPr="00527D57">
        <w:tab/>
        <w:t>Tendo em conta o relatório da Comissão dos Assuntos Jurídicos (A10-0180/2025),</w:t>
      </w:r>
    </w:p>
    <w:p w14:paraId="492DEBB7" w14:textId="7CC2B594" w:rsidR="0063173A" w:rsidRPr="00527D57" w:rsidRDefault="0063173A" w:rsidP="0063173A">
      <w:pPr>
        <w:pStyle w:val="NormalHanging12a"/>
        <w:widowControl/>
      </w:pPr>
      <w:r w:rsidRPr="00527D57">
        <w:t>A.</w:t>
      </w:r>
      <w:r w:rsidRPr="00527D57">
        <w:tab/>
        <w:t>Considerando que</w:t>
      </w:r>
      <w:r w:rsidR="00ED18B3" w:rsidRPr="00527D57">
        <w:t>, em 26 de setembro de 2024,</w:t>
      </w:r>
      <w:r w:rsidRPr="00527D57">
        <w:t xml:space="preserve"> o procurador-geral da Hungria apresentou um pedido de levantamento da imunidade de </w:t>
      </w:r>
      <w:proofErr w:type="spellStart"/>
      <w:r w:rsidRPr="00527D57">
        <w:t>Péter</w:t>
      </w:r>
      <w:proofErr w:type="spellEnd"/>
      <w:r w:rsidRPr="00527D57">
        <w:t xml:space="preserve"> </w:t>
      </w:r>
      <w:proofErr w:type="spellStart"/>
      <w:r w:rsidRPr="00527D57">
        <w:t>Magyar</w:t>
      </w:r>
      <w:proofErr w:type="spellEnd"/>
      <w:r w:rsidRPr="00527D57">
        <w:t>, deputado ao Parlamento Europeu</w:t>
      </w:r>
      <w:r w:rsidR="007172C5" w:rsidRPr="00527D57">
        <w:t xml:space="preserve"> eleito na Hungria</w:t>
      </w:r>
      <w:r w:rsidRPr="00527D57">
        <w:t>, no âmbito de acusações de um alegado crime de furto de pequeno valor, nos termos do artigo 370.º, n.º 1, e do artigo 370.º, n.º 2, alínea a), da Lei C de 2012 (Código Penal húngaro);</w:t>
      </w:r>
    </w:p>
    <w:p w14:paraId="01B8B6C9" w14:textId="3D2D27DC" w:rsidR="0063173A" w:rsidRPr="00527D57" w:rsidRDefault="0063173A" w:rsidP="0063173A">
      <w:pPr>
        <w:pStyle w:val="BodyText"/>
        <w:shd w:val="clear" w:color="auto" w:fill="auto"/>
        <w:ind w:left="567" w:hanging="567"/>
        <w:jc w:val="left"/>
      </w:pPr>
      <w:r w:rsidRPr="00527D57">
        <w:rPr>
          <w:shd w:val="clear" w:color="auto" w:fill="FFFFFF"/>
        </w:rPr>
        <w:t>B.</w:t>
      </w:r>
      <w:r w:rsidRPr="00527D57">
        <w:rPr>
          <w:shd w:val="clear" w:color="auto" w:fill="FFFFFF"/>
        </w:rPr>
        <w:tab/>
      </w:r>
      <w:r w:rsidRPr="00527D57">
        <w:t xml:space="preserve">Considerando que o pedido indica que, em 21 de junho de 2024, </w:t>
      </w:r>
      <w:proofErr w:type="spellStart"/>
      <w:r w:rsidRPr="00527D57">
        <w:t>Péter</w:t>
      </w:r>
      <w:proofErr w:type="spellEnd"/>
      <w:r w:rsidRPr="00527D57">
        <w:t xml:space="preserve"> </w:t>
      </w:r>
      <w:proofErr w:type="spellStart"/>
      <w:r w:rsidRPr="00527D57">
        <w:t>Magyar</w:t>
      </w:r>
      <w:proofErr w:type="spellEnd"/>
      <w:r w:rsidRPr="00527D57">
        <w:t xml:space="preserve"> estava numa discoteca em Budapeste, onde foi reconhecido pela parte lesada, que gravou um vídeo dele</w:t>
      </w:r>
      <w:r w:rsidR="00ED18B3" w:rsidRPr="00527D57">
        <w:t>; considerando que</w:t>
      </w:r>
      <w:r w:rsidRPr="00527D57">
        <w:t xml:space="preserve"> o pedido indica ainda que depois ocorreu uma pequena briga entre </w:t>
      </w:r>
      <w:proofErr w:type="spellStart"/>
      <w:r w:rsidRPr="00527D57">
        <w:t>Péter</w:t>
      </w:r>
      <w:proofErr w:type="spellEnd"/>
      <w:r w:rsidRPr="00527D57">
        <w:t xml:space="preserve"> </w:t>
      </w:r>
      <w:proofErr w:type="spellStart"/>
      <w:r w:rsidRPr="00527D57">
        <w:t>Magyar</w:t>
      </w:r>
      <w:proofErr w:type="spellEnd"/>
      <w:r w:rsidRPr="00527D57">
        <w:t xml:space="preserve"> e a parte lesada, durante a qual </w:t>
      </w:r>
      <w:proofErr w:type="spellStart"/>
      <w:r w:rsidRPr="00527D57">
        <w:t>Péter</w:t>
      </w:r>
      <w:proofErr w:type="spellEnd"/>
      <w:r w:rsidRPr="00527D57">
        <w:t xml:space="preserve"> </w:t>
      </w:r>
      <w:proofErr w:type="spellStart"/>
      <w:r w:rsidRPr="00527D57">
        <w:t>Magyar</w:t>
      </w:r>
      <w:proofErr w:type="spellEnd"/>
      <w:r w:rsidRPr="00527D57">
        <w:t xml:space="preserve"> tirou o telemóvel da mão da parte lesada para impedir a gravação, colocou o telemóvel no seu próprio bolso e se afastou</w:t>
      </w:r>
      <w:r w:rsidR="00ED18B3" w:rsidRPr="00527D57">
        <w:t>; considerando que</w:t>
      </w:r>
      <w:r w:rsidRPr="00527D57">
        <w:t>, em seguida, houve uma segunda discussão entre os dois, que acabou com a expulsão de ambos da discoteca pelos seguranças</w:t>
      </w:r>
      <w:r w:rsidR="00ED18B3" w:rsidRPr="00527D57">
        <w:t>; considerando que</w:t>
      </w:r>
      <w:r w:rsidRPr="00527D57">
        <w:t xml:space="preserve">, apesar dos pedidos da parte lesada para que devolvesse o telemóvel, </w:t>
      </w:r>
      <w:proofErr w:type="spellStart"/>
      <w:r w:rsidRPr="00527D57">
        <w:t>Péter</w:t>
      </w:r>
      <w:proofErr w:type="spellEnd"/>
      <w:r w:rsidRPr="00527D57">
        <w:t xml:space="preserve"> </w:t>
      </w:r>
      <w:proofErr w:type="spellStart"/>
      <w:r w:rsidRPr="00527D57">
        <w:t>Magyar</w:t>
      </w:r>
      <w:proofErr w:type="spellEnd"/>
      <w:r w:rsidRPr="00527D57">
        <w:t xml:space="preserve"> arremessou o telemóvel da parte lesada para o rio Danúbio;</w:t>
      </w:r>
    </w:p>
    <w:p w14:paraId="2648E555" w14:textId="77777777" w:rsidR="0063173A" w:rsidRPr="00527D57" w:rsidRDefault="0063173A" w:rsidP="0063173A">
      <w:pPr>
        <w:pStyle w:val="NormalHanging12a"/>
        <w:widowControl/>
      </w:pPr>
      <w:r w:rsidRPr="00527D57">
        <w:t>C.</w:t>
      </w:r>
      <w:r w:rsidRPr="00527D57">
        <w:tab/>
        <w:t>Considerando que, de acordo com o pedido, os mergulhadores da polícia chamados ao local recuperaram o telemóvel, avaliado em cerca de 130 000-150 000 HUF, do rio Danúbio e o devolveram à parte lesada em bom estado de funcionamento;</w:t>
      </w:r>
    </w:p>
    <w:p w14:paraId="5592BD14" w14:textId="5B25766E" w:rsidR="0063173A" w:rsidRPr="00527D57" w:rsidRDefault="0063173A" w:rsidP="0063173A">
      <w:pPr>
        <w:pStyle w:val="NormalHanging12a"/>
        <w:widowControl/>
      </w:pPr>
      <w:r w:rsidRPr="00527D57">
        <w:t>D.</w:t>
      </w:r>
      <w:r w:rsidRPr="00527D57">
        <w:tab/>
        <w:t xml:space="preserve">Considerando que </w:t>
      </w:r>
      <w:proofErr w:type="spellStart"/>
      <w:r w:rsidRPr="00527D57">
        <w:t>Péter</w:t>
      </w:r>
      <w:proofErr w:type="spellEnd"/>
      <w:r w:rsidRPr="00527D57">
        <w:t xml:space="preserve"> </w:t>
      </w:r>
      <w:proofErr w:type="spellStart"/>
      <w:r w:rsidRPr="00527D57">
        <w:t>Magyar</w:t>
      </w:r>
      <w:proofErr w:type="spellEnd"/>
      <w:r w:rsidRPr="00527D57">
        <w:t xml:space="preserve"> foi eleito para o Parlamento Europeu nas eleições europeias de junho de 2024</w:t>
      </w:r>
      <w:r w:rsidR="00ED18B3" w:rsidRPr="00527D57">
        <w:t>; considerando que</w:t>
      </w:r>
      <w:r w:rsidRPr="00527D57">
        <w:t xml:space="preserve"> os resultados das eleições europeias na Hungria foram proclamados pelas autoridades húngaras em 14 de junho de 2024, tendo </w:t>
      </w:r>
      <w:proofErr w:type="spellStart"/>
      <w:r w:rsidRPr="00527D57">
        <w:t>Péter</w:t>
      </w:r>
      <w:proofErr w:type="spellEnd"/>
      <w:r w:rsidRPr="00527D57">
        <w:t xml:space="preserve"> </w:t>
      </w:r>
      <w:proofErr w:type="spellStart"/>
      <w:r w:rsidRPr="00527D57">
        <w:t>Magyar</w:t>
      </w:r>
      <w:proofErr w:type="spellEnd"/>
      <w:r w:rsidRPr="00527D57">
        <w:t xml:space="preserve"> sido incluído entre os deputados ao Parlamento Europeu oficialmente declarados eleitos na Hungria</w:t>
      </w:r>
      <w:r w:rsidR="00ED18B3" w:rsidRPr="00527D57">
        <w:t>; considerando que</w:t>
      </w:r>
      <w:r w:rsidRPr="00527D57">
        <w:t xml:space="preserve">, assim, </w:t>
      </w:r>
      <w:proofErr w:type="spellStart"/>
      <w:r w:rsidRPr="00527D57">
        <w:t>Péter</w:t>
      </w:r>
      <w:proofErr w:type="spellEnd"/>
      <w:r w:rsidRPr="00527D57">
        <w:t xml:space="preserve"> </w:t>
      </w:r>
      <w:proofErr w:type="spellStart"/>
      <w:r w:rsidRPr="00527D57">
        <w:t>Magyar</w:t>
      </w:r>
      <w:proofErr w:type="spellEnd"/>
      <w:r w:rsidRPr="00527D57">
        <w:t xml:space="preserve"> era deputado ao Parlamento Europeu à data da alegada infração e das investigações realizadas pelas autoridades competentes;</w:t>
      </w:r>
    </w:p>
    <w:p w14:paraId="796C98E1" w14:textId="77777777" w:rsidR="0063173A" w:rsidRPr="00527D57" w:rsidRDefault="0063173A" w:rsidP="0063173A">
      <w:pPr>
        <w:pStyle w:val="NormalHanging12a"/>
        <w:widowControl/>
      </w:pPr>
      <w:r w:rsidRPr="00527D57">
        <w:t>E.</w:t>
      </w:r>
      <w:r w:rsidRPr="00527D57">
        <w:tab/>
        <w:t xml:space="preserve">Considerando que a alegada infração não constitui uma opinião expressa ou um voto emitido por </w:t>
      </w:r>
      <w:proofErr w:type="spellStart"/>
      <w:r w:rsidRPr="00527D57">
        <w:t>Péter</w:t>
      </w:r>
      <w:proofErr w:type="spellEnd"/>
      <w:r w:rsidRPr="00527D57">
        <w:t xml:space="preserve"> </w:t>
      </w:r>
      <w:proofErr w:type="spellStart"/>
      <w:r w:rsidRPr="00527D57">
        <w:t>Magyar</w:t>
      </w:r>
      <w:proofErr w:type="spellEnd"/>
      <w:r w:rsidRPr="00527D57">
        <w:t xml:space="preserve"> no exercício das suas funções, na aceção do artigo 8.º do Protocolo n.º 7 relativo aos Privilégios e Imunidades da União Europeia, </w:t>
      </w:r>
      <w:bookmarkStart w:id="8" w:name="_Hlk210733878"/>
      <w:r w:rsidRPr="00527D57">
        <w:t xml:space="preserve">nem o pedido subsequente de levantamento da imunidade de </w:t>
      </w:r>
      <w:proofErr w:type="spellStart"/>
      <w:r w:rsidRPr="00527D57">
        <w:t>Péter</w:t>
      </w:r>
      <w:proofErr w:type="spellEnd"/>
      <w:r w:rsidRPr="00527D57">
        <w:t xml:space="preserve"> </w:t>
      </w:r>
      <w:proofErr w:type="spellStart"/>
      <w:r w:rsidRPr="00527D57">
        <w:t>Magyar</w:t>
      </w:r>
      <w:proofErr w:type="spellEnd"/>
      <w:r w:rsidRPr="00527D57">
        <w:t xml:space="preserve"> está relacionado com tal opinião ou voto</w:t>
      </w:r>
      <w:bookmarkEnd w:id="8"/>
      <w:r w:rsidRPr="00527D57">
        <w:t>;</w:t>
      </w:r>
    </w:p>
    <w:p w14:paraId="5631F02A" w14:textId="77777777" w:rsidR="0063173A" w:rsidRPr="00527D57" w:rsidRDefault="0063173A" w:rsidP="0063173A">
      <w:pPr>
        <w:pStyle w:val="NormalHanging12a"/>
        <w:widowControl/>
      </w:pPr>
      <w:r w:rsidRPr="00527D57">
        <w:lastRenderedPageBreak/>
        <w:t>F.</w:t>
      </w:r>
      <w:r w:rsidRPr="00527D57">
        <w:tab/>
        <w:t>Considerando que o artigo 9.º, primeiro parágrafo, alínea a), do Protocolo n.º 7 relativo aos Privilégios e Imunidades da União Europeia prevê que os deputados ao Parlamento Europeu beneficiam, no seu território nacional, das imunidades reconhecidas aos membros do parlamento do seu país;</w:t>
      </w:r>
    </w:p>
    <w:p w14:paraId="54D761FC" w14:textId="74837D61" w:rsidR="0063173A" w:rsidRPr="00527D57" w:rsidRDefault="0063173A" w:rsidP="0063173A">
      <w:pPr>
        <w:pStyle w:val="NormalHanging12a"/>
        <w:widowControl/>
      </w:pPr>
      <w:r w:rsidRPr="00527D57">
        <w:t>G.</w:t>
      </w:r>
      <w:r w:rsidRPr="00527D57">
        <w:tab/>
        <w:t>Considerando que o artigo 4.º, n.º 2, da Lei Fundamental da Hungria estabelece que os deputados ao Parlamento húngaro beneficiam de imunidade</w:t>
      </w:r>
      <w:r w:rsidR="00ED18B3" w:rsidRPr="00527D57">
        <w:t>; considerando que</w:t>
      </w:r>
      <w:r w:rsidRPr="00527D57">
        <w:t xml:space="preserve">, nos termos do artigo 79.º, n.º 2, da Lei n.º XXXVI, de 2012, relativa </w:t>
      </w:r>
      <w:r w:rsidR="009820CD" w:rsidRPr="00527D57">
        <w:t>ao Parlamento húngaro</w:t>
      </w:r>
      <w:r w:rsidRPr="00527D57">
        <w:t>, uma pessoa registada com efeito definitivo e vinculativo como candidato goza da mesma imunidade que os deputados até que o resultado das eleições se torne definitivo e vinculativo, e que, em todo o caso, nos termos do artigo 79.º, n.º 1, da mesma lei, os deputados gozam de imunidade a partir do dia da sua eleição</w:t>
      </w:r>
      <w:r w:rsidR="00ED18B3" w:rsidRPr="00527D57">
        <w:t>; considerando que</w:t>
      </w:r>
      <w:r w:rsidRPr="00527D57">
        <w:rPr>
          <w:color w:val="000000"/>
          <w:shd w:val="clear" w:color="auto" w:fill="FFFFFF"/>
        </w:rPr>
        <w:t xml:space="preserve">, nos termos do artigo 74.º, n.º 1, da Lei </w:t>
      </w:r>
      <w:r w:rsidR="00391D88" w:rsidRPr="00527D57">
        <w:t xml:space="preserve">n.º </w:t>
      </w:r>
      <w:r w:rsidRPr="00527D57">
        <w:rPr>
          <w:color w:val="000000"/>
          <w:shd w:val="clear" w:color="auto" w:fill="FFFFFF"/>
        </w:rPr>
        <w:t xml:space="preserve">XXXVI de 2012 relativa </w:t>
      </w:r>
      <w:r w:rsidR="009820CD" w:rsidRPr="00527D57">
        <w:rPr>
          <w:color w:val="000000"/>
          <w:shd w:val="clear" w:color="auto" w:fill="FFFFFF"/>
        </w:rPr>
        <w:t xml:space="preserve">ao </w:t>
      </w:r>
      <w:r w:rsidR="009820CD" w:rsidRPr="00527D57">
        <w:rPr>
          <w:shd w:val="clear" w:color="auto" w:fill="FFFFFF"/>
        </w:rPr>
        <w:t>Parlamento húngaro</w:t>
      </w:r>
      <w:r w:rsidRPr="00527D57">
        <w:rPr>
          <w:color w:val="000000"/>
          <w:shd w:val="clear" w:color="auto" w:fill="FFFFFF"/>
        </w:rPr>
        <w:t xml:space="preserve">, </w:t>
      </w:r>
      <w:r w:rsidR="006B506B" w:rsidRPr="00527D57">
        <w:rPr>
          <w:color w:val="000000"/>
          <w:shd w:val="clear" w:color="auto" w:fill="FFFFFF"/>
        </w:rPr>
        <w:t>as ações</w:t>
      </w:r>
      <w:r w:rsidRPr="00527D57">
        <w:rPr>
          <w:color w:val="000000"/>
          <w:shd w:val="clear" w:color="auto" w:fill="FFFFFF"/>
        </w:rPr>
        <w:t xml:space="preserve"> penais ou, caso </w:t>
      </w:r>
      <w:r w:rsidR="006B506B" w:rsidRPr="00527D57">
        <w:rPr>
          <w:color w:val="000000"/>
          <w:shd w:val="clear" w:color="auto" w:fill="FFFFFF"/>
        </w:rPr>
        <w:t>a imunidade não seja voluntariamente levantada no processo em causa,</w:t>
      </w:r>
      <w:r w:rsidRPr="00527D57">
        <w:rPr>
          <w:color w:val="000000"/>
          <w:shd w:val="clear" w:color="auto" w:fill="FFFFFF"/>
        </w:rPr>
        <w:t xml:space="preserve">, </w:t>
      </w:r>
      <w:r w:rsidR="00F86600" w:rsidRPr="00527D57">
        <w:rPr>
          <w:color w:val="000000"/>
          <w:shd w:val="clear" w:color="auto" w:fill="FFFFFF"/>
        </w:rPr>
        <w:t xml:space="preserve">os </w:t>
      </w:r>
      <w:r w:rsidR="00A92E4B" w:rsidRPr="00527D57">
        <w:rPr>
          <w:color w:val="000000"/>
          <w:shd w:val="clear" w:color="auto" w:fill="FFFFFF"/>
        </w:rPr>
        <w:t>processos por infração</w:t>
      </w:r>
      <w:r w:rsidRPr="00527D57">
        <w:rPr>
          <w:color w:val="000000"/>
          <w:shd w:val="clear" w:color="auto" w:fill="FFFFFF"/>
        </w:rPr>
        <w:t xml:space="preserve">, </w:t>
      </w:r>
      <w:r w:rsidR="00F86600" w:rsidRPr="00527D57">
        <w:rPr>
          <w:color w:val="000000"/>
          <w:shd w:val="clear" w:color="auto" w:fill="FFFFFF"/>
        </w:rPr>
        <w:t xml:space="preserve">não podem ser instaurados ou prosseguidos e não podem </w:t>
      </w:r>
      <w:r w:rsidRPr="00527D57">
        <w:rPr>
          <w:color w:val="000000"/>
          <w:shd w:val="clear" w:color="auto" w:fill="FFFFFF"/>
        </w:rPr>
        <w:t xml:space="preserve">ser aplicadas medidas </w:t>
      </w:r>
      <w:r w:rsidR="00F86600" w:rsidRPr="00527D57">
        <w:rPr>
          <w:color w:val="000000"/>
          <w:shd w:val="clear" w:color="auto" w:fill="FFFFFF"/>
        </w:rPr>
        <w:t xml:space="preserve">de coação </w:t>
      </w:r>
      <w:bookmarkStart w:id="9" w:name="_Hlk210725824"/>
      <w:r w:rsidR="00A92E4B" w:rsidRPr="00527D57">
        <w:rPr>
          <w:color w:val="000000"/>
          <w:shd w:val="clear" w:color="auto" w:fill="FFFFFF"/>
        </w:rPr>
        <w:t xml:space="preserve">no âmbito de </w:t>
      </w:r>
      <w:bookmarkEnd w:id="9"/>
      <w:r w:rsidR="00A92E4B" w:rsidRPr="00527D57">
        <w:rPr>
          <w:color w:val="000000"/>
          <w:shd w:val="clear" w:color="auto" w:fill="FFFFFF"/>
        </w:rPr>
        <w:t xml:space="preserve">um processo penal </w:t>
      </w:r>
      <w:r w:rsidRPr="00527D57">
        <w:rPr>
          <w:color w:val="000000"/>
          <w:shd w:val="clear" w:color="auto" w:fill="FFFFFF"/>
        </w:rPr>
        <w:t xml:space="preserve">contra um deputado, sem o </w:t>
      </w:r>
      <w:bookmarkStart w:id="10" w:name="_Hlk210726019"/>
      <w:r w:rsidRPr="00527D57">
        <w:rPr>
          <w:color w:val="000000"/>
          <w:shd w:val="clear" w:color="auto" w:fill="FFFFFF"/>
        </w:rPr>
        <w:t xml:space="preserve">consentimento </w:t>
      </w:r>
      <w:bookmarkEnd w:id="10"/>
      <w:r w:rsidRPr="00527D57">
        <w:rPr>
          <w:color w:val="000000"/>
          <w:shd w:val="clear" w:color="auto" w:fill="FFFFFF"/>
        </w:rPr>
        <w:t xml:space="preserve">prévio </w:t>
      </w:r>
      <w:r w:rsidR="009820CD" w:rsidRPr="00527D57">
        <w:rPr>
          <w:color w:val="000000"/>
          <w:shd w:val="clear" w:color="auto" w:fill="FFFFFF"/>
        </w:rPr>
        <w:t>do Parlamento húngaro</w:t>
      </w:r>
      <w:r w:rsidRPr="00527D57">
        <w:rPr>
          <w:color w:val="000000"/>
          <w:shd w:val="clear" w:color="auto" w:fill="FFFFFF"/>
        </w:rPr>
        <w:t>;</w:t>
      </w:r>
    </w:p>
    <w:p w14:paraId="65D6DB82" w14:textId="77777777" w:rsidR="0063173A" w:rsidRPr="00527D57" w:rsidRDefault="0063173A" w:rsidP="0063173A">
      <w:pPr>
        <w:pStyle w:val="NormalHanging12a"/>
        <w:widowControl/>
      </w:pPr>
      <w:r w:rsidRPr="00527D57">
        <w:t>H.</w:t>
      </w:r>
      <w:r w:rsidRPr="00527D57">
        <w:tab/>
        <w:t>Considerando que, nos termos do artigo 5.º, n.º 2, do Regimento, a imunidade parlamentar não é um privilégio pessoal dos deputados, mas sim uma garantia da independência do Parlamento Europeu como um todo e dos seus membros;</w:t>
      </w:r>
    </w:p>
    <w:p w14:paraId="7EAFF7B1" w14:textId="77777777" w:rsidR="0063173A" w:rsidRPr="00527D57" w:rsidRDefault="0063173A" w:rsidP="00B8699C">
      <w:pPr>
        <w:widowControl/>
        <w:spacing w:after="240"/>
        <w:ind w:left="567" w:hanging="567"/>
      </w:pPr>
      <w:r w:rsidRPr="00527D57">
        <w:t>I.</w:t>
      </w:r>
      <w:r w:rsidRPr="00527D57">
        <w:tab/>
        <w:t xml:space="preserve">Considerando que o objetivo da imunidade prevista no Protocolo n.º 7 relativo aos Privilégios e Imunidades da União Europeia é proteger o Parlamento e os seus deputados contra processos judiciais relacionados com atividades exercidas no desempenho das suas funções parlamentares e que não podem ser separadas dessas funções; </w:t>
      </w:r>
    </w:p>
    <w:p w14:paraId="030E8A94" w14:textId="77777777" w:rsidR="0063173A" w:rsidRPr="00527D57" w:rsidRDefault="0063173A" w:rsidP="0063173A">
      <w:pPr>
        <w:pStyle w:val="NormalHanging12a"/>
      </w:pPr>
      <w:r w:rsidRPr="00527D57">
        <w:t>J.</w:t>
      </w:r>
      <w:r w:rsidRPr="00527D57">
        <w:tab/>
        <w:t>Considerando que decorre da jurisprudência do Tribunal de Justiça da União Europeia que o Parlamento dispõe de um «amplo poder de apreciação quanto à orientação que entende dar a uma decisão na sequência de um pedido de levantamento da imunidade [...], devido ao caráter político que essa decisão reveste»</w:t>
      </w:r>
      <w:r w:rsidRPr="00527D57">
        <w:rPr>
          <w:vertAlign w:val="superscript"/>
        </w:rPr>
        <w:footnoteReference w:id="2"/>
      </w:r>
      <w:r w:rsidRPr="00527D57">
        <w:t>;</w:t>
      </w:r>
    </w:p>
    <w:p w14:paraId="5FE70D0E" w14:textId="6FB6FE51" w:rsidR="0063173A" w:rsidRPr="00527D57" w:rsidRDefault="0063173A" w:rsidP="0063173A">
      <w:pPr>
        <w:pStyle w:val="NormalHanging12a"/>
      </w:pPr>
      <w:r w:rsidRPr="00527D57">
        <w:t xml:space="preserve">K. </w:t>
      </w:r>
      <w:r w:rsidRPr="00527D57">
        <w:tab/>
        <w:t xml:space="preserve">Considerando que </w:t>
      </w:r>
      <w:proofErr w:type="spellStart"/>
      <w:r w:rsidRPr="00527D57">
        <w:t>Péter</w:t>
      </w:r>
      <w:proofErr w:type="spellEnd"/>
      <w:r w:rsidRPr="00527D57">
        <w:t xml:space="preserve"> </w:t>
      </w:r>
      <w:proofErr w:type="spellStart"/>
      <w:r w:rsidRPr="00527D57">
        <w:t>Magyar</w:t>
      </w:r>
      <w:proofErr w:type="spellEnd"/>
      <w:r w:rsidRPr="00527D57">
        <w:t xml:space="preserve"> é o presidente do Partido </w:t>
      </w:r>
      <w:proofErr w:type="spellStart"/>
      <w:r w:rsidRPr="00527D57">
        <w:t>Tisza</w:t>
      </w:r>
      <w:proofErr w:type="spellEnd"/>
      <w:r w:rsidRPr="00527D57">
        <w:t xml:space="preserve"> (</w:t>
      </w:r>
      <w:proofErr w:type="spellStart"/>
      <w:r w:rsidRPr="00527D57">
        <w:t>Tisztelet</w:t>
      </w:r>
      <w:proofErr w:type="spellEnd"/>
      <w:r w:rsidRPr="00527D57">
        <w:t xml:space="preserve"> és </w:t>
      </w:r>
      <w:proofErr w:type="spellStart"/>
      <w:r w:rsidRPr="00527D57">
        <w:t>Szabadság</w:t>
      </w:r>
      <w:proofErr w:type="spellEnd"/>
      <w:r w:rsidRPr="00527D57">
        <w:t xml:space="preserve"> </w:t>
      </w:r>
      <w:proofErr w:type="spellStart"/>
      <w:r w:rsidRPr="00527D57">
        <w:t>Párt</w:t>
      </w:r>
      <w:proofErr w:type="spellEnd"/>
      <w:r w:rsidRPr="00527D57">
        <w:t>) e também o cabeça de lista desse partido às eleições europeias de 2024</w:t>
      </w:r>
      <w:r w:rsidR="00ED18B3" w:rsidRPr="00527D57">
        <w:t>; considerando que</w:t>
      </w:r>
      <w:r w:rsidRPr="00527D57">
        <w:t xml:space="preserve"> </w:t>
      </w:r>
      <w:proofErr w:type="spellStart"/>
      <w:r w:rsidRPr="00527D57">
        <w:t>Péter</w:t>
      </w:r>
      <w:proofErr w:type="spellEnd"/>
      <w:r w:rsidRPr="00527D57">
        <w:t xml:space="preserve"> </w:t>
      </w:r>
      <w:proofErr w:type="spellStart"/>
      <w:r w:rsidRPr="00527D57">
        <w:t>Magyar</w:t>
      </w:r>
      <w:proofErr w:type="spellEnd"/>
      <w:r w:rsidRPr="00527D57">
        <w:t xml:space="preserve"> tem sido um opositor declarado das políticas e posições do Governo húngaro, incluindo as relacionadas com a União</w:t>
      </w:r>
      <w:r w:rsidR="00ED18B3" w:rsidRPr="00527D57">
        <w:t>; considerando que</w:t>
      </w:r>
      <w:r w:rsidRPr="00527D57">
        <w:t xml:space="preserve"> os factos que deram origem ao pedido de levantamento da imunidade, as inconsistências na forma como as investigações policiais foram conduzidas, incluindo a resposta incompleta do procurador</w:t>
      </w:r>
      <w:r w:rsidR="0077461A" w:rsidRPr="00527D57">
        <w:t>-</w:t>
      </w:r>
      <w:r w:rsidR="003E4A6E" w:rsidRPr="00527D57">
        <w:t xml:space="preserve">geral da Hungria </w:t>
      </w:r>
      <w:r w:rsidRPr="00527D57">
        <w:t xml:space="preserve">sobre a proporcionalidade das medidas tomadas pelas autoridades no caso de </w:t>
      </w:r>
      <w:proofErr w:type="spellStart"/>
      <w:r w:rsidRPr="00527D57">
        <w:t>Péter</w:t>
      </w:r>
      <w:proofErr w:type="spellEnd"/>
      <w:r w:rsidRPr="00527D57">
        <w:t xml:space="preserve"> </w:t>
      </w:r>
      <w:proofErr w:type="spellStart"/>
      <w:r w:rsidRPr="00527D57">
        <w:t>Magyar</w:t>
      </w:r>
      <w:proofErr w:type="spellEnd"/>
      <w:r w:rsidRPr="00527D57">
        <w:t xml:space="preserve"> em comparação com situações semelhantes envolvendo bens de pequeno valor, e a falta de clareza na resposta das autoridades competentes sobre a qualificação jurídica do alegado crime de que </w:t>
      </w:r>
      <w:proofErr w:type="spellStart"/>
      <w:r w:rsidRPr="00527D57">
        <w:t>Péter</w:t>
      </w:r>
      <w:proofErr w:type="spellEnd"/>
      <w:r w:rsidRPr="00527D57">
        <w:t xml:space="preserve"> </w:t>
      </w:r>
      <w:proofErr w:type="spellStart"/>
      <w:r w:rsidRPr="00527D57">
        <w:t>Magyar</w:t>
      </w:r>
      <w:proofErr w:type="spellEnd"/>
      <w:r w:rsidRPr="00527D57">
        <w:t xml:space="preserve"> foi acusado suscitam dúvidas sobre se a intenção subjacente ao processo não terá sido prejudicar a reputação </w:t>
      </w:r>
      <w:r w:rsidR="0077461A" w:rsidRPr="00527D57">
        <w:t xml:space="preserve">de </w:t>
      </w:r>
      <w:proofErr w:type="spellStart"/>
      <w:r w:rsidR="0077461A" w:rsidRPr="00527D57">
        <w:t>Péter</w:t>
      </w:r>
      <w:proofErr w:type="spellEnd"/>
      <w:r w:rsidR="0077461A" w:rsidRPr="00527D57">
        <w:t xml:space="preserve"> </w:t>
      </w:r>
      <w:proofErr w:type="spellStart"/>
      <w:r w:rsidR="0077461A" w:rsidRPr="00527D57">
        <w:t>Magyar</w:t>
      </w:r>
      <w:proofErr w:type="spellEnd"/>
      <w:r w:rsidRPr="00527D57">
        <w:t xml:space="preserve">; </w:t>
      </w:r>
    </w:p>
    <w:p w14:paraId="3DECC242" w14:textId="77777777" w:rsidR="0063173A" w:rsidRPr="00527D57" w:rsidRDefault="0063173A" w:rsidP="0063173A">
      <w:pPr>
        <w:pStyle w:val="NormalHanging12a"/>
      </w:pPr>
      <w:r w:rsidRPr="00527D57">
        <w:t>L.</w:t>
      </w:r>
      <w:r w:rsidRPr="00527D57">
        <w:tab/>
        <w:t xml:space="preserve">Considerando que, no caso em apreço, parece poder presumir-se a existência de </w:t>
      </w:r>
      <w:proofErr w:type="spellStart"/>
      <w:r w:rsidRPr="00527D57">
        <w:rPr>
          <w:i/>
          <w:iCs/>
        </w:rPr>
        <w:t>fumus</w:t>
      </w:r>
      <w:proofErr w:type="spellEnd"/>
      <w:r w:rsidRPr="00527D57">
        <w:rPr>
          <w:i/>
          <w:iCs/>
        </w:rPr>
        <w:t xml:space="preserve"> </w:t>
      </w:r>
      <w:proofErr w:type="spellStart"/>
      <w:r w:rsidRPr="00527D57">
        <w:rPr>
          <w:i/>
          <w:iCs/>
        </w:rPr>
        <w:lastRenderedPageBreak/>
        <w:t>persecutionis</w:t>
      </w:r>
      <w:proofErr w:type="spellEnd"/>
      <w:r w:rsidRPr="00527D57">
        <w:t>, ou seja, de um «elemento concreto»</w:t>
      </w:r>
      <w:r w:rsidRPr="00527D57">
        <w:rPr>
          <w:vertAlign w:val="superscript"/>
        </w:rPr>
        <w:footnoteReference w:id="3"/>
      </w:r>
      <w:r w:rsidRPr="00527D57">
        <w:t xml:space="preserve"> de que a intenção subjacente ao processo judicial em questão é prejudicar a atividade política de </w:t>
      </w:r>
      <w:proofErr w:type="spellStart"/>
      <w:r w:rsidRPr="00527D57">
        <w:t>Péter</w:t>
      </w:r>
      <w:proofErr w:type="spellEnd"/>
      <w:r w:rsidRPr="00527D57">
        <w:t xml:space="preserve"> </w:t>
      </w:r>
      <w:proofErr w:type="spellStart"/>
      <w:r w:rsidRPr="00527D57">
        <w:t>Magyar</w:t>
      </w:r>
      <w:proofErr w:type="spellEnd"/>
      <w:r w:rsidRPr="00527D57">
        <w:t>, em particular a sua atividade como deputado ao Parlamento Europeu;</w:t>
      </w:r>
    </w:p>
    <w:p w14:paraId="3EE5253C" w14:textId="77777777" w:rsidR="0063173A" w:rsidRPr="00527D57" w:rsidRDefault="0063173A" w:rsidP="0063173A">
      <w:pPr>
        <w:pStyle w:val="NormalHanging12a"/>
        <w:widowControl/>
      </w:pPr>
      <w:r w:rsidRPr="00527D57">
        <w:t>M.</w:t>
      </w:r>
      <w:r w:rsidRPr="00527D57">
        <w:tab/>
        <w:t>Considerando, por um lado, que o Parlamento não pode ser equiparado a um tribunal e que, por outro, o deputado, no contexto de um processo de levantamento da imunidade, não pode ser considerado «arguido»</w:t>
      </w:r>
      <w:r w:rsidRPr="00527D57">
        <w:rPr>
          <w:vertAlign w:val="superscript"/>
        </w:rPr>
        <w:footnoteReference w:id="4"/>
      </w:r>
      <w:r w:rsidRPr="00527D57">
        <w:t>;</w:t>
      </w:r>
    </w:p>
    <w:p w14:paraId="77D23EAB" w14:textId="77777777" w:rsidR="0063173A" w:rsidRPr="00527D57" w:rsidRDefault="0063173A" w:rsidP="0063173A">
      <w:pPr>
        <w:pStyle w:val="NormalHanging12a"/>
      </w:pPr>
      <w:r w:rsidRPr="00527D57">
        <w:t>1.</w:t>
      </w:r>
      <w:r w:rsidRPr="00527D57">
        <w:tab/>
        <w:t xml:space="preserve">Decide não levantar a imunidade de </w:t>
      </w:r>
      <w:proofErr w:type="spellStart"/>
      <w:r w:rsidRPr="00527D57">
        <w:t>Péter</w:t>
      </w:r>
      <w:proofErr w:type="spellEnd"/>
      <w:r w:rsidRPr="00527D57">
        <w:t xml:space="preserve"> </w:t>
      </w:r>
      <w:proofErr w:type="spellStart"/>
      <w:r w:rsidRPr="00527D57">
        <w:t>Magyar</w:t>
      </w:r>
      <w:proofErr w:type="spellEnd"/>
      <w:r w:rsidRPr="00527D57">
        <w:t>;</w:t>
      </w:r>
    </w:p>
    <w:p w14:paraId="4DF36237" w14:textId="5A47661B" w:rsidR="00E365E1" w:rsidRPr="00527D57" w:rsidRDefault="0063173A" w:rsidP="00ED18B3">
      <w:pPr>
        <w:pStyle w:val="NormalHanging12a"/>
      </w:pPr>
      <w:r w:rsidRPr="00527D57">
        <w:t>2.</w:t>
      </w:r>
      <w:r w:rsidRPr="00527D57">
        <w:tab/>
        <w:t xml:space="preserve">Encarrega a sua Presidente de transmitir de imediato a presente decisão, bem como o relatório da sua comissão </w:t>
      </w:r>
      <w:r w:rsidR="006746C2" w:rsidRPr="00527D57">
        <w:t>competente</w:t>
      </w:r>
      <w:r w:rsidRPr="00527D57">
        <w:t xml:space="preserve">, às autoridades competentes da Hungria e a </w:t>
      </w:r>
      <w:proofErr w:type="spellStart"/>
      <w:r w:rsidRPr="00527D57">
        <w:t>Péter</w:t>
      </w:r>
      <w:proofErr w:type="spellEnd"/>
      <w:r w:rsidRPr="00527D57">
        <w:t xml:space="preserve"> </w:t>
      </w:r>
      <w:proofErr w:type="spellStart"/>
      <w:r w:rsidRPr="00527D57">
        <w:t>Magyar</w:t>
      </w:r>
      <w:proofErr w:type="spellEnd"/>
      <w:r w:rsidRPr="00527D57">
        <w:t>.</w:t>
      </w:r>
    </w:p>
    <w:sectPr w:rsidR="00E365E1" w:rsidRPr="00527D57" w:rsidSect="004978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76ABD" w14:textId="77777777" w:rsidR="00A956DB" w:rsidRPr="004978D4" w:rsidRDefault="00A956DB">
      <w:r w:rsidRPr="004978D4">
        <w:separator/>
      </w:r>
    </w:p>
  </w:endnote>
  <w:endnote w:type="continuationSeparator" w:id="0">
    <w:p w14:paraId="0F1FCD57" w14:textId="77777777" w:rsidR="00A956DB" w:rsidRPr="004978D4" w:rsidRDefault="00A956DB">
      <w:r w:rsidRPr="004978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0B7BD" w14:textId="77777777" w:rsidR="00064002" w:rsidRPr="004978D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D30C0" w14:textId="77777777" w:rsidR="00064002" w:rsidRPr="004978D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16AEB" w14:textId="77777777" w:rsidR="00064002" w:rsidRPr="004978D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DDCDE" w14:textId="77777777" w:rsidR="00A956DB" w:rsidRPr="004978D4" w:rsidRDefault="00A956DB">
      <w:r w:rsidRPr="004978D4">
        <w:separator/>
      </w:r>
    </w:p>
  </w:footnote>
  <w:footnote w:type="continuationSeparator" w:id="0">
    <w:p w14:paraId="6430CEC0" w14:textId="77777777" w:rsidR="00A956DB" w:rsidRPr="004978D4" w:rsidRDefault="00A956DB">
      <w:r w:rsidRPr="004978D4">
        <w:continuationSeparator/>
      </w:r>
    </w:p>
  </w:footnote>
  <w:footnote w:id="1">
    <w:p w14:paraId="3F97E879" w14:textId="1F13AF41" w:rsidR="0063173A" w:rsidRPr="004978D4" w:rsidRDefault="0063173A" w:rsidP="004978D4">
      <w:pPr>
        <w:pStyle w:val="FootnoteText"/>
        <w:ind w:left="567" w:hanging="567"/>
        <w:rPr>
          <w:sz w:val="24"/>
          <w:lang w:val="pt-PT"/>
        </w:rPr>
      </w:pPr>
      <w:r w:rsidRPr="004978D4">
        <w:rPr>
          <w:rStyle w:val="FootnoteReference"/>
          <w:sz w:val="24"/>
          <w:szCs w:val="16"/>
          <w:lang w:val="pt-PT"/>
        </w:rPr>
        <w:footnoteRef/>
      </w:r>
      <w:r w:rsidR="004978D4" w:rsidRPr="004978D4">
        <w:rPr>
          <w:sz w:val="24"/>
          <w:lang w:val="pt-PT"/>
        </w:rPr>
        <w:t xml:space="preserve"> </w:t>
      </w:r>
      <w:r w:rsidR="004978D4" w:rsidRPr="004978D4">
        <w:rPr>
          <w:sz w:val="24"/>
          <w:lang w:val="pt-PT"/>
        </w:rPr>
        <w:tab/>
      </w:r>
      <w:r w:rsidRPr="004978D4">
        <w:rPr>
          <w:sz w:val="24"/>
          <w:lang w:val="pt-PT"/>
        </w:rPr>
        <w:t xml:space="preserve">Acórdão do Tribunal de Justiça de 21 de outubro de 2008, Marra/De </w:t>
      </w:r>
      <w:proofErr w:type="spellStart"/>
      <w:r w:rsidRPr="004978D4">
        <w:rPr>
          <w:sz w:val="24"/>
          <w:lang w:val="pt-PT"/>
        </w:rPr>
        <w:t>Gregorio</w:t>
      </w:r>
      <w:proofErr w:type="spellEnd"/>
      <w:r w:rsidRPr="004978D4">
        <w:rPr>
          <w:sz w:val="24"/>
          <w:lang w:val="pt-PT"/>
        </w:rPr>
        <w:t xml:space="preserve"> e Clemente, C-200/07 e C-201/07, ECLI:EU:C:2008:579; Acórdão do Tribunal Geral de 19 de março de 2010, </w:t>
      </w:r>
      <w:proofErr w:type="spellStart"/>
      <w:r w:rsidRPr="004978D4">
        <w:rPr>
          <w:sz w:val="24"/>
          <w:lang w:val="pt-PT"/>
        </w:rPr>
        <w:t>Gollnisch</w:t>
      </w:r>
      <w:proofErr w:type="spellEnd"/>
      <w:r w:rsidRPr="004978D4">
        <w:rPr>
          <w:sz w:val="24"/>
          <w:lang w:val="pt-PT"/>
        </w:rPr>
        <w:t xml:space="preserve">/Parlamento Europeu, T-42/06, ECLI:EU:T:2010:102; Acórdão do Tribunal de Justiça de 6 de setembro de 2011, </w:t>
      </w:r>
      <w:proofErr w:type="spellStart"/>
      <w:r w:rsidRPr="004978D4">
        <w:rPr>
          <w:sz w:val="24"/>
          <w:lang w:val="pt-PT"/>
        </w:rPr>
        <w:t>Patriciello</w:t>
      </w:r>
      <w:proofErr w:type="spellEnd"/>
      <w:r w:rsidRPr="004978D4">
        <w:rPr>
          <w:sz w:val="24"/>
          <w:lang w:val="pt-PT"/>
        </w:rPr>
        <w:t xml:space="preserve">, C-163/10, ECLI: EU:C:2011:543; Acórdão do Tribunal Geral de 17 de janeiro de 2013, </w:t>
      </w:r>
      <w:proofErr w:type="spellStart"/>
      <w:r w:rsidRPr="004978D4">
        <w:rPr>
          <w:sz w:val="24"/>
          <w:lang w:val="pt-PT"/>
        </w:rPr>
        <w:t>Gollnisch</w:t>
      </w:r>
      <w:proofErr w:type="spellEnd"/>
      <w:r w:rsidRPr="004978D4">
        <w:rPr>
          <w:sz w:val="24"/>
          <w:lang w:val="pt-PT"/>
        </w:rPr>
        <w:t xml:space="preserve">/Parlamento, T-346/11 e T-347/11, ECLI:EU:T:2013:23; Acórdão do Tribunal de Justiça de 19 de dezembro de 2019, </w:t>
      </w:r>
      <w:proofErr w:type="spellStart"/>
      <w:r w:rsidRPr="004978D4">
        <w:rPr>
          <w:sz w:val="24"/>
          <w:lang w:val="pt-PT"/>
        </w:rPr>
        <w:t>Junqueras</w:t>
      </w:r>
      <w:proofErr w:type="spellEnd"/>
      <w:r w:rsidRPr="004978D4">
        <w:rPr>
          <w:sz w:val="24"/>
          <w:lang w:val="pt-PT"/>
        </w:rPr>
        <w:t xml:space="preserve"> </w:t>
      </w:r>
      <w:proofErr w:type="spellStart"/>
      <w:r w:rsidRPr="004978D4">
        <w:rPr>
          <w:sz w:val="24"/>
          <w:lang w:val="pt-PT"/>
        </w:rPr>
        <w:t>Vies</w:t>
      </w:r>
      <w:proofErr w:type="spellEnd"/>
      <w:r w:rsidRPr="004978D4">
        <w:rPr>
          <w:sz w:val="24"/>
          <w:lang w:val="pt-PT"/>
        </w:rPr>
        <w:t xml:space="preserve">, C-502/19, ECLI:EU:C:2019:1115; Acórdão do Tribunal Geral de 5 de julho de 2023, </w:t>
      </w:r>
      <w:proofErr w:type="spellStart"/>
      <w:r w:rsidRPr="004978D4">
        <w:rPr>
          <w:sz w:val="24"/>
          <w:lang w:val="pt-PT"/>
        </w:rPr>
        <w:t>Puigdemont</w:t>
      </w:r>
      <w:proofErr w:type="spellEnd"/>
      <w:r w:rsidRPr="004978D4">
        <w:rPr>
          <w:sz w:val="24"/>
          <w:lang w:val="pt-PT"/>
        </w:rPr>
        <w:t xml:space="preserve"> i </w:t>
      </w:r>
      <w:proofErr w:type="spellStart"/>
      <w:r w:rsidRPr="004978D4">
        <w:rPr>
          <w:sz w:val="24"/>
          <w:lang w:val="pt-PT"/>
        </w:rPr>
        <w:t>Casamajó</w:t>
      </w:r>
      <w:proofErr w:type="spellEnd"/>
      <w:r w:rsidRPr="004978D4">
        <w:rPr>
          <w:sz w:val="24"/>
          <w:lang w:val="pt-PT"/>
        </w:rPr>
        <w:t xml:space="preserve"> e o./Parlamento, T-272/21, ECLI:EU:T:2023:373.</w:t>
      </w:r>
    </w:p>
  </w:footnote>
  <w:footnote w:id="2">
    <w:p w14:paraId="41BE33B0" w14:textId="486243FB" w:rsidR="0063173A" w:rsidRPr="004978D4" w:rsidRDefault="0063173A" w:rsidP="004978D4">
      <w:pPr>
        <w:pStyle w:val="FootnoteText"/>
        <w:ind w:left="567" w:hanging="567"/>
        <w:rPr>
          <w:sz w:val="24"/>
          <w:lang w:val="pt-PT"/>
        </w:rPr>
      </w:pPr>
      <w:r w:rsidRPr="004978D4">
        <w:rPr>
          <w:rStyle w:val="FootnoteReference"/>
          <w:sz w:val="24"/>
          <w:lang w:val="pt-PT"/>
        </w:rPr>
        <w:footnoteRef/>
      </w:r>
      <w:r w:rsidR="004978D4" w:rsidRPr="004978D4">
        <w:rPr>
          <w:sz w:val="24"/>
          <w:lang w:val="pt-PT"/>
        </w:rPr>
        <w:t xml:space="preserve"> </w:t>
      </w:r>
      <w:r w:rsidR="004978D4" w:rsidRPr="004978D4">
        <w:rPr>
          <w:sz w:val="24"/>
          <w:lang w:val="pt-PT"/>
        </w:rPr>
        <w:tab/>
      </w:r>
      <w:r w:rsidRPr="004978D4">
        <w:rPr>
          <w:sz w:val="24"/>
          <w:lang w:val="pt-PT"/>
        </w:rPr>
        <w:t xml:space="preserve">Acórdão do Tribunal Geral de 17 de janeiro de 2013, </w:t>
      </w:r>
      <w:proofErr w:type="spellStart"/>
      <w:r w:rsidRPr="004978D4">
        <w:rPr>
          <w:sz w:val="24"/>
          <w:lang w:val="pt-PT"/>
        </w:rPr>
        <w:t>Gollnisch</w:t>
      </w:r>
      <w:proofErr w:type="spellEnd"/>
      <w:r w:rsidRPr="004978D4">
        <w:rPr>
          <w:sz w:val="24"/>
          <w:lang w:val="pt-PT"/>
        </w:rPr>
        <w:t>/Parlamento Europeu, T‑346/11 e T‑347/11, ECLI:</w:t>
      </w:r>
      <w:proofErr w:type="gramStart"/>
      <w:r w:rsidRPr="004978D4">
        <w:rPr>
          <w:sz w:val="24"/>
          <w:lang w:val="pt-PT"/>
        </w:rPr>
        <w:t>EU:T</w:t>
      </w:r>
      <w:proofErr w:type="gramEnd"/>
      <w:r w:rsidRPr="004978D4">
        <w:rPr>
          <w:sz w:val="24"/>
          <w:lang w:val="pt-PT"/>
        </w:rPr>
        <w:t>:2013:23, n.º 59, e jurisprudência referida.</w:t>
      </w:r>
    </w:p>
  </w:footnote>
  <w:footnote w:id="3">
    <w:p w14:paraId="38D1B696" w14:textId="599BD77A" w:rsidR="0063173A" w:rsidRPr="004978D4" w:rsidRDefault="0063173A" w:rsidP="004978D4">
      <w:pPr>
        <w:pStyle w:val="FootnoteText"/>
        <w:ind w:left="567" w:hanging="567"/>
        <w:rPr>
          <w:sz w:val="24"/>
          <w:lang w:val="pt-PT"/>
        </w:rPr>
      </w:pPr>
      <w:r w:rsidRPr="004978D4">
        <w:rPr>
          <w:rStyle w:val="FootnoteReference"/>
          <w:sz w:val="24"/>
          <w:lang w:val="pt-PT"/>
        </w:rPr>
        <w:footnoteRef/>
      </w:r>
      <w:r w:rsidR="004978D4" w:rsidRPr="004978D4">
        <w:rPr>
          <w:sz w:val="24"/>
          <w:lang w:val="pt-PT"/>
        </w:rPr>
        <w:t xml:space="preserve"> </w:t>
      </w:r>
      <w:r w:rsidR="004978D4" w:rsidRPr="004978D4">
        <w:rPr>
          <w:sz w:val="24"/>
          <w:lang w:val="pt-PT"/>
        </w:rPr>
        <w:tab/>
      </w:r>
      <w:r w:rsidRPr="004978D4">
        <w:rPr>
          <w:sz w:val="24"/>
          <w:lang w:val="pt-PT"/>
        </w:rPr>
        <w:t xml:space="preserve">Acórdão do Tribunal de Justiça de 17 de setembro de 2020, </w:t>
      </w:r>
      <w:proofErr w:type="spellStart"/>
      <w:r w:rsidRPr="004978D4">
        <w:rPr>
          <w:sz w:val="24"/>
          <w:lang w:val="pt-PT"/>
        </w:rPr>
        <w:t>Troszczynski</w:t>
      </w:r>
      <w:proofErr w:type="spellEnd"/>
      <w:r w:rsidRPr="004978D4">
        <w:rPr>
          <w:sz w:val="24"/>
          <w:lang w:val="pt-PT"/>
        </w:rPr>
        <w:t>/Parlamento Europeu, C‑12/19 P, ECLI: EU:C:2020:725, n.º 26.</w:t>
      </w:r>
    </w:p>
  </w:footnote>
  <w:footnote w:id="4">
    <w:p w14:paraId="6056758D" w14:textId="68DB04AA" w:rsidR="0063173A" w:rsidRPr="004978D4" w:rsidRDefault="0063173A" w:rsidP="004978D4">
      <w:pPr>
        <w:pStyle w:val="FootnoteText"/>
        <w:ind w:left="567" w:hanging="567"/>
        <w:rPr>
          <w:sz w:val="24"/>
          <w:lang w:val="pt-PT"/>
        </w:rPr>
      </w:pPr>
      <w:r w:rsidRPr="004978D4">
        <w:rPr>
          <w:rStyle w:val="FootnoteReference"/>
          <w:sz w:val="24"/>
          <w:szCs w:val="16"/>
          <w:lang w:val="pt-PT"/>
        </w:rPr>
        <w:footnoteRef/>
      </w:r>
      <w:r w:rsidR="004978D4" w:rsidRPr="004978D4">
        <w:rPr>
          <w:sz w:val="24"/>
          <w:lang w:val="pt-PT"/>
        </w:rPr>
        <w:t xml:space="preserve"> </w:t>
      </w:r>
      <w:r w:rsidR="004978D4" w:rsidRPr="004978D4">
        <w:rPr>
          <w:sz w:val="24"/>
          <w:lang w:val="pt-PT"/>
        </w:rPr>
        <w:tab/>
      </w:r>
      <w:r w:rsidRPr="004978D4">
        <w:rPr>
          <w:sz w:val="24"/>
          <w:lang w:val="pt-PT"/>
        </w:rPr>
        <w:t xml:space="preserve">Acórdão do Tribunal Geral de 30 de abril de 2019, </w:t>
      </w:r>
      <w:proofErr w:type="spellStart"/>
      <w:r w:rsidRPr="004978D4">
        <w:rPr>
          <w:sz w:val="24"/>
          <w:lang w:val="pt-PT"/>
        </w:rPr>
        <w:t>Briois</w:t>
      </w:r>
      <w:proofErr w:type="spellEnd"/>
      <w:r w:rsidRPr="004978D4">
        <w:rPr>
          <w:sz w:val="24"/>
          <w:lang w:val="pt-PT"/>
        </w:rPr>
        <w:t>/Parlamento Europeu, T-214/18, ECLI:</w:t>
      </w:r>
      <w:proofErr w:type="gramStart"/>
      <w:r w:rsidRPr="004978D4">
        <w:rPr>
          <w:sz w:val="24"/>
          <w:lang w:val="pt-PT"/>
        </w:rPr>
        <w:t>EU:T</w:t>
      </w:r>
      <w:proofErr w:type="gramEnd"/>
      <w:r w:rsidRPr="004978D4">
        <w:rPr>
          <w:sz w:val="24"/>
          <w:lang w:val="pt-P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77B70" w14:textId="77777777" w:rsidR="00064002" w:rsidRPr="004978D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55A91" w14:textId="77777777" w:rsidR="00064002" w:rsidRPr="004978D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4F402" w14:textId="77777777" w:rsidR="00064002" w:rsidRPr="004978D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51758664">
    <w:abstractNumId w:val="9"/>
  </w:num>
  <w:num w:numId="2" w16cid:durableId="1035807994">
    <w:abstractNumId w:val="9"/>
  </w:num>
  <w:num w:numId="3" w16cid:durableId="1205410316">
    <w:abstractNumId w:val="7"/>
  </w:num>
  <w:num w:numId="4" w16cid:durableId="1437367130">
    <w:abstractNumId w:val="7"/>
  </w:num>
  <w:num w:numId="5" w16cid:durableId="4596724">
    <w:abstractNumId w:val="6"/>
  </w:num>
  <w:num w:numId="6" w16cid:durableId="1781299547">
    <w:abstractNumId w:val="6"/>
  </w:num>
  <w:num w:numId="7" w16cid:durableId="915554931">
    <w:abstractNumId w:val="5"/>
  </w:num>
  <w:num w:numId="8" w16cid:durableId="2051301764">
    <w:abstractNumId w:val="5"/>
  </w:num>
  <w:num w:numId="9" w16cid:durableId="1401904273">
    <w:abstractNumId w:val="4"/>
  </w:num>
  <w:num w:numId="10" w16cid:durableId="1352948717">
    <w:abstractNumId w:val="4"/>
  </w:num>
  <w:num w:numId="11" w16cid:durableId="1819154199">
    <w:abstractNumId w:val="8"/>
  </w:num>
  <w:num w:numId="12" w16cid:durableId="1997033403">
    <w:abstractNumId w:val="8"/>
  </w:num>
  <w:num w:numId="13" w16cid:durableId="380060808">
    <w:abstractNumId w:val="3"/>
  </w:num>
  <w:num w:numId="14" w16cid:durableId="1432046253">
    <w:abstractNumId w:val="3"/>
  </w:num>
  <w:num w:numId="15" w16cid:durableId="299267800">
    <w:abstractNumId w:val="2"/>
  </w:num>
  <w:num w:numId="16" w16cid:durableId="1120563615">
    <w:abstractNumId w:val="2"/>
  </w:num>
  <w:num w:numId="17" w16cid:durableId="319386290">
    <w:abstractNumId w:val="1"/>
  </w:num>
  <w:num w:numId="18" w16cid:durableId="588466974">
    <w:abstractNumId w:val="1"/>
  </w:num>
  <w:num w:numId="19" w16cid:durableId="1884830842">
    <w:abstractNumId w:val="0"/>
  </w:num>
  <w:num w:numId="20" w16cid:durableId="96827105">
    <w:abstractNumId w:val="0"/>
  </w:num>
  <w:num w:numId="21" w16cid:durableId="1978098441">
    <w:abstractNumId w:val="9"/>
  </w:num>
  <w:num w:numId="22" w16cid:durableId="467092872">
    <w:abstractNumId w:val="7"/>
  </w:num>
  <w:num w:numId="23" w16cid:durableId="1655570991">
    <w:abstractNumId w:val="6"/>
  </w:num>
  <w:num w:numId="24" w16cid:durableId="1533498793">
    <w:abstractNumId w:val="5"/>
  </w:num>
  <w:num w:numId="25" w16cid:durableId="1496145215">
    <w:abstractNumId w:val="4"/>
  </w:num>
  <w:num w:numId="26" w16cid:durableId="2055153064">
    <w:abstractNumId w:val="8"/>
  </w:num>
  <w:num w:numId="27" w16cid:durableId="1112701754">
    <w:abstractNumId w:val="3"/>
  </w:num>
  <w:num w:numId="28" w16cid:durableId="672342997">
    <w:abstractNumId w:val="2"/>
  </w:num>
  <w:num w:numId="29" w16cid:durableId="1696227219">
    <w:abstractNumId w:val="1"/>
  </w:num>
  <w:num w:numId="30" w16cid:durableId="2085255677">
    <w:abstractNumId w:val="0"/>
  </w:num>
  <w:num w:numId="31" w16cid:durableId="28260603">
    <w:abstractNumId w:val="9"/>
  </w:num>
  <w:num w:numId="32" w16cid:durableId="1617058671">
    <w:abstractNumId w:val="7"/>
  </w:num>
  <w:num w:numId="33" w16cid:durableId="235209040">
    <w:abstractNumId w:val="6"/>
  </w:num>
  <w:num w:numId="34" w16cid:durableId="893389855">
    <w:abstractNumId w:val="5"/>
  </w:num>
  <w:num w:numId="35" w16cid:durableId="2011325533">
    <w:abstractNumId w:val="4"/>
  </w:num>
  <w:num w:numId="36" w16cid:durableId="1591231853">
    <w:abstractNumId w:val="8"/>
  </w:num>
  <w:num w:numId="37" w16cid:durableId="2026978379">
    <w:abstractNumId w:val="3"/>
  </w:num>
  <w:num w:numId="38" w16cid:durableId="1972982379">
    <w:abstractNumId w:val="2"/>
  </w:num>
  <w:num w:numId="39" w16cid:durableId="1735423290">
    <w:abstractNumId w:val="1"/>
  </w:num>
  <w:num w:numId="40" w16cid:durableId="220988524">
    <w:abstractNumId w:val="0"/>
  </w:num>
  <w:num w:numId="41" w16cid:durableId="1056318919">
    <w:abstractNumId w:val="10"/>
  </w:num>
  <w:num w:numId="42" w16cid:durableId="1643466785">
    <w:abstractNumId w:val="10"/>
  </w:num>
  <w:num w:numId="43" w16cid:durableId="1483541325">
    <w:abstractNumId w:val="10"/>
  </w:num>
  <w:num w:numId="44" w16cid:durableId="12777171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0/2025"/>
    <w:docVar w:name="dvlangue" w:val="PT"/>
    <w:docVar w:name="dvnumam" w:val="0"/>
    <w:docVar w:name="dvpe" w:val="770.241"/>
    <w:docVar w:name="dvrapporteur" w:val="Relator: "/>
    <w:docVar w:name="dvtitre" w:val="Decisão do Parlamento Europeu, de ... de ... de 2025,_x000d__x000a_ sobre o pedido de levantamento da imunidade de Péter Magyar(2024/2063(IMM))"/>
  </w:docVars>
  <w:rsids>
    <w:rsidRoot w:val="00A956DB"/>
    <w:rsid w:val="00002272"/>
    <w:rsid w:val="00054B4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07FD"/>
    <w:rsid w:val="002B18FE"/>
    <w:rsid w:val="002B5493"/>
    <w:rsid w:val="00343214"/>
    <w:rsid w:val="00361C00"/>
    <w:rsid w:val="00391D88"/>
    <w:rsid w:val="00395FA1"/>
    <w:rsid w:val="003E15D4"/>
    <w:rsid w:val="003E4A6E"/>
    <w:rsid w:val="00411CCE"/>
    <w:rsid w:val="0041666E"/>
    <w:rsid w:val="00421060"/>
    <w:rsid w:val="00471C19"/>
    <w:rsid w:val="004867E3"/>
    <w:rsid w:val="00494A28"/>
    <w:rsid w:val="004978D4"/>
    <w:rsid w:val="004C0004"/>
    <w:rsid w:val="004C5D52"/>
    <w:rsid w:val="0050519A"/>
    <w:rsid w:val="005072A1"/>
    <w:rsid w:val="00514517"/>
    <w:rsid w:val="00527D57"/>
    <w:rsid w:val="00545827"/>
    <w:rsid w:val="00560270"/>
    <w:rsid w:val="005C2568"/>
    <w:rsid w:val="005F1B17"/>
    <w:rsid w:val="006037C0"/>
    <w:rsid w:val="0063173A"/>
    <w:rsid w:val="006631B6"/>
    <w:rsid w:val="006746C2"/>
    <w:rsid w:val="00680577"/>
    <w:rsid w:val="006B506B"/>
    <w:rsid w:val="006F74FA"/>
    <w:rsid w:val="007172C5"/>
    <w:rsid w:val="00731ADD"/>
    <w:rsid w:val="00734777"/>
    <w:rsid w:val="00747932"/>
    <w:rsid w:val="00751A4A"/>
    <w:rsid w:val="00756632"/>
    <w:rsid w:val="00762C74"/>
    <w:rsid w:val="0077461A"/>
    <w:rsid w:val="00786EC0"/>
    <w:rsid w:val="007D1690"/>
    <w:rsid w:val="007E22AD"/>
    <w:rsid w:val="007F048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61E"/>
    <w:rsid w:val="00981893"/>
    <w:rsid w:val="009820CD"/>
    <w:rsid w:val="00A1687D"/>
    <w:rsid w:val="00A43E52"/>
    <w:rsid w:val="00A4678D"/>
    <w:rsid w:val="00A778C7"/>
    <w:rsid w:val="00A92E4B"/>
    <w:rsid w:val="00A956DB"/>
    <w:rsid w:val="00AB441E"/>
    <w:rsid w:val="00AB6293"/>
    <w:rsid w:val="00AE0928"/>
    <w:rsid w:val="00AF3B82"/>
    <w:rsid w:val="00B12E95"/>
    <w:rsid w:val="00B22876"/>
    <w:rsid w:val="00B558F0"/>
    <w:rsid w:val="00B8699C"/>
    <w:rsid w:val="00BD48FE"/>
    <w:rsid w:val="00BD7BD8"/>
    <w:rsid w:val="00BE6ADC"/>
    <w:rsid w:val="00C05BFE"/>
    <w:rsid w:val="00C23CD4"/>
    <w:rsid w:val="00C61C0C"/>
    <w:rsid w:val="00C941CB"/>
    <w:rsid w:val="00CC2357"/>
    <w:rsid w:val="00CD5A4E"/>
    <w:rsid w:val="00CF071A"/>
    <w:rsid w:val="00D058B8"/>
    <w:rsid w:val="00D4597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18B3"/>
    <w:rsid w:val="00ED4235"/>
    <w:rsid w:val="00F04346"/>
    <w:rsid w:val="00F075DC"/>
    <w:rsid w:val="00F149E9"/>
    <w:rsid w:val="00F5134D"/>
    <w:rsid w:val="00F74202"/>
    <w:rsid w:val="00F8660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E0B3F0"/>
  <w15:chartTrackingRefBased/>
  <w15:docId w15:val="{EBA9CF96-8797-4D5A-A1C7-6B16581A3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3173A"/>
    <w:pPr>
      <w:spacing w:after="240"/>
      <w:ind w:left="567" w:hanging="567"/>
    </w:pPr>
  </w:style>
  <w:style w:type="paragraph" w:customStyle="1" w:styleId="EPComma">
    <w:name w:val="EPComma"/>
    <w:basedOn w:val="Normal"/>
    <w:rsid w:val="0063173A"/>
    <w:pPr>
      <w:spacing w:before="480" w:after="240"/>
    </w:pPr>
  </w:style>
  <w:style w:type="paragraph" w:styleId="BodyText">
    <w:name w:val="Body Text"/>
    <w:basedOn w:val="Normal"/>
    <w:link w:val="BodyTextChar"/>
    <w:unhideWhenUsed/>
    <w:qFormat/>
    <w:rsid w:val="0063173A"/>
    <w:pPr>
      <w:shd w:val="clear" w:color="auto" w:fill="FFFFFF"/>
      <w:spacing w:after="260"/>
      <w:jc w:val="both"/>
    </w:pPr>
    <w:rPr>
      <w:szCs w:val="24"/>
      <w:lang w:eastAsia="hu-HU" w:bidi="hu-HU"/>
    </w:rPr>
  </w:style>
  <w:style w:type="character" w:customStyle="1" w:styleId="BodyTextChar">
    <w:name w:val="Body Text Char"/>
    <w:basedOn w:val="DefaultParagraphFont"/>
    <w:link w:val="BodyText"/>
    <w:rsid w:val="0063173A"/>
    <w:rPr>
      <w:sz w:val="24"/>
      <w:szCs w:val="24"/>
      <w:shd w:val="clear" w:color="auto" w:fill="FFFFFF"/>
      <w:lang w:val="pt-PT" w:eastAsia="hu-HU" w:bidi="hu-HU"/>
    </w:rPr>
  </w:style>
  <w:style w:type="paragraph" w:styleId="Revision">
    <w:name w:val="Revision"/>
    <w:hidden/>
    <w:uiPriority w:val="99"/>
    <w:semiHidden/>
    <w:rsid w:val="00ED18B3"/>
    <w:rPr>
      <w:sz w:val="24"/>
      <w:lang w:val="pt-PT"/>
    </w:rPr>
  </w:style>
  <w:style w:type="character" w:styleId="CommentReference">
    <w:name w:val="annotation reference"/>
    <w:basedOn w:val="DefaultParagraphFont"/>
    <w:rsid w:val="00A92E4B"/>
    <w:rPr>
      <w:sz w:val="16"/>
      <w:szCs w:val="16"/>
    </w:rPr>
  </w:style>
  <w:style w:type="paragraph" w:styleId="CommentText">
    <w:name w:val="annotation text"/>
    <w:basedOn w:val="Normal"/>
    <w:link w:val="CommentTextChar"/>
    <w:rsid w:val="00A92E4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92E4B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A92E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92E4B"/>
    <w:rPr>
      <w:b/>
      <w:bCs/>
      <w:lang w:val="pt-PT"/>
    </w:rPr>
  </w:style>
  <w:style w:type="character" w:styleId="Hyperlink">
    <w:name w:val="Hyperlink"/>
    <w:basedOn w:val="DefaultParagraphFont"/>
    <w:rsid w:val="00D459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59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1231</Words>
  <Characters>6443</Characters>
  <Application>Microsoft Office Word</Application>
  <DocSecurity>0</DocSecurity>
  <Lines>184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2025-10-07T11:59:00Z</dcterms:created>
  <dcterms:modified xsi:type="dcterms:W3CDTF">2025-10-07T11:59:00Z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A10-0180/2025</vt:lpwstr>
  </property>
  <property fmtid="{D5CDD505-2E9C-101B-9397-08002B2CF9AE}" pid="4" name="&lt;Type&gt;">
    <vt:lpwstr>RR</vt:lpwstr>
  </property>
</Properties>
</file>