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7A44" w14:paraId="06A69B38" w14:textId="77777777" w:rsidTr="0010095E">
        <w:trPr>
          <w:trHeight w:hRule="exact" w:val="1418"/>
        </w:trPr>
        <w:tc>
          <w:tcPr>
            <w:tcW w:w="6804" w:type="dxa"/>
            <w:shd w:val="clear" w:color="auto" w:fill="auto"/>
            <w:vAlign w:val="center"/>
          </w:tcPr>
          <w:p w14:paraId="6F9E96E0" w14:textId="77777777" w:rsidR="00751A4A" w:rsidRPr="00E17A44" w:rsidRDefault="00A500E4" w:rsidP="0010095E">
            <w:pPr>
              <w:pStyle w:val="EPName"/>
            </w:pPr>
            <w:r w:rsidRPr="00E17A44">
              <w:t>Parlamentul European</w:t>
            </w:r>
          </w:p>
          <w:p w14:paraId="320F0C0F" w14:textId="77777777" w:rsidR="00751A4A" w:rsidRPr="00E17A44" w:rsidRDefault="005F1B17" w:rsidP="005F1B17">
            <w:pPr>
              <w:pStyle w:val="EPTerm"/>
              <w:rPr>
                <w:rStyle w:val="HideTWBExt"/>
                <w:noProof w:val="0"/>
                <w:vanish w:val="0"/>
                <w:color w:val="auto"/>
              </w:rPr>
            </w:pPr>
            <w:r w:rsidRPr="00E17A44">
              <w:t>2024</w:t>
            </w:r>
            <w:r w:rsidR="00817416" w:rsidRPr="00E17A44">
              <w:t>-202</w:t>
            </w:r>
            <w:r w:rsidRPr="00E17A44">
              <w:t>9</w:t>
            </w:r>
          </w:p>
        </w:tc>
        <w:tc>
          <w:tcPr>
            <w:tcW w:w="2268" w:type="dxa"/>
            <w:shd w:val="clear" w:color="auto" w:fill="auto"/>
          </w:tcPr>
          <w:p w14:paraId="064E5885" w14:textId="77777777" w:rsidR="00751A4A" w:rsidRPr="00E17A44" w:rsidRDefault="00187494" w:rsidP="0010095E">
            <w:pPr>
              <w:pStyle w:val="EPLogo"/>
            </w:pPr>
            <w:r w:rsidRPr="00E17A44">
              <w:rPr>
                <w:noProof/>
                <w:lang w:eastAsia="ja-JP"/>
              </w:rPr>
              <w:drawing>
                <wp:inline distT="0" distB="0" distL="0" distR="0" wp14:anchorId="4AAA4966" wp14:editId="01CEB5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9D6FF6" w14:textId="77777777" w:rsidR="00D058B8" w:rsidRPr="00E17A44" w:rsidRDefault="00D058B8" w:rsidP="004C5D52">
      <w:pPr>
        <w:pStyle w:val="LineTop"/>
      </w:pPr>
    </w:p>
    <w:p w14:paraId="72DD082E" w14:textId="77777777" w:rsidR="00680577" w:rsidRPr="00E17A44" w:rsidRDefault="00A500E4" w:rsidP="00680577">
      <w:pPr>
        <w:pStyle w:val="EPBodyTA1"/>
      </w:pPr>
      <w:r w:rsidRPr="00E17A44">
        <w:t>TEXTE ADOPTATE</w:t>
      </w:r>
    </w:p>
    <w:p w14:paraId="248FC86B" w14:textId="77777777" w:rsidR="00D058B8" w:rsidRPr="00E17A44" w:rsidRDefault="00D058B8" w:rsidP="00D058B8">
      <w:pPr>
        <w:pStyle w:val="LineBottom"/>
      </w:pPr>
    </w:p>
    <w:p w14:paraId="3B088684" w14:textId="50F7692F" w:rsidR="00A500E4" w:rsidRPr="00E17A44" w:rsidRDefault="00A500E4" w:rsidP="00A500E4">
      <w:pPr>
        <w:pStyle w:val="ATHeading1"/>
      </w:pPr>
      <w:bookmarkStart w:id="0" w:name="TANumber"/>
      <w:r w:rsidRPr="00E17A44">
        <w:t>P10_TA(2025)0</w:t>
      </w:r>
      <w:bookmarkEnd w:id="0"/>
      <w:r w:rsidR="00CA7184" w:rsidRPr="00E17A44">
        <w:t>203</w:t>
      </w:r>
    </w:p>
    <w:p w14:paraId="511D4108" w14:textId="77777777" w:rsidR="00A500E4" w:rsidRPr="00E17A44" w:rsidRDefault="00A500E4" w:rsidP="00A500E4">
      <w:pPr>
        <w:pStyle w:val="ATHeading2"/>
      </w:pPr>
      <w:bookmarkStart w:id="1" w:name="title"/>
      <w:r w:rsidRPr="00E17A44">
        <w:t xml:space="preserve">Cerere de ridicare a imunității deputatului </w:t>
      </w:r>
      <w:proofErr w:type="spellStart"/>
      <w:r w:rsidRPr="00E17A44">
        <w:t>Péter</w:t>
      </w:r>
      <w:proofErr w:type="spellEnd"/>
      <w:r w:rsidRPr="00E17A44">
        <w:t xml:space="preserve"> Magyar</w:t>
      </w:r>
      <w:bookmarkEnd w:id="1"/>
    </w:p>
    <w:p w14:paraId="6A54A9E5" w14:textId="77777777" w:rsidR="00A500E4" w:rsidRPr="00E17A44" w:rsidRDefault="00A500E4" w:rsidP="00A500E4">
      <w:pPr>
        <w:rPr>
          <w:i/>
          <w:vanish/>
        </w:rPr>
      </w:pPr>
      <w:r w:rsidRPr="00E17A44">
        <w:rPr>
          <w:i/>
        </w:rPr>
        <w:fldChar w:fldCharType="begin"/>
      </w:r>
      <w:r w:rsidRPr="00E17A44">
        <w:rPr>
          <w:i/>
        </w:rPr>
        <w:instrText xml:space="preserve"> TC"(</w:instrText>
      </w:r>
      <w:bookmarkStart w:id="2" w:name="DocNumber"/>
      <w:r w:rsidRPr="00E17A44">
        <w:rPr>
          <w:i/>
        </w:rPr>
        <w:instrText>A10-0180/2025</w:instrText>
      </w:r>
      <w:bookmarkEnd w:id="2"/>
      <w:r w:rsidRPr="00E17A44">
        <w:rPr>
          <w:i/>
        </w:rPr>
        <w:instrText xml:space="preserve"> - Raportor: </w:instrText>
      </w:r>
      <w:proofErr w:type="spellStart"/>
      <w:r w:rsidRPr="00E17A44">
        <w:rPr>
          <w:i/>
        </w:rPr>
        <w:instrText>Krzysztof</w:instrText>
      </w:r>
      <w:proofErr w:type="spellEnd"/>
      <w:r w:rsidRPr="00E17A44">
        <w:rPr>
          <w:i/>
        </w:rPr>
        <w:instrText xml:space="preserve"> </w:instrText>
      </w:r>
      <w:proofErr w:type="spellStart"/>
      <w:r w:rsidRPr="00E17A44">
        <w:rPr>
          <w:i/>
        </w:rPr>
        <w:instrText>Śmiszek</w:instrText>
      </w:r>
      <w:proofErr w:type="spellEnd"/>
      <w:r w:rsidRPr="00E17A44">
        <w:rPr>
          <w:i/>
        </w:rPr>
        <w:instrText xml:space="preserve">)"\l3 \n&gt; \* MERGEFORMAT </w:instrText>
      </w:r>
      <w:r w:rsidRPr="00E17A44">
        <w:rPr>
          <w:i/>
        </w:rPr>
        <w:fldChar w:fldCharType="end"/>
      </w:r>
    </w:p>
    <w:p w14:paraId="4D0695CD" w14:textId="77777777" w:rsidR="00A500E4" w:rsidRPr="00E17A44" w:rsidRDefault="00A500E4" w:rsidP="00A500E4">
      <w:pPr>
        <w:rPr>
          <w:vanish/>
        </w:rPr>
      </w:pPr>
      <w:bookmarkStart w:id="3" w:name="Commission"/>
      <w:r w:rsidRPr="00E17A44">
        <w:rPr>
          <w:vanish/>
        </w:rPr>
        <w:t>Comisia pentru afaceri juridice</w:t>
      </w:r>
      <w:bookmarkEnd w:id="3"/>
    </w:p>
    <w:p w14:paraId="10ADAAA0" w14:textId="77777777" w:rsidR="00A500E4" w:rsidRPr="00E17A44" w:rsidRDefault="00A500E4" w:rsidP="00A500E4">
      <w:pPr>
        <w:rPr>
          <w:vanish/>
        </w:rPr>
      </w:pPr>
      <w:bookmarkStart w:id="4" w:name="PE"/>
      <w:r w:rsidRPr="00E17A44">
        <w:rPr>
          <w:vanish/>
        </w:rPr>
        <w:t>PE770.241</w:t>
      </w:r>
      <w:bookmarkEnd w:id="4"/>
    </w:p>
    <w:p w14:paraId="717764BC" w14:textId="3E8B23C4" w:rsidR="00A500E4" w:rsidRPr="00E17A44" w:rsidRDefault="00A500E4" w:rsidP="00A500E4">
      <w:pPr>
        <w:pStyle w:val="ATHeading3"/>
      </w:pPr>
      <w:bookmarkStart w:id="5" w:name="Sujet"/>
      <w:r w:rsidRPr="00E17A44">
        <w:t xml:space="preserve">Decizia Parlamentului European din </w:t>
      </w:r>
      <w:r w:rsidR="00CB5CDE" w:rsidRPr="00E17A44">
        <w:t xml:space="preserve">7 </w:t>
      </w:r>
      <w:r w:rsidRPr="00E17A44">
        <w:t xml:space="preserve">octombrie 2025 privind cererea de ridicare a imunității deputatului </w:t>
      </w:r>
      <w:proofErr w:type="spellStart"/>
      <w:r w:rsidRPr="00E17A44">
        <w:t>Péter</w:t>
      </w:r>
      <w:proofErr w:type="spellEnd"/>
      <w:r w:rsidRPr="00E17A44">
        <w:t xml:space="preserve"> Magyar</w:t>
      </w:r>
      <w:bookmarkEnd w:id="5"/>
      <w:r w:rsidRPr="00E17A44">
        <w:t xml:space="preserve"> </w:t>
      </w:r>
      <w:bookmarkStart w:id="6" w:name="References"/>
      <w:r w:rsidRPr="00E17A44">
        <w:t>(2024/2063(IMM))</w:t>
      </w:r>
      <w:bookmarkEnd w:id="6"/>
    </w:p>
    <w:p w14:paraId="63C2AD5E" w14:textId="77777777" w:rsidR="00294136" w:rsidRPr="00E17A44" w:rsidRDefault="00294136" w:rsidP="00294136">
      <w:pPr>
        <w:pStyle w:val="EPComma"/>
      </w:pPr>
      <w:bookmarkStart w:id="7" w:name="TextBodyBegin"/>
      <w:bookmarkEnd w:id="7"/>
      <w:r w:rsidRPr="00E17A44">
        <w:rPr>
          <w:i/>
        </w:rPr>
        <w:t>Parlamentul European</w:t>
      </w:r>
      <w:r w:rsidRPr="00E17A44">
        <w:t>,</w:t>
      </w:r>
    </w:p>
    <w:p w14:paraId="3E81E17D" w14:textId="74C4F923" w:rsidR="00294136" w:rsidRPr="00E17A44" w:rsidRDefault="00294136" w:rsidP="00294136">
      <w:pPr>
        <w:pStyle w:val="NormalHanging12a"/>
      </w:pPr>
      <w:r w:rsidRPr="00E17A44">
        <w:t>–</w:t>
      </w:r>
      <w:r w:rsidRPr="00E17A44">
        <w:tab/>
        <w:t xml:space="preserve">având în vedere cererea de ridicare a imunității deputatului </w:t>
      </w:r>
      <w:proofErr w:type="spellStart"/>
      <w:r w:rsidRPr="00E17A44">
        <w:t>Péter</w:t>
      </w:r>
      <w:proofErr w:type="spellEnd"/>
      <w:r w:rsidRPr="00E17A44">
        <w:t xml:space="preserve"> Magyar, din 26 septembrie 2024, depusă de Procurorul General al Ungariei în legătură cu o procedură penală inițiată împotriva </w:t>
      </w:r>
      <w:r w:rsidR="00CB5CDE" w:rsidRPr="00E17A44">
        <w:t>lui</w:t>
      </w:r>
      <w:r w:rsidRPr="00E17A44">
        <w:t xml:space="preserve"> și anunțată în </w:t>
      </w:r>
      <w:r w:rsidR="00540BE0" w:rsidRPr="00E17A44">
        <w:t>Parlament</w:t>
      </w:r>
      <w:r w:rsidRPr="00E17A44">
        <w:t xml:space="preserve"> la 10 octombrie 2024,</w:t>
      </w:r>
    </w:p>
    <w:p w14:paraId="17B4594C" w14:textId="77777777" w:rsidR="00294136" w:rsidRPr="00E17A44" w:rsidRDefault="00294136" w:rsidP="00294136">
      <w:pPr>
        <w:pStyle w:val="NormalHanging12a"/>
        <w:widowControl/>
      </w:pPr>
      <w:r w:rsidRPr="00E17A44">
        <w:t>–</w:t>
      </w:r>
      <w:r w:rsidRPr="00E17A44">
        <w:tab/>
        <w:t xml:space="preserve">având în vedere audierea deputatului </w:t>
      </w:r>
      <w:proofErr w:type="spellStart"/>
      <w:r w:rsidRPr="00E17A44">
        <w:t>Péter</w:t>
      </w:r>
      <w:proofErr w:type="spellEnd"/>
      <w:r w:rsidRPr="00E17A44">
        <w:t xml:space="preserve"> Magyar la 24 iunie 2025, în conformitate cu articolul 9 alineatul (6) din Regulamentul său de procedură,</w:t>
      </w:r>
    </w:p>
    <w:p w14:paraId="7CD266C3" w14:textId="77777777" w:rsidR="00294136" w:rsidRPr="00E17A44" w:rsidRDefault="00294136" w:rsidP="00294136">
      <w:pPr>
        <w:pStyle w:val="NormalHanging12a"/>
        <w:widowControl/>
      </w:pPr>
      <w:r w:rsidRPr="00E17A44">
        <w:t>–</w:t>
      </w:r>
      <w:r w:rsidRPr="00E17A44">
        <w:tab/>
        <w:t>având în vedere informațiile suplimentare prezentate de Procurorul General al Ungariei,</w:t>
      </w:r>
    </w:p>
    <w:p w14:paraId="2EBD42D9" w14:textId="77777777" w:rsidR="00294136" w:rsidRPr="00E17A44" w:rsidRDefault="00294136" w:rsidP="00294136">
      <w:pPr>
        <w:pStyle w:val="NormalHanging12a"/>
        <w:widowControl/>
      </w:pPr>
      <w:r w:rsidRPr="00E17A44">
        <w:t>–</w:t>
      </w:r>
      <w:r w:rsidRPr="00E17A44">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2DBA49FD" w14:textId="77777777" w:rsidR="00294136" w:rsidRPr="00E17A44" w:rsidRDefault="00294136" w:rsidP="00294136">
      <w:pPr>
        <w:pStyle w:val="NormalHanging12a"/>
        <w:widowControl/>
      </w:pPr>
      <w:r w:rsidRPr="00E17A44">
        <w:t>–</w:t>
      </w:r>
      <w:r w:rsidRPr="00E17A44">
        <w:tab/>
        <w:t xml:space="preserve">având în vedere articolul </w:t>
      </w:r>
      <w:r w:rsidRPr="00E17A44">
        <w:rPr>
          <w:color w:val="000000"/>
          <w:shd w:val="clear" w:color="auto" w:fill="FFFFFF"/>
        </w:rPr>
        <w:t>4 alineatul (2) din Legea fundamentală a Ungariei</w:t>
      </w:r>
      <w:r w:rsidRPr="00E17A44">
        <w:t>,</w:t>
      </w:r>
    </w:p>
    <w:p w14:paraId="5EB52981" w14:textId="77777777" w:rsidR="00294136" w:rsidRPr="00E17A44" w:rsidRDefault="00294136" w:rsidP="00294136">
      <w:pPr>
        <w:pStyle w:val="NormalHanging12a"/>
        <w:widowControl/>
      </w:pPr>
      <w:r w:rsidRPr="00E17A44">
        <w:t>–</w:t>
      </w:r>
      <w:r w:rsidRPr="00E17A44">
        <w:tab/>
        <w:t>având în vedere hotărârile Curții de Justiție a Uniunii Europene din 21 octombrie 2008, 19 martie 2010, 6 septembrie 2011, 17 ianuarie 2013, 19 decembrie 2019 și 5 iulie 2023</w:t>
      </w:r>
      <w:r w:rsidRPr="00E17A44">
        <w:rPr>
          <w:rStyle w:val="FootnoteReference"/>
          <w:color w:val="000000"/>
        </w:rPr>
        <w:footnoteReference w:id="1"/>
      </w:r>
      <w:r w:rsidRPr="00E17A44">
        <w:t>,</w:t>
      </w:r>
    </w:p>
    <w:p w14:paraId="67061559" w14:textId="77777777" w:rsidR="00294136" w:rsidRPr="00E17A44" w:rsidRDefault="00294136" w:rsidP="00294136">
      <w:pPr>
        <w:pStyle w:val="NormalHanging12a"/>
        <w:widowControl/>
      </w:pPr>
      <w:r w:rsidRPr="00E17A44">
        <w:lastRenderedPageBreak/>
        <w:t>–</w:t>
      </w:r>
      <w:r w:rsidRPr="00E17A44">
        <w:tab/>
        <w:t>având în vedere articolul 5 alineatul (2), articolul 6 alineatul (1) și articolul 9 din Regulamentul său de procedură,</w:t>
      </w:r>
    </w:p>
    <w:p w14:paraId="6F6DEF37" w14:textId="77777777" w:rsidR="00294136" w:rsidRPr="00E17A44" w:rsidRDefault="00294136" w:rsidP="00294136">
      <w:pPr>
        <w:pStyle w:val="NormalHanging12a"/>
        <w:widowControl/>
      </w:pPr>
      <w:r w:rsidRPr="00E17A44">
        <w:t>–</w:t>
      </w:r>
      <w:r w:rsidRPr="00E17A44">
        <w:tab/>
        <w:t>având în vedere raportul Comisiei pentru afaceri juridice (A10-0180/2025),</w:t>
      </w:r>
    </w:p>
    <w:p w14:paraId="677F02CB" w14:textId="308A3D14" w:rsidR="00294136" w:rsidRPr="00E17A44" w:rsidRDefault="00294136" w:rsidP="00294136">
      <w:pPr>
        <w:pStyle w:val="NormalHanging12a"/>
        <w:widowControl/>
      </w:pPr>
      <w:r w:rsidRPr="00E17A44">
        <w:t>A.</w:t>
      </w:r>
      <w:r w:rsidRPr="00E17A44">
        <w:tab/>
        <w:t>întrucât</w:t>
      </w:r>
      <w:r w:rsidR="00540BE0" w:rsidRPr="00E17A44">
        <w:t>, la 26 septembrie 2024,</w:t>
      </w:r>
      <w:r w:rsidRPr="00E17A44">
        <w:t xml:space="preserve"> Procurorul General al Ungariei a depus o cerere de ridicare a imunității lui </w:t>
      </w:r>
      <w:proofErr w:type="spellStart"/>
      <w:r w:rsidRPr="00E17A44">
        <w:t>Péter</w:t>
      </w:r>
      <w:proofErr w:type="spellEnd"/>
      <w:r w:rsidRPr="00E17A44">
        <w:t xml:space="preserve"> Magyar, deputat în Parlamentul European</w:t>
      </w:r>
      <w:r w:rsidR="00540BE0" w:rsidRPr="00E17A44">
        <w:t xml:space="preserve"> ales în Ungaria</w:t>
      </w:r>
      <w:r w:rsidRPr="00E17A44">
        <w:t>, în legătură cu acuzații privind o presupusă infracțiune de furt de mică valoare, în temeiul articolului 370 alineatul (1) și al articolului 370 alineatul (2) litera (a) din Legea C din 2012 (Codul penal al Ungariei);</w:t>
      </w:r>
    </w:p>
    <w:p w14:paraId="0E9B22A8" w14:textId="77777777" w:rsidR="00294136" w:rsidRPr="00E17A44" w:rsidRDefault="00294136" w:rsidP="00294136">
      <w:pPr>
        <w:pStyle w:val="BodyText"/>
        <w:shd w:val="clear" w:color="auto" w:fill="auto"/>
        <w:ind w:left="567" w:hanging="567"/>
        <w:jc w:val="left"/>
      </w:pPr>
      <w:r w:rsidRPr="00E17A44">
        <w:rPr>
          <w:shd w:val="clear" w:color="auto" w:fill="FFFFFF"/>
        </w:rPr>
        <w:t>B.</w:t>
      </w:r>
      <w:r w:rsidRPr="00E17A44">
        <w:rPr>
          <w:shd w:val="clear" w:color="auto" w:fill="FFFFFF"/>
        </w:rPr>
        <w:tab/>
      </w:r>
      <w:r w:rsidRPr="00E17A44">
        <w:t xml:space="preserve">întrucât în cerere se arată că, la 21 iunie 2024, </w:t>
      </w:r>
      <w:proofErr w:type="spellStart"/>
      <w:r w:rsidRPr="00E17A44">
        <w:t>Péter</w:t>
      </w:r>
      <w:proofErr w:type="spellEnd"/>
      <w:r w:rsidRPr="00E17A44">
        <w:t xml:space="preserve"> Magyar se afla într-un club din Budapesta, unde a fost recunoscut de partea vătămată, care a înregistrat un material video cu acesta; întrucât în cerere se arată, de asemenea, că a avut loc o altercație minoră între </w:t>
      </w:r>
      <w:proofErr w:type="spellStart"/>
      <w:r w:rsidRPr="00E17A44">
        <w:t>Péter</w:t>
      </w:r>
      <w:proofErr w:type="spellEnd"/>
      <w:r w:rsidRPr="00E17A44">
        <w:t xml:space="preserve"> Magyar și partea vătămată, în timpul căreia </w:t>
      </w:r>
      <w:proofErr w:type="spellStart"/>
      <w:r w:rsidRPr="00E17A44">
        <w:t>Péter</w:t>
      </w:r>
      <w:proofErr w:type="spellEnd"/>
      <w:r w:rsidRPr="00E17A44">
        <w:t xml:space="preserve"> Magyar a smuls telefonul din mâna părții vătămate pentru a opri înregistrarea, l-a pus în propriul buzunar și a plecat; întrucât între cei doi a urmat o a doua dispută, care s-a încheiat cu îndepărtarea lor din club de către agenții de securitate; întrucât, în pofida solicitărilor părții vătămate de a returna telefonul, </w:t>
      </w:r>
      <w:proofErr w:type="spellStart"/>
      <w:r w:rsidRPr="00E17A44">
        <w:t>Péter</w:t>
      </w:r>
      <w:proofErr w:type="spellEnd"/>
      <w:r w:rsidRPr="00E17A44">
        <w:t xml:space="preserve"> Magyar ar fi aruncat telefonul acesteia în Dunăre;</w:t>
      </w:r>
    </w:p>
    <w:p w14:paraId="708D32A3" w14:textId="77777777" w:rsidR="00294136" w:rsidRPr="00E17A44" w:rsidRDefault="00294136" w:rsidP="00294136">
      <w:pPr>
        <w:pStyle w:val="NormalHanging12a"/>
        <w:widowControl/>
      </w:pPr>
      <w:r w:rsidRPr="00E17A44">
        <w:t>C.</w:t>
      </w:r>
      <w:r w:rsidRPr="00E17A44">
        <w:tab/>
        <w:t>întrucât, potrivit cererii, scafandrii poliției chemați la fața locului au recuperat telefonul, în valoare de aproximativ 130 000-150 000 HUF, din Dunăre și l-au returnat părții vătămate în stare de funcționare;</w:t>
      </w:r>
    </w:p>
    <w:p w14:paraId="73DC8C7A" w14:textId="77777777" w:rsidR="00294136" w:rsidRPr="00E17A44" w:rsidRDefault="00294136" w:rsidP="00294136">
      <w:pPr>
        <w:pStyle w:val="NormalHanging12a"/>
        <w:widowControl/>
      </w:pPr>
      <w:r w:rsidRPr="00E17A44">
        <w:t>D.</w:t>
      </w:r>
      <w:r w:rsidRPr="00E17A44">
        <w:tab/>
      </w:r>
      <w:r w:rsidRPr="00E17A44">
        <w:rPr>
          <w:shd w:val="clear" w:color="auto" w:fill="FFFFFF"/>
        </w:rPr>
        <w:t xml:space="preserve">întrucât </w:t>
      </w:r>
      <w:proofErr w:type="spellStart"/>
      <w:r w:rsidRPr="00E17A44">
        <w:t>Péter</w:t>
      </w:r>
      <w:proofErr w:type="spellEnd"/>
      <w:r w:rsidRPr="00E17A44">
        <w:t xml:space="preserve"> Magyar </w:t>
      </w:r>
      <w:r w:rsidRPr="00E17A44">
        <w:rPr>
          <w:shd w:val="clear" w:color="auto" w:fill="FFFFFF"/>
        </w:rPr>
        <w:t>a fost ales în Parlamentul European la alegerile europene din iunie 2024</w:t>
      </w:r>
      <w:r w:rsidRPr="00E17A44">
        <w:t>; întrucât</w:t>
      </w:r>
      <w:r w:rsidRPr="00E17A44">
        <w:rPr>
          <w:shd w:val="clear" w:color="auto" w:fill="FFFFFF"/>
        </w:rPr>
        <w:t xml:space="preserve"> rezultatele alegerilor europene din Ungaria au fost proclamate de autoritățile maghiare la 14 iunie 2024, incluzându-l pe </w:t>
      </w:r>
      <w:proofErr w:type="spellStart"/>
      <w:r w:rsidRPr="00E17A44">
        <w:t>Péter</w:t>
      </w:r>
      <w:proofErr w:type="spellEnd"/>
      <w:r w:rsidRPr="00E17A44">
        <w:t xml:space="preserve"> Magyar </w:t>
      </w:r>
      <w:r w:rsidRPr="00E17A44">
        <w:rPr>
          <w:shd w:val="clear" w:color="auto" w:fill="FFFFFF"/>
        </w:rPr>
        <w:t xml:space="preserve">printre deputații în Parlamentul European declarați oficial aleși în Ungaria; întrucât </w:t>
      </w:r>
      <w:proofErr w:type="spellStart"/>
      <w:r w:rsidRPr="00E17A44">
        <w:t>Péter</w:t>
      </w:r>
      <w:proofErr w:type="spellEnd"/>
      <w:r w:rsidRPr="00E17A44">
        <w:t xml:space="preserve"> Magyar era</w:t>
      </w:r>
      <w:r w:rsidRPr="00E17A44">
        <w:rPr>
          <w:shd w:val="clear" w:color="auto" w:fill="FFFFFF"/>
        </w:rPr>
        <w:t>, așadar, deputat în Parlamentul European la momentul săvârșirii presupusei infracțiuni și al investigațiilor desfășurate de autoritățile competente;</w:t>
      </w:r>
    </w:p>
    <w:p w14:paraId="6F06087F" w14:textId="77777777" w:rsidR="00294136" w:rsidRPr="00E17A44" w:rsidRDefault="00294136" w:rsidP="00294136">
      <w:pPr>
        <w:pStyle w:val="NormalHanging12a"/>
        <w:widowControl/>
      </w:pPr>
      <w:r w:rsidRPr="00E17A44">
        <w:t>E.</w:t>
      </w:r>
      <w:r w:rsidRPr="00E17A44">
        <w:tab/>
        <w:t xml:space="preserve">întrucât presupusa infracțiune nu constituie o opinie sau un vot exprimat de </w:t>
      </w:r>
      <w:proofErr w:type="spellStart"/>
      <w:r w:rsidRPr="00E17A44">
        <w:t>Péter</w:t>
      </w:r>
      <w:proofErr w:type="spellEnd"/>
      <w:r w:rsidRPr="00E17A44">
        <w:t xml:space="preserve"> Magyar în exercitarea funcțiilor sale în calitate de deputat în Parlamentul European în sensul articolului 8 din Protocolul nr. 7 privind privilegiile și imunitățile Uniunii Europene, iar cererea subsecventă de ridicare a imunității lui </w:t>
      </w:r>
      <w:proofErr w:type="spellStart"/>
      <w:r w:rsidRPr="00E17A44">
        <w:t>Péter</w:t>
      </w:r>
      <w:proofErr w:type="spellEnd"/>
      <w:r w:rsidRPr="00E17A44">
        <w:t xml:space="preserve"> Magyar nu are legătură cu acestea;</w:t>
      </w:r>
    </w:p>
    <w:p w14:paraId="5580EACB" w14:textId="77777777" w:rsidR="00294136" w:rsidRPr="00E17A44" w:rsidRDefault="00294136" w:rsidP="00294136">
      <w:pPr>
        <w:pStyle w:val="NormalHanging12a"/>
        <w:widowControl/>
      </w:pPr>
      <w:r w:rsidRPr="00E17A44">
        <w:t>F.</w:t>
      </w:r>
      <w:r w:rsidRPr="00E17A44">
        <w:tab/>
        <w:t>întrucât, în conformitate cu articolul 9 primul paragraf litera (a) din Protocolul nr. 7 privind privilegiile și imunitățile Uniunii Europene, deputații în Parlamentul European beneficiază, pe teritoriul național, de imunitățile recunoscute membrilor parlamentului propriului stat;</w:t>
      </w:r>
    </w:p>
    <w:p w14:paraId="4DBC54EC" w14:textId="6F0FB226" w:rsidR="00294136" w:rsidRPr="00E17A44" w:rsidRDefault="00294136" w:rsidP="00294136">
      <w:pPr>
        <w:pStyle w:val="NormalHanging12a"/>
        <w:widowControl/>
      </w:pPr>
      <w:r w:rsidRPr="00E17A44">
        <w:t>G.</w:t>
      </w:r>
      <w:r w:rsidRPr="00E17A44">
        <w:tab/>
        <w:t xml:space="preserve">întrucât </w:t>
      </w:r>
      <w:r w:rsidRPr="00E17A44">
        <w:rPr>
          <w:color w:val="000000"/>
          <w:shd w:val="clear" w:color="auto" w:fill="FFFFFF"/>
        </w:rPr>
        <w:t xml:space="preserve">articolul 4 alineatul (2) din Legea fundamentală a Ungariei prevede că deputații în Parlamentul Ungariei beneficiază de imunitate parlamentară; întrucât, în conformitate cu articolul 79 alineatul (2) din Legea nr. XXXVI din 2012 privind Adunarea Națională, </w:t>
      </w:r>
      <w:r w:rsidRPr="00E17A44">
        <w:t xml:space="preserve">o persoană înregistrată cu efect definitiv și obligatoriu drept candidat beneficiază de aceeași imunitate ca deputații până când rezultatul alegerilor devine definitiv și obligatoriu și întrucât, în orice caz, în conformitate cu articolul 79 alineatul (1), deputații beneficiază de imunitate de la data alegerii lor; </w:t>
      </w:r>
      <w:r w:rsidRPr="00E17A44">
        <w:rPr>
          <w:color w:val="000000"/>
          <w:shd w:val="clear" w:color="auto" w:fill="FFFFFF"/>
        </w:rPr>
        <w:t xml:space="preserve">întrucât, în conformitate cu articolul 74 alineatul (1) din Legea nr. XXXVI din 2012 privind Adunarea Națională, </w:t>
      </w:r>
      <w:r w:rsidRPr="00E17A44">
        <w:rPr>
          <w:color w:val="000000"/>
          <w:shd w:val="clear" w:color="auto" w:fill="FFFFFF"/>
        </w:rPr>
        <w:lastRenderedPageBreak/>
        <w:t xml:space="preserve">pot fi inițiate sau continuate proceduri penale sau, în cazul în care imunitatea nu este ridicată voluntar în ceea ce privește chestiunea în cauză, proceduri contravenționale, și pot fi aplicate măsuri coercitive </w:t>
      </w:r>
      <w:r w:rsidR="00540BE0" w:rsidRPr="00E17A44">
        <w:rPr>
          <w:color w:val="000000"/>
          <w:shd w:val="clear" w:color="auto" w:fill="FFFFFF"/>
        </w:rPr>
        <w:t xml:space="preserve">în temeiul unei proceduri penale </w:t>
      </w:r>
      <w:r w:rsidRPr="00E17A44">
        <w:rPr>
          <w:color w:val="000000"/>
          <w:shd w:val="clear" w:color="auto" w:fill="FFFFFF"/>
        </w:rPr>
        <w:t>împotriva unui deputat numai cu acordul prealabil al Adunării Naționale;</w:t>
      </w:r>
    </w:p>
    <w:p w14:paraId="4D12C025" w14:textId="77777777" w:rsidR="00294136" w:rsidRPr="00E17A44" w:rsidRDefault="00294136" w:rsidP="00294136">
      <w:pPr>
        <w:pStyle w:val="NormalHanging12a"/>
        <w:widowControl/>
      </w:pPr>
      <w:r w:rsidRPr="00E17A44">
        <w:t>H.</w:t>
      </w:r>
      <w:r w:rsidRPr="00E17A44">
        <w:tab/>
        <w:t>întrucât, în conformitate cu articolul 5 alineatul (2) din Regulamentul de procedură al Parlamentului European, imunitatea parlamentară nu este un privilegiu personal al deputaților, ci o garanție pentru independența Parlamentului European în ansamblu și a membrilor săi;</w:t>
      </w:r>
    </w:p>
    <w:p w14:paraId="6362202F" w14:textId="77777777" w:rsidR="00294136" w:rsidRPr="00E17A44" w:rsidRDefault="00294136" w:rsidP="00294136">
      <w:pPr>
        <w:widowControl/>
        <w:ind w:left="567" w:hanging="567"/>
      </w:pPr>
      <w:r w:rsidRPr="00E17A44">
        <w:t>I.</w:t>
      </w:r>
      <w:r w:rsidRPr="00E17A44">
        <w:tab/>
        <w:t xml:space="preserve">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 </w:t>
      </w:r>
    </w:p>
    <w:p w14:paraId="4679959F" w14:textId="77777777" w:rsidR="00294136" w:rsidRPr="00E17A44" w:rsidRDefault="00294136" w:rsidP="00294136">
      <w:pPr>
        <w:widowControl/>
        <w:ind w:left="567" w:hanging="567"/>
        <w:rPr>
          <w:szCs w:val="24"/>
        </w:rPr>
      </w:pPr>
    </w:p>
    <w:p w14:paraId="416DD9D7" w14:textId="77777777" w:rsidR="00294136" w:rsidRPr="00E17A44" w:rsidRDefault="00294136" w:rsidP="00294136">
      <w:pPr>
        <w:pStyle w:val="NormalHanging12a"/>
      </w:pPr>
      <w:r w:rsidRPr="00E17A44">
        <w:t>J.</w:t>
      </w:r>
      <w:r w:rsidRPr="00E17A44">
        <w:tab/>
        <w:t>întrucât din jurisprudența Curtea de Justiție a Uniunii Europene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E17A44">
        <w:rPr>
          <w:vertAlign w:val="superscript"/>
        </w:rPr>
        <w:footnoteReference w:id="2"/>
      </w:r>
      <w:r w:rsidRPr="00E17A44">
        <w:t>;</w:t>
      </w:r>
    </w:p>
    <w:p w14:paraId="2E4AE838" w14:textId="761D7430" w:rsidR="00294136" w:rsidRPr="00E17A44" w:rsidRDefault="00294136" w:rsidP="00294136">
      <w:pPr>
        <w:pStyle w:val="NormalHanging12a"/>
      </w:pPr>
      <w:r w:rsidRPr="00E17A44">
        <w:t xml:space="preserve">K. </w:t>
      </w:r>
      <w:r w:rsidRPr="00E17A44">
        <w:tab/>
        <w:t xml:space="preserve">întrucât </w:t>
      </w:r>
      <w:proofErr w:type="spellStart"/>
      <w:r w:rsidRPr="00E17A44">
        <w:t>Péter</w:t>
      </w:r>
      <w:proofErr w:type="spellEnd"/>
      <w:r w:rsidRPr="00E17A44">
        <w:t xml:space="preserve"> Magyar este președintele Partidului </w:t>
      </w:r>
      <w:proofErr w:type="spellStart"/>
      <w:r w:rsidRPr="00E17A44">
        <w:t>Tisza</w:t>
      </w:r>
      <w:proofErr w:type="spellEnd"/>
      <w:r w:rsidRPr="00E17A44">
        <w:t xml:space="preserve"> (</w:t>
      </w:r>
      <w:proofErr w:type="spellStart"/>
      <w:r w:rsidRPr="00E17A44">
        <w:t>Tisztelet</w:t>
      </w:r>
      <w:proofErr w:type="spellEnd"/>
      <w:r w:rsidRPr="00E17A44">
        <w:t xml:space="preserve"> </w:t>
      </w:r>
      <w:proofErr w:type="spellStart"/>
      <w:r w:rsidRPr="00E17A44">
        <w:t>és</w:t>
      </w:r>
      <w:proofErr w:type="spellEnd"/>
      <w:r w:rsidRPr="00E17A44">
        <w:t xml:space="preserve"> </w:t>
      </w:r>
      <w:proofErr w:type="spellStart"/>
      <w:r w:rsidRPr="00E17A44">
        <w:t>Szabadság</w:t>
      </w:r>
      <w:proofErr w:type="spellEnd"/>
      <w:r w:rsidRPr="00E17A44">
        <w:t xml:space="preserve"> </w:t>
      </w:r>
      <w:proofErr w:type="spellStart"/>
      <w:r w:rsidRPr="00E17A44">
        <w:t>Párt</w:t>
      </w:r>
      <w:proofErr w:type="spellEnd"/>
      <w:r w:rsidRPr="00E17A44">
        <w:t xml:space="preserve">) și, de asemenea, capul de listă al partidului respectiv la alegerile europene din 2024; întrucât </w:t>
      </w:r>
      <w:proofErr w:type="spellStart"/>
      <w:r w:rsidRPr="00E17A44">
        <w:t>Péter</w:t>
      </w:r>
      <w:proofErr w:type="spellEnd"/>
      <w:r w:rsidRPr="00E17A44">
        <w:t xml:space="preserve"> Magyar s-a opus ferm politicilor și pozițiilor guvernului maghiar, inclusiv celor referitoare la Uniune; întrucât faptele care au stat la baza cererii de ridicare a imunității, neconcordanțele în modul în care au fost efectuate investigațiile poliției, inclusiv răspunsul incomplet al </w:t>
      </w:r>
      <w:r w:rsidR="00540BE0" w:rsidRPr="00E17A44">
        <w:t>Procurorul General al Ungariei</w:t>
      </w:r>
      <w:r w:rsidRPr="00E17A44">
        <w:t xml:space="preserve"> în ceea ce privește proporționalitatea acțiunilor întreprinse de autorități în cazul lui </w:t>
      </w:r>
      <w:proofErr w:type="spellStart"/>
      <w:r w:rsidRPr="00E17A44">
        <w:t>Péter</w:t>
      </w:r>
      <w:proofErr w:type="spellEnd"/>
      <w:r w:rsidRPr="00E17A44">
        <w:t xml:space="preserve"> Magyar comparativ cu situații similare care implică obiecte de mică valoare, precum și lipsa de claritate a răspunsului autorităților competente cu privire la încadrarea juridică a presupusei infracțiuni de care a fost acuzat </w:t>
      </w:r>
      <w:proofErr w:type="spellStart"/>
      <w:r w:rsidRPr="00E17A44">
        <w:t>Péter</w:t>
      </w:r>
      <w:proofErr w:type="spellEnd"/>
      <w:r w:rsidRPr="00E17A44">
        <w:t xml:space="preserve"> Magyar ridică preocupări legate de faptul că intenția aflată la baza procedurii ar fi putut fi aceea de a aduce atingere reputației </w:t>
      </w:r>
      <w:r w:rsidR="00540BE0" w:rsidRPr="00E17A44">
        <w:t xml:space="preserve">lui </w:t>
      </w:r>
      <w:proofErr w:type="spellStart"/>
      <w:r w:rsidR="00540BE0" w:rsidRPr="00E17A44">
        <w:t>Péter</w:t>
      </w:r>
      <w:proofErr w:type="spellEnd"/>
      <w:r w:rsidR="00540BE0" w:rsidRPr="00E17A44">
        <w:t xml:space="preserve"> Magyar</w:t>
      </w:r>
      <w:r w:rsidRPr="00E17A44">
        <w:t xml:space="preserve">; </w:t>
      </w:r>
    </w:p>
    <w:p w14:paraId="0ABB8164" w14:textId="0E04B3EF" w:rsidR="00294136" w:rsidRPr="00E17A44" w:rsidRDefault="00294136" w:rsidP="00294136">
      <w:pPr>
        <w:pStyle w:val="NormalHanging12a"/>
      </w:pPr>
      <w:r w:rsidRPr="00E17A44">
        <w:t>L.</w:t>
      </w:r>
      <w:r w:rsidRPr="00E17A44">
        <w:tab/>
        <w:t xml:space="preserve">întrucât, prin urmare, se pare că, în acest caz, se poate presupune existența </w:t>
      </w:r>
      <w:proofErr w:type="spellStart"/>
      <w:r w:rsidRPr="00E17A44">
        <w:rPr>
          <w:i/>
        </w:rPr>
        <w:t>fumus</w:t>
      </w:r>
      <w:proofErr w:type="spellEnd"/>
      <w:r w:rsidRPr="00E17A44">
        <w:rPr>
          <w:i/>
        </w:rPr>
        <w:t> </w:t>
      </w:r>
      <w:proofErr w:type="spellStart"/>
      <w:r w:rsidRPr="00E17A44">
        <w:rPr>
          <w:i/>
        </w:rPr>
        <w:t>persecutionis</w:t>
      </w:r>
      <w:proofErr w:type="spellEnd"/>
      <w:r w:rsidRPr="00E17A44">
        <w:t>, adică există „probe concrete”</w:t>
      </w:r>
      <w:r w:rsidRPr="00E17A44">
        <w:rPr>
          <w:vertAlign w:val="superscript"/>
        </w:rPr>
        <w:footnoteReference w:id="3"/>
      </w:r>
      <w:r w:rsidRPr="00E17A44">
        <w:t xml:space="preserve"> că intenția care stă la baza procedurii judiciare în cauză este de a submina activitatea politică a lui </w:t>
      </w:r>
      <w:proofErr w:type="spellStart"/>
      <w:r w:rsidRPr="00E17A44">
        <w:t>Péter</w:t>
      </w:r>
      <w:proofErr w:type="spellEnd"/>
      <w:r w:rsidRPr="00E17A44">
        <w:t xml:space="preserve"> Magyar, </w:t>
      </w:r>
      <w:r w:rsidR="00540BE0" w:rsidRPr="00E17A44">
        <w:t xml:space="preserve">și </w:t>
      </w:r>
      <w:r w:rsidRPr="00E17A44">
        <w:t>în special activitatea sa de deputat în Parlamentul European;</w:t>
      </w:r>
    </w:p>
    <w:p w14:paraId="565F9306" w14:textId="77777777" w:rsidR="00294136" w:rsidRPr="00E17A44" w:rsidRDefault="00294136" w:rsidP="00294136">
      <w:pPr>
        <w:pStyle w:val="NormalHanging12a"/>
        <w:widowControl/>
      </w:pPr>
      <w:r w:rsidRPr="00E17A44">
        <w:t>M.</w:t>
      </w:r>
      <w:r w:rsidRPr="00E17A44">
        <w:tab/>
        <w:t>întrucât, pe de o parte, Parlamentul nu poate fi asimilat unei instanțe judecătorești și, pe de altă parte, în contextul unei proceduri de ridicare a imunității, deputatul în cauză nu poate fi considerat „persoană acuzată”</w:t>
      </w:r>
      <w:r w:rsidRPr="00E17A44">
        <w:rPr>
          <w:vertAlign w:val="superscript"/>
        </w:rPr>
        <w:footnoteReference w:id="4"/>
      </w:r>
      <w:r w:rsidRPr="00E17A44">
        <w:t>,</w:t>
      </w:r>
    </w:p>
    <w:p w14:paraId="2B9821C6" w14:textId="77777777" w:rsidR="00294136" w:rsidRPr="00E17A44" w:rsidRDefault="00294136" w:rsidP="00294136">
      <w:pPr>
        <w:pStyle w:val="NormalHanging12a"/>
      </w:pPr>
      <w:r w:rsidRPr="00E17A44">
        <w:t>1.</w:t>
      </w:r>
      <w:r w:rsidRPr="00E17A44">
        <w:tab/>
        <w:t xml:space="preserve">hotărăște să nu ridice imunitatea deputatului </w:t>
      </w:r>
      <w:proofErr w:type="spellStart"/>
      <w:r w:rsidRPr="00E17A44">
        <w:t>Péter</w:t>
      </w:r>
      <w:proofErr w:type="spellEnd"/>
      <w:r w:rsidRPr="00E17A44">
        <w:t xml:space="preserve"> Magyar;</w:t>
      </w:r>
    </w:p>
    <w:p w14:paraId="0654858B" w14:textId="5DEF81E7" w:rsidR="00991BDF" w:rsidRPr="00E17A44" w:rsidRDefault="00294136" w:rsidP="00991BDF">
      <w:pPr>
        <w:pStyle w:val="NormalHanging12a"/>
      </w:pPr>
      <w:r w:rsidRPr="00E17A44">
        <w:t>2.</w:t>
      </w:r>
      <w:r w:rsidRPr="00E17A44">
        <w:tab/>
        <w:t xml:space="preserve">încredințează Președintei sarcina de a transmite imediat prezenta decizie, precum și </w:t>
      </w:r>
      <w:r w:rsidRPr="00E17A44">
        <w:lastRenderedPageBreak/>
        <w:t xml:space="preserve">raportul comisiei competente, autorităților competente din Ungaria și deputatului </w:t>
      </w:r>
      <w:proofErr w:type="spellStart"/>
      <w:r w:rsidRPr="00E17A44">
        <w:t>Péter</w:t>
      </w:r>
      <w:proofErr w:type="spellEnd"/>
      <w:r w:rsidRPr="00E17A44">
        <w:t xml:space="preserve"> Magyar.</w:t>
      </w:r>
    </w:p>
    <w:p w14:paraId="326A2C14" w14:textId="1EB8528D" w:rsidR="00E365E1" w:rsidRPr="00E17A44" w:rsidRDefault="00E365E1" w:rsidP="00A500E4"/>
    <w:sectPr w:rsidR="00E365E1" w:rsidRPr="00E17A44" w:rsidSect="00991B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0D804" w14:textId="77777777" w:rsidR="00A500E4" w:rsidRPr="00991BDF" w:rsidRDefault="00A500E4">
      <w:r w:rsidRPr="00991BDF">
        <w:separator/>
      </w:r>
    </w:p>
  </w:endnote>
  <w:endnote w:type="continuationSeparator" w:id="0">
    <w:p w14:paraId="5D054BD9" w14:textId="77777777" w:rsidR="00A500E4" w:rsidRPr="00991BDF" w:rsidRDefault="00A500E4">
      <w:r w:rsidRPr="00991B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BF651" w14:textId="77777777" w:rsidR="00064002" w:rsidRPr="00991B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53086" w14:textId="77777777" w:rsidR="00064002" w:rsidRPr="00991B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C2F17" w14:textId="77777777" w:rsidR="00064002" w:rsidRPr="00991B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E4EE4" w14:textId="77777777" w:rsidR="00A500E4" w:rsidRPr="00991BDF" w:rsidRDefault="00A500E4">
      <w:r w:rsidRPr="00991BDF">
        <w:separator/>
      </w:r>
    </w:p>
  </w:footnote>
  <w:footnote w:type="continuationSeparator" w:id="0">
    <w:p w14:paraId="59E6219C" w14:textId="77777777" w:rsidR="00A500E4" w:rsidRPr="00991BDF" w:rsidRDefault="00A500E4">
      <w:r w:rsidRPr="00991BDF">
        <w:continuationSeparator/>
      </w:r>
    </w:p>
  </w:footnote>
  <w:footnote w:id="1">
    <w:p w14:paraId="03DC30DB" w14:textId="2C8FCCF6" w:rsidR="00294136" w:rsidRPr="00991BDF" w:rsidRDefault="00294136" w:rsidP="00991BDF">
      <w:pPr>
        <w:pStyle w:val="FootnoteText"/>
        <w:ind w:left="567" w:hanging="567"/>
        <w:rPr>
          <w:sz w:val="24"/>
          <w:lang w:val="ro-RO"/>
        </w:rPr>
      </w:pPr>
      <w:r w:rsidRPr="00991BDF">
        <w:rPr>
          <w:rStyle w:val="FootnoteReference"/>
          <w:sz w:val="24"/>
          <w:szCs w:val="16"/>
          <w:lang w:val="ro-RO"/>
        </w:rPr>
        <w:footnoteRef/>
      </w:r>
      <w:r w:rsidR="00991BDF" w:rsidRPr="00991BDF">
        <w:rPr>
          <w:sz w:val="24"/>
          <w:lang w:val="ro-RO"/>
        </w:rPr>
        <w:t xml:space="preserve"> </w:t>
      </w:r>
      <w:r w:rsidR="00991BDF" w:rsidRPr="00991BDF">
        <w:rPr>
          <w:sz w:val="24"/>
          <w:lang w:val="ro-RO"/>
        </w:rPr>
        <w:tab/>
      </w:r>
      <w:r w:rsidRPr="00991BDF">
        <w:rPr>
          <w:sz w:val="24"/>
          <w:lang w:val="ro-RO"/>
        </w:rPr>
        <w:t xml:space="preserve">Hotărârea Curții de Justiție din 21 octombrie 2008, </w:t>
      </w:r>
      <w:proofErr w:type="spellStart"/>
      <w:r w:rsidRPr="00991BDF">
        <w:rPr>
          <w:sz w:val="24"/>
          <w:lang w:val="ro-RO"/>
        </w:rPr>
        <w:t>Marra</w:t>
      </w:r>
      <w:proofErr w:type="spellEnd"/>
      <w:r w:rsidRPr="00991BDF">
        <w:rPr>
          <w:sz w:val="24"/>
          <w:lang w:val="ro-RO"/>
        </w:rPr>
        <w:t xml:space="preserve">/De Gregorio și Clemente, C-200/07 și C-201/07, ECLI:EU:C:2008:579, Hotărârea Tribunalului din 19 martie 2010, </w:t>
      </w:r>
      <w:proofErr w:type="spellStart"/>
      <w:r w:rsidRPr="00991BDF">
        <w:rPr>
          <w:sz w:val="24"/>
          <w:lang w:val="ro-RO"/>
        </w:rPr>
        <w:t>Gollnisch</w:t>
      </w:r>
      <w:proofErr w:type="spellEnd"/>
      <w:r w:rsidRPr="00991BDF">
        <w:rPr>
          <w:sz w:val="24"/>
          <w:lang w:val="ro-RO"/>
        </w:rPr>
        <w:t xml:space="preserve">/Parlamentul, T-42/06, ECLI:EU:T:2010:102, Hotărârea Curții de Justiție din 6 septembrie 2011, </w:t>
      </w:r>
      <w:proofErr w:type="spellStart"/>
      <w:r w:rsidRPr="00991BDF">
        <w:rPr>
          <w:sz w:val="24"/>
          <w:lang w:val="ro-RO"/>
        </w:rPr>
        <w:t>Patriciello</w:t>
      </w:r>
      <w:proofErr w:type="spellEnd"/>
      <w:r w:rsidRPr="00991BDF">
        <w:rPr>
          <w:sz w:val="24"/>
          <w:lang w:val="ro-RO"/>
        </w:rPr>
        <w:t xml:space="preserve">, C-163/10, ECLI: EU:C:2011:543, Hotărârea Tribunalului din 17 ianuarie 2013, </w:t>
      </w:r>
      <w:proofErr w:type="spellStart"/>
      <w:r w:rsidRPr="00991BDF">
        <w:rPr>
          <w:sz w:val="24"/>
          <w:lang w:val="ro-RO"/>
        </w:rPr>
        <w:t>Gollnisch</w:t>
      </w:r>
      <w:proofErr w:type="spellEnd"/>
      <w:r w:rsidRPr="00991BDF">
        <w:rPr>
          <w:sz w:val="24"/>
          <w:lang w:val="ro-RO"/>
        </w:rPr>
        <w:t xml:space="preserve">/Parlamentul, T-346/11 și T-347/11, ECLI:EU:T:2013:23, Hotărârea Curții de Justiție din 19 decembrie 2019, </w:t>
      </w:r>
      <w:proofErr w:type="spellStart"/>
      <w:r w:rsidRPr="00991BDF">
        <w:rPr>
          <w:sz w:val="24"/>
          <w:lang w:val="ro-RO"/>
        </w:rPr>
        <w:t>Junqueras</w:t>
      </w:r>
      <w:proofErr w:type="spellEnd"/>
      <w:r w:rsidRPr="00991BDF">
        <w:rPr>
          <w:sz w:val="24"/>
          <w:lang w:val="ro-RO"/>
        </w:rPr>
        <w:t xml:space="preserve"> </w:t>
      </w:r>
      <w:proofErr w:type="spellStart"/>
      <w:r w:rsidRPr="00991BDF">
        <w:rPr>
          <w:sz w:val="24"/>
          <w:lang w:val="ro-RO"/>
        </w:rPr>
        <w:t>Vies</w:t>
      </w:r>
      <w:proofErr w:type="spellEnd"/>
      <w:r w:rsidRPr="00991BDF">
        <w:rPr>
          <w:sz w:val="24"/>
          <w:lang w:val="ro-RO"/>
        </w:rPr>
        <w:t xml:space="preserve">, C-502/19, ECLI:EU:C:2019:1115, Hotărârea Tribunalului din 5 iulie 2023, </w:t>
      </w:r>
      <w:proofErr w:type="spellStart"/>
      <w:r w:rsidRPr="00991BDF">
        <w:rPr>
          <w:sz w:val="24"/>
          <w:lang w:val="ro-RO"/>
        </w:rPr>
        <w:t>Puigdemont</w:t>
      </w:r>
      <w:proofErr w:type="spellEnd"/>
      <w:r w:rsidRPr="00991BDF">
        <w:rPr>
          <w:sz w:val="24"/>
          <w:lang w:val="ro-RO"/>
        </w:rPr>
        <w:t xml:space="preserve"> i </w:t>
      </w:r>
      <w:proofErr w:type="spellStart"/>
      <w:r w:rsidRPr="00991BDF">
        <w:rPr>
          <w:sz w:val="24"/>
          <w:lang w:val="ro-RO"/>
        </w:rPr>
        <w:t>Casamajó</w:t>
      </w:r>
      <w:proofErr w:type="spellEnd"/>
      <w:r w:rsidRPr="00991BDF">
        <w:rPr>
          <w:sz w:val="24"/>
          <w:lang w:val="ro-RO"/>
        </w:rPr>
        <w:t xml:space="preserve"> și alții/Parlamentul, T-272/21, ECLI:EU:T:2023:373.</w:t>
      </w:r>
    </w:p>
  </w:footnote>
  <w:footnote w:id="2">
    <w:p w14:paraId="314B036C" w14:textId="36D4754F" w:rsidR="00294136" w:rsidRPr="00991BDF" w:rsidRDefault="00294136" w:rsidP="00991BDF">
      <w:pPr>
        <w:pStyle w:val="FootnoteText"/>
        <w:ind w:left="567" w:hanging="567"/>
        <w:rPr>
          <w:sz w:val="24"/>
          <w:lang w:val="ro-RO"/>
        </w:rPr>
      </w:pPr>
      <w:r w:rsidRPr="00991BDF">
        <w:rPr>
          <w:rStyle w:val="FootnoteReference"/>
          <w:sz w:val="24"/>
          <w:lang w:val="ro-RO"/>
        </w:rPr>
        <w:footnoteRef/>
      </w:r>
      <w:r w:rsidR="00991BDF" w:rsidRPr="00991BDF">
        <w:rPr>
          <w:sz w:val="24"/>
          <w:lang w:val="ro-RO"/>
        </w:rPr>
        <w:t xml:space="preserve"> </w:t>
      </w:r>
      <w:r w:rsidR="00991BDF" w:rsidRPr="00991BDF">
        <w:rPr>
          <w:sz w:val="24"/>
          <w:lang w:val="ro-RO"/>
        </w:rPr>
        <w:tab/>
      </w:r>
      <w:r w:rsidRPr="00991BDF">
        <w:rPr>
          <w:sz w:val="24"/>
          <w:lang w:val="ro-RO"/>
        </w:rPr>
        <w:t xml:space="preserve">Hotărârea Tribunalului din 17 ianuarie 2013, </w:t>
      </w:r>
      <w:proofErr w:type="spellStart"/>
      <w:r w:rsidRPr="00991BDF">
        <w:rPr>
          <w:sz w:val="24"/>
          <w:lang w:val="ro-RO"/>
        </w:rPr>
        <w:t>Gollnisch</w:t>
      </w:r>
      <w:proofErr w:type="spellEnd"/>
      <w:r w:rsidRPr="00991BDF">
        <w:rPr>
          <w:sz w:val="24"/>
          <w:lang w:val="ro-RO"/>
        </w:rPr>
        <w:t>/Parlamentul, T-346/11 și T-347/11, ECLI:EU:T:2013:23, punctul 59 și jurisprudența citată.</w:t>
      </w:r>
    </w:p>
  </w:footnote>
  <w:footnote w:id="3">
    <w:p w14:paraId="25CF131D" w14:textId="4C3431CB" w:rsidR="00294136" w:rsidRPr="00991BDF" w:rsidRDefault="00294136" w:rsidP="00991BDF">
      <w:pPr>
        <w:pStyle w:val="FootnoteText"/>
        <w:ind w:left="567" w:hanging="567"/>
        <w:rPr>
          <w:sz w:val="24"/>
          <w:lang w:val="ro-RO"/>
        </w:rPr>
      </w:pPr>
      <w:r w:rsidRPr="00991BDF">
        <w:rPr>
          <w:rStyle w:val="FootnoteReference"/>
          <w:sz w:val="24"/>
          <w:lang w:val="ro-RO"/>
        </w:rPr>
        <w:footnoteRef/>
      </w:r>
      <w:r w:rsidR="00991BDF" w:rsidRPr="00991BDF">
        <w:rPr>
          <w:sz w:val="24"/>
          <w:lang w:val="ro-RO"/>
        </w:rPr>
        <w:t xml:space="preserve"> </w:t>
      </w:r>
      <w:r w:rsidR="00991BDF" w:rsidRPr="00991BDF">
        <w:rPr>
          <w:sz w:val="24"/>
          <w:lang w:val="ro-RO"/>
        </w:rPr>
        <w:tab/>
      </w:r>
      <w:r w:rsidRPr="00991BDF">
        <w:rPr>
          <w:sz w:val="24"/>
          <w:lang w:val="ro-RO"/>
        </w:rPr>
        <w:t xml:space="preserve">Hotărârea Curții de Justiție din 17 septembrie 2020, </w:t>
      </w:r>
      <w:proofErr w:type="spellStart"/>
      <w:r w:rsidRPr="00991BDF">
        <w:rPr>
          <w:sz w:val="24"/>
          <w:lang w:val="ro-RO"/>
        </w:rPr>
        <w:t>Troszczynski</w:t>
      </w:r>
      <w:proofErr w:type="spellEnd"/>
      <w:r w:rsidRPr="00991BDF">
        <w:rPr>
          <w:sz w:val="24"/>
          <w:lang w:val="ro-RO"/>
        </w:rPr>
        <w:t>/Parlamentul, C-12/19 P, ECLI:EU:C:2020:725, punctul 26.</w:t>
      </w:r>
    </w:p>
  </w:footnote>
  <w:footnote w:id="4">
    <w:p w14:paraId="141D00F3" w14:textId="5097694E" w:rsidR="00294136" w:rsidRPr="00991BDF" w:rsidRDefault="00294136" w:rsidP="00991BDF">
      <w:pPr>
        <w:pStyle w:val="FootnoteText"/>
        <w:ind w:left="567" w:hanging="567"/>
        <w:rPr>
          <w:sz w:val="24"/>
          <w:lang w:val="ro-RO"/>
        </w:rPr>
      </w:pPr>
      <w:r w:rsidRPr="00991BDF">
        <w:rPr>
          <w:rStyle w:val="FootnoteReference"/>
          <w:sz w:val="24"/>
          <w:szCs w:val="16"/>
          <w:lang w:val="ro-RO"/>
        </w:rPr>
        <w:footnoteRef/>
      </w:r>
      <w:r w:rsidR="00991BDF" w:rsidRPr="00991BDF">
        <w:rPr>
          <w:sz w:val="24"/>
          <w:lang w:val="ro-RO"/>
        </w:rPr>
        <w:t xml:space="preserve"> </w:t>
      </w:r>
      <w:r w:rsidR="00991BDF" w:rsidRPr="00991BDF">
        <w:rPr>
          <w:sz w:val="24"/>
          <w:lang w:val="ro-RO"/>
        </w:rPr>
        <w:tab/>
      </w:r>
      <w:r w:rsidRPr="00991BDF">
        <w:rPr>
          <w:sz w:val="24"/>
          <w:lang w:val="ro-RO"/>
        </w:rPr>
        <w:t xml:space="preserve">Hotărârea Tribunalului din 30 aprilie 2019, </w:t>
      </w:r>
      <w:proofErr w:type="spellStart"/>
      <w:r w:rsidRPr="00991BDF">
        <w:rPr>
          <w:sz w:val="24"/>
          <w:lang w:val="ro-RO"/>
        </w:rPr>
        <w:t>Briois</w:t>
      </w:r>
      <w:proofErr w:type="spellEnd"/>
      <w:r w:rsidRPr="00991BDF">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6B5C" w14:textId="77777777" w:rsidR="00064002" w:rsidRPr="00991B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C0450" w14:textId="77777777" w:rsidR="00064002" w:rsidRPr="00991B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B782" w14:textId="77777777" w:rsidR="00064002" w:rsidRPr="00991B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0356217">
    <w:abstractNumId w:val="9"/>
  </w:num>
  <w:num w:numId="2" w16cid:durableId="1920289355">
    <w:abstractNumId w:val="9"/>
  </w:num>
  <w:num w:numId="3" w16cid:durableId="553808492">
    <w:abstractNumId w:val="7"/>
  </w:num>
  <w:num w:numId="4" w16cid:durableId="601760412">
    <w:abstractNumId w:val="7"/>
  </w:num>
  <w:num w:numId="5" w16cid:durableId="888996607">
    <w:abstractNumId w:val="6"/>
  </w:num>
  <w:num w:numId="6" w16cid:durableId="188031721">
    <w:abstractNumId w:val="6"/>
  </w:num>
  <w:num w:numId="7" w16cid:durableId="487601171">
    <w:abstractNumId w:val="5"/>
  </w:num>
  <w:num w:numId="8" w16cid:durableId="383143845">
    <w:abstractNumId w:val="5"/>
  </w:num>
  <w:num w:numId="9" w16cid:durableId="1818567289">
    <w:abstractNumId w:val="4"/>
  </w:num>
  <w:num w:numId="10" w16cid:durableId="2077362729">
    <w:abstractNumId w:val="4"/>
  </w:num>
  <w:num w:numId="11" w16cid:durableId="356003832">
    <w:abstractNumId w:val="8"/>
  </w:num>
  <w:num w:numId="12" w16cid:durableId="1488089971">
    <w:abstractNumId w:val="8"/>
  </w:num>
  <w:num w:numId="13" w16cid:durableId="1389303422">
    <w:abstractNumId w:val="3"/>
  </w:num>
  <w:num w:numId="14" w16cid:durableId="805581682">
    <w:abstractNumId w:val="3"/>
  </w:num>
  <w:num w:numId="15" w16cid:durableId="432288826">
    <w:abstractNumId w:val="2"/>
  </w:num>
  <w:num w:numId="16" w16cid:durableId="1173177766">
    <w:abstractNumId w:val="2"/>
  </w:num>
  <w:num w:numId="17" w16cid:durableId="1066688188">
    <w:abstractNumId w:val="1"/>
  </w:num>
  <w:num w:numId="18" w16cid:durableId="941181549">
    <w:abstractNumId w:val="1"/>
  </w:num>
  <w:num w:numId="19" w16cid:durableId="1156804866">
    <w:abstractNumId w:val="0"/>
  </w:num>
  <w:num w:numId="20" w16cid:durableId="1729917579">
    <w:abstractNumId w:val="0"/>
  </w:num>
  <w:num w:numId="21" w16cid:durableId="358091245">
    <w:abstractNumId w:val="9"/>
  </w:num>
  <w:num w:numId="22" w16cid:durableId="730225670">
    <w:abstractNumId w:val="7"/>
  </w:num>
  <w:num w:numId="23" w16cid:durableId="1143237466">
    <w:abstractNumId w:val="6"/>
  </w:num>
  <w:num w:numId="24" w16cid:durableId="699085349">
    <w:abstractNumId w:val="5"/>
  </w:num>
  <w:num w:numId="25" w16cid:durableId="763913931">
    <w:abstractNumId w:val="4"/>
  </w:num>
  <w:num w:numId="26" w16cid:durableId="1169521706">
    <w:abstractNumId w:val="8"/>
  </w:num>
  <w:num w:numId="27" w16cid:durableId="1383557653">
    <w:abstractNumId w:val="3"/>
  </w:num>
  <w:num w:numId="28" w16cid:durableId="1591504354">
    <w:abstractNumId w:val="2"/>
  </w:num>
  <w:num w:numId="29" w16cid:durableId="854349572">
    <w:abstractNumId w:val="1"/>
  </w:num>
  <w:num w:numId="30" w16cid:durableId="972634573">
    <w:abstractNumId w:val="0"/>
  </w:num>
  <w:num w:numId="31" w16cid:durableId="877741511">
    <w:abstractNumId w:val="9"/>
  </w:num>
  <w:num w:numId="32" w16cid:durableId="190537262">
    <w:abstractNumId w:val="7"/>
  </w:num>
  <w:num w:numId="33" w16cid:durableId="1370109357">
    <w:abstractNumId w:val="6"/>
  </w:num>
  <w:num w:numId="34" w16cid:durableId="1552379926">
    <w:abstractNumId w:val="5"/>
  </w:num>
  <w:num w:numId="35" w16cid:durableId="271059183">
    <w:abstractNumId w:val="4"/>
  </w:num>
  <w:num w:numId="36" w16cid:durableId="333151005">
    <w:abstractNumId w:val="8"/>
  </w:num>
  <w:num w:numId="37" w16cid:durableId="1200051366">
    <w:abstractNumId w:val="3"/>
  </w:num>
  <w:num w:numId="38" w16cid:durableId="826441497">
    <w:abstractNumId w:val="2"/>
  </w:num>
  <w:num w:numId="39" w16cid:durableId="520628157">
    <w:abstractNumId w:val="1"/>
  </w:num>
  <w:num w:numId="40" w16cid:durableId="657542673">
    <w:abstractNumId w:val="0"/>
  </w:num>
  <w:num w:numId="41" w16cid:durableId="288706558">
    <w:abstractNumId w:val="10"/>
  </w:num>
  <w:num w:numId="42" w16cid:durableId="482622237">
    <w:abstractNumId w:val="10"/>
  </w:num>
  <w:num w:numId="43" w16cid:durableId="1347445079">
    <w:abstractNumId w:val="10"/>
  </w:num>
  <w:num w:numId="44" w16cid:durableId="1789660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RO"/>
    <w:docVar w:name="dvnumam" w:val="0"/>
    <w:docVar w:name="dvpe" w:val="770.241"/>
    <w:docVar w:name="dvrapporteur" w:val="Raportor: "/>
    <w:docVar w:name="dvtitre" w:val="Decizia Parlamentului European din ... octombrie 2025 privind cererea de ridicare a imunității deputatului Péter Magyar(2024/2063(IMM))"/>
  </w:docVars>
  <w:rsids>
    <w:rsidRoot w:val="00A500E4"/>
    <w:rsid w:val="00002272"/>
    <w:rsid w:val="00064002"/>
    <w:rsid w:val="000677B9"/>
    <w:rsid w:val="000831BA"/>
    <w:rsid w:val="000A42CC"/>
    <w:rsid w:val="000E7DD9"/>
    <w:rsid w:val="0010095E"/>
    <w:rsid w:val="00125B37"/>
    <w:rsid w:val="00187494"/>
    <w:rsid w:val="001F32AE"/>
    <w:rsid w:val="002767FF"/>
    <w:rsid w:val="00294136"/>
    <w:rsid w:val="002B18FE"/>
    <w:rsid w:val="002B5493"/>
    <w:rsid w:val="00343214"/>
    <w:rsid w:val="00361C00"/>
    <w:rsid w:val="00395FA1"/>
    <w:rsid w:val="003E15D4"/>
    <w:rsid w:val="00411CCE"/>
    <w:rsid w:val="0041666E"/>
    <w:rsid w:val="00421060"/>
    <w:rsid w:val="00471C19"/>
    <w:rsid w:val="004867E3"/>
    <w:rsid w:val="004942ED"/>
    <w:rsid w:val="00494A28"/>
    <w:rsid w:val="004C0004"/>
    <w:rsid w:val="004C5D52"/>
    <w:rsid w:val="0050519A"/>
    <w:rsid w:val="005072A1"/>
    <w:rsid w:val="005077C7"/>
    <w:rsid w:val="00514517"/>
    <w:rsid w:val="00540BE0"/>
    <w:rsid w:val="00545827"/>
    <w:rsid w:val="00560270"/>
    <w:rsid w:val="005C2568"/>
    <w:rsid w:val="005F1B17"/>
    <w:rsid w:val="006037C0"/>
    <w:rsid w:val="0066092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9E5"/>
    <w:rsid w:val="00930C23"/>
    <w:rsid w:val="0093193B"/>
    <w:rsid w:val="009509D8"/>
    <w:rsid w:val="00950B64"/>
    <w:rsid w:val="00981893"/>
    <w:rsid w:val="00991BDF"/>
    <w:rsid w:val="00A1687D"/>
    <w:rsid w:val="00A270AC"/>
    <w:rsid w:val="00A372F2"/>
    <w:rsid w:val="00A43E52"/>
    <w:rsid w:val="00A4678D"/>
    <w:rsid w:val="00A500E4"/>
    <w:rsid w:val="00A778C7"/>
    <w:rsid w:val="00AB441E"/>
    <w:rsid w:val="00AB6293"/>
    <w:rsid w:val="00AE0928"/>
    <w:rsid w:val="00AF3B82"/>
    <w:rsid w:val="00B12E95"/>
    <w:rsid w:val="00B22876"/>
    <w:rsid w:val="00B558F0"/>
    <w:rsid w:val="00BC48E6"/>
    <w:rsid w:val="00BD48FE"/>
    <w:rsid w:val="00BD7BD8"/>
    <w:rsid w:val="00BE6ADC"/>
    <w:rsid w:val="00C05BFE"/>
    <w:rsid w:val="00C23CD4"/>
    <w:rsid w:val="00C61C0C"/>
    <w:rsid w:val="00C941CB"/>
    <w:rsid w:val="00CA7184"/>
    <w:rsid w:val="00CB5CDE"/>
    <w:rsid w:val="00CC2357"/>
    <w:rsid w:val="00CF071A"/>
    <w:rsid w:val="00D058B8"/>
    <w:rsid w:val="00D56C11"/>
    <w:rsid w:val="00D834A0"/>
    <w:rsid w:val="00D872DF"/>
    <w:rsid w:val="00D91E21"/>
    <w:rsid w:val="00DA7FCD"/>
    <w:rsid w:val="00E17A4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FAC19"/>
  <w15:chartTrackingRefBased/>
  <w15:docId w15:val="{D0E01BE2-434D-4E26-B7BE-58B8FBE2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4136"/>
    <w:pPr>
      <w:spacing w:after="240"/>
      <w:ind w:left="567" w:hanging="567"/>
    </w:pPr>
  </w:style>
  <w:style w:type="paragraph" w:customStyle="1" w:styleId="EPComma">
    <w:name w:val="EPComma"/>
    <w:basedOn w:val="Normal"/>
    <w:rsid w:val="00294136"/>
    <w:pPr>
      <w:spacing w:before="480" w:after="240"/>
    </w:pPr>
  </w:style>
  <w:style w:type="paragraph" w:styleId="BodyText">
    <w:name w:val="Body Text"/>
    <w:basedOn w:val="Normal"/>
    <w:link w:val="BodyTextChar"/>
    <w:unhideWhenUsed/>
    <w:qFormat/>
    <w:rsid w:val="00294136"/>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294136"/>
    <w:rPr>
      <w:sz w:val="24"/>
      <w:szCs w:val="24"/>
      <w:shd w:val="clear" w:color="auto" w:fill="FFFFFF"/>
      <w:lang w:val="ro-RO" w:eastAsia="hu-HU" w:bidi="hu-HU"/>
    </w:rPr>
  </w:style>
  <w:style w:type="paragraph" w:styleId="Revision">
    <w:name w:val="Revision"/>
    <w:hidden/>
    <w:uiPriority w:val="99"/>
    <w:semiHidden/>
    <w:rsid w:val="00540BE0"/>
    <w:rPr>
      <w:sz w:val="24"/>
      <w:lang w:val="ro-RO"/>
    </w:rPr>
  </w:style>
  <w:style w:type="character" w:styleId="CommentReference">
    <w:name w:val="annotation reference"/>
    <w:basedOn w:val="DefaultParagraphFont"/>
    <w:rsid w:val="00540BE0"/>
    <w:rPr>
      <w:sz w:val="16"/>
      <w:szCs w:val="16"/>
    </w:rPr>
  </w:style>
  <w:style w:type="paragraph" w:styleId="CommentText">
    <w:name w:val="annotation text"/>
    <w:basedOn w:val="Normal"/>
    <w:link w:val="CommentTextChar"/>
    <w:rsid w:val="00540BE0"/>
    <w:rPr>
      <w:sz w:val="20"/>
    </w:rPr>
  </w:style>
  <w:style w:type="character" w:customStyle="1" w:styleId="CommentTextChar">
    <w:name w:val="Comment Text Char"/>
    <w:basedOn w:val="DefaultParagraphFont"/>
    <w:link w:val="CommentText"/>
    <w:rsid w:val="00540BE0"/>
    <w:rPr>
      <w:lang w:val="ro-RO"/>
    </w:rPr>
  </w:style>
  <w:style w:type="paragraph" w:styleId="CommentSubject">
    <w:name w:val="annotation subject"/>
    <w:basedOn w:val="CommentText"/>
    <w:next w:val="CommentText"/>
    <w:link w:val="CommentSubjectChar"/>
    <w:rsid w:val="00540BE0"/>
    <w:rPr>
      <w:b/>
      <w:bCs/>
    </w:rPr>
  </w:style>
  <w:style w:type="character" w:customStyle="1" w:styleId="CommentSubjectChar">
    <w:name w:val="Comment Subject Char"/>
    <w:basedOn w:val="CommentTextChar"/>
    <w:link w:val="CommentSubject"/>
    <w:rsid w:val="00540BE0"/>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6654</Characters>
  <Application>Microsoft Office Word</Application>
  <DocSecurity>0</DocSecurity>
  <Lines>266</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2025-10-07T12:13:00Z</dcterms:created>
  <dcterms:modified xsi:type="dcterms:W3CDTF">2025-10-07T12:13:00Z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A10-0180/2025</vt:lpwstr>
  </property>
  <property fmtid="{D5CDD505-2E9C-101B-9397-08002B2CF9AE}" pid="4" name="&lt;Type&gt;">
    <vt:lpwstr>RR</vt:lpwstr>
  </property>
</Properties>
</file>