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045" w14:paraId="3511337A" w14:textId="77777777" w:rsidTr="0010095E">
        <w:trPr>
          <w:trHeight w:hRule="exact" w:val="1418"/>
        </w:trPr>
        <w:tc>
          <w:tcPr>
            <w:tcW w:w="6804" w:type="dxa"/>
            <w:shd w:val="clear" w:color="auto" w:fill="auto"/>
            <w:vAlign w:val="center"/>
          </w:tcPr>
          <w:p w14:paraId="29230B9A" w14:textId="77777777" w:rsidR="00751A4A" w:rsidRPr="008B1045" w:rsidRDefault="00712C47" w:rsidP="0010095E">
            <w:pPr>
              <w:pStyle w:val="EPName"/>
            </w:pPr>
            <w:r w:rsidRPr="008B1045">
              <w:t>Europa-Parlamentet</w:t>
            </w:r>
          </w:p>
          <w:p w14:paraId="4080D735" w14:textId="77777777" w:rsidR="00751A4A" w:rsidRPr="008B1045" w:rsidRDefault="005F1B17" w:rsidP="005F1B17">
            <w:pPr>
              <w:pStyle w:val="EPTerm"/>
              <w:rPr>
                <w:rStyle w:val="HideTWBExt"/>
                <w:noProof w:val="0"/>
                <w:vanish w:val="0"/>
                <w:color w:val="auto"/>
              </w:rPr>
            </w:pPr>
            <w:r w:rsidRPr="008B1045">
              <w:t>2024</w:t>
            </w:r>
            <w:r w:rsidR="00817416" w:rsidRPr="008B1045">
              <w:t>-202</w:t>
            </w:r>
            <w:r w:rsidRPr="008B1045">
              <w:t>9</w:t>
            </w:r>
          </w:p>
        </w:tc>
        <w:tc>
          <w:tcPr>
            <w:tcW w:w="2268" w:type="dxa"/>
            <w:shd w:val="clear" w:color="auto" w:fill="auto"/>
          </w:tcPr>
          <w:p w14:paraId="29CCE8F1" w14:textId="77777777" w:rsidR="00751A4A" w:rsidRPr="008B1045" w:rsidRDefault="00187494" w:rsidP="0010095E">
            <w:pPr>
              <w:pStyle w:val="EPLogo"/>
            </w:pPr>
            <w:r w:rsidRPr="008B1045">
              <w:rPr>
                <w:noProof/>
                <w:lang w:eastAsia="ja-JP"/>
              </w:rPr>
              <w:drawing>
                <wp:inline distT="0" distB="0" distL="0" distR="0" wp14:anchorId="63C35A95" wp14:editId="5876FB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F0A58F" w14:textId="77777777" w:rsidR="00D058B8" w:rsidRPr="008B1045" w:rsidRDefault="00D058B8" w:rsidP="004C5D52">
      <w:pPr>
        <w:pStyle w:val="LineTop"/>
      </w:pPr>
    </w:p>
    <w:p w14:paraId="7E0C61C5" w14:textId="77777777" w:rsidR="00680577" w:rsidRPr="008B1045" w:rsidRDefault="00712C47" w:rsidP="00680577">
      <w:pPr>
        <w:pStyle w:val="EPBodyTA1"/>
      </w:pPr>
      <w:r w:rsidRPr="008B1045">
        <w:t>VEDTAGNE TEKSTER</w:t>
      </w:r>
    </w:p>
    <w:p w14:paraId="3C0FC877" w14:textId="77777777" w:rsidR="00D058B8" w:rsidRPr="008B1045" w:rsidRDefault="00D058B8" w:rsidP="00D058B8">
      <w:pPr>
        <w:pStyle w:val="LineBottom"/>
      </w:pPr>
    </w:p>
    <w:p w14:paraId="448A477C" w14:textId="4C1314AB" w:rsidR="00712C47" w:rsidRPr="008B1045" w:rsidRDefault="00712C47" w:rsidP="00712C47">
      <w:pPr>
        <w:pStyle w:val="ATHeading1"/>
      </w:pPr>
      <w:bookmarkStart w:id="0" w:name="TANumber"/>
      <w:r w:rsidRPr="008B1045">
        <w:t>P10_</w:t>
      </w:r>
      <w:proofErr w:type="gramStart"/>
      <w:r w:rsidRPr="008B1045">
        <w:t>TA(</w:t>
      </w:r>
      <w:proofErr w:type="gramEnd"/>
      <w:r w:rsidRPr="008B1045">
        <w:t>2025)0</w:t>
      </w:r>
      <w:r w:rsidR="00753034">
        <w:t>205</w:t>
      </w:r>
      <w:bookmarkEnd w:id="0"/>
    </w:p>
    <w:p w14:paraId="07E53A1D" w14:textId="77777777" w:rsidR="00712C47" w:rsidRPr="008B1045" w:rsidRDefault="00712C47" w:rsidP="00712C47">
      <w:pPr>
        <w:pStyle w:val="ATHeading2"/>
      </w:pPr>
      <w:bookmarkStart w:id="1" w:name="title"/>
      <w:r w:rsidRPr="008B1045">
        <w:t>Anmodning om ophævelse af Péter Magyars immunitet</w:t>
      </w:r>
      <w:bookmarkEnd w:id="1"/>
    </w:p>
    <w:p w14:paraId="7FF32ABF" w14:textId="77777777" w:rsidR="00712C47" w:rsidRPr="008B1045" w:rsidRDefault="00712C47" w:rsidP="00712C47">
      <w:pPr>
        <w:rPr>
          <w:i/>
          <w:vanish/>
        </w:rPr>
      </w:pPr>
      <w:r w:rsidRPr="008B1045">
        <w:rPr>
          <w:i/>
        </w:rPr>
        <w:fldChar w:fldCharType="begin"/>
      </w:r>
      <w:r w:rsidRPr="008B1045">
        <w:rPr>
          <w:i/>
        </w:rPr>
        <w:instrText xml:space="preserve"> TC"(</w:instrText>
      </w:r>
      <w:bookmarkStart w:id="2" w:name="DocNumber"/>
      <w:r w:rsidRPr="008B1045">
        <w:rPr>
          <w:i/>
        </w:rPr>
        <w:instrText>A10-0182/2025</w:instrText>
      </w:r>
      <w:bookmarkEnd w:id="2"/>
      <w:r w:rsidRPr="008B1045">
        <w:rPr>
          <w:i/>
        </w:rPr>
        <w:instrText xml:space="preserve"> - Ordfører: Ilhan Kyuchyuk )"\l3 \n&gt; \* MERGEFORMAT </w:instrText>
      </w:r>
      <w:r w:rsidRPr="008B1045">
        <w:rPr>
          <w:i/>
        </w:rPr>
        <w:fldChar w:fldCharType="end"/>
      </w:r>
    </w:p>
    <w:p w14:paraId="2EBBD4C7" w14:textId="77777777" w:rsidR="00712C47" w:rsidRPr="008B1045" w:rsidRDefault="00712C47" w:rsidP="00712C47">
      <w:pPr>
        <w:rPr>
          <w:vanish/>
        </w:rPr>
      </w:pPr>
      <w:bookmarkStart w:id="3" w:name="Commission"/>
      <w:r w:rsidRPr="008B1045">
        <w:rPr>
          <w:vanish/>
        </w:rPr>
        <w:t>Retsudvalget</w:t>
      </w:r>
      <w:bookmarkEnd w:id="3"/>
    </w:p>
    <w:p w14:paraId="76DEA5A4" w14:textId="77777777" w:rsidR="00712C47" w:rsidRPr="008B1045" w:rsidRDefault="00712C47" w:rsidP="00712C47">
      <w:pPr>
        <w:rPr>
          <w:vanish/>
        </w:rPr>
      </w:pPr>
      <w:bookmarkStart w:id="4" w:name="PE"/>
      <w:r w:rsidRPr="008B1045">
        <w:rPr>
          <w:vanish/>
        </w:rPr>
        <w:t>PE775.580</w:t>
      </w:r>
      <w:bookmarkEnd w:id="4"/>
    </w:p>
    <w:p w14:paraId="56856C21" w14:textId="631BD3FF" w:rsidR="00712C47" w:rsidRPr="008B1045" w:rsidRDefault="00712C47" w:rsidP="00712C47">
      <w:pPr>
        <w:pStyle w:val="ATHeading3"/>
      </w:pPr>
      <w:bookmarkStart w:id="5" w:name="Sujet"/>
      <w:r w:rsidRPr="008B1045">
        <w:t xml:space="preserve">Europa-Parlamentets afgørelse af </w:t>
      </w:r>
      <w:r w:rsidR="00BC4F23">
        <w:t>7</w:t>
      </w:r>
      <w:r w:rsidRPr="008B1045">
        <w:t>. oktober 2025 om anmodning om ophævelse af Péter Magyars immunitet</w:t>
      </w:r>
      <w:bookmarkEnd w:id="5"/>
      <w:r w:rsidRPr="008B1045">
        <w:t xml:space="preserve"> </w:t>
      </w:r>
      <w:bookmarkStart w:id="6" w:name="References"/>
      <w:r w:rsidRPr="008B1045">
        <w:t>(2025/2096(IMM))</w:t>
      </w:r>
      <w:bookmarkEnd w:id="6"/>
    </w:p>
    <w:p w14:paraId="690315F7" w14:textId="77777777" w:rsidR="00C762D3" w:rsidRPr="008B1045" w:rsidRDefault="00C762D3" w:rsidP="00C762D3">
      <w:pPr>
        <w:pStyle w:val="EPComma"/>
      </w:pPr>
      <w:bookmarkStart w:id="7" w:name="TextBodyBegin"/>
      <w:bookmarkEnd w:id="7"/>
      <w:r w:rsidRPr="008B1045">
        <w:rPr>
          <w:i/>
        </w:rPr>
        <w:t>Europa-Parlamentet</w:t>
      </w:r>
      <w:r w:rsidRPr="008B1045">
        <w:t>,</w:t>
      </w:r>
    </w:p>
    <w:p w14:paraId="366E81CB" w14:textId="3D4F0BEF" w:rsidR="00C762D3" w:rsidRPr="008B1045" w:rsidRDefault="00C762D3" w:rsidP="00C762D3">
      <w:pPr>
        <w:pStyle w:val="NormalHanging12a"/>
      </w:pPr>
      <w:r w:rsidRPr="008B1045">
        <w:t>–</w:t>
      </w:r>
      <w:r w:rsidRPr="008B1045">
        <w:tab/>
        <w:t xml:space="preserve">der henviser til anmodning af 21. marts 2025 om ophævelse af Péter Magyars immunitet, som er fremsendt af </w:t>
      </w:r>
      <w:r w:rsidR="00E20E54">
        <w:t>den centrale distriktsdomstol</w:t>
      </w:r>
      <w:r w:rsidR="00E20E54" w:rsidRPr="008B1045">
        <w:t xml:space="preserve"> </w:t>
      </w:r>
      <w:r w:rsidRPr="008B1045">
        <w:t xml:space="preserve">i Pest </w:t>
      </w:r>
      <w:r w:rsidR="00E20E54">
        <w:t xml:space="preserve">i Ungarn </w:t>
      </w:r>
      <w:r w:rsidRPr="008B1045">
        <w:t>i forbindelse med en straffesag mod ham</w:t>
      </w:r>
      <w:r w:rsidR="0022322E">
        <w:t xml:space="preserve"> i form at et privat søgsmål</w:t>
      </w:r>
      <w:r w:rsidRPr="008B1045">
        <w:t>, og hvorom der blev givet meddelelse på plenarmødet den 5. maj 2025,</w:t>
      </w:r>
    </w:p>
    <w:p w14:paraId="48761326" w14:textId="67BAE577" w:rsidR="00C762D3" w:rsidRPr="008B1045" w:rsidRDefault="00C762D3" w:rsidP="00C762D3">
      <w:pPr>
        <w:pStyle w:val="NormalHanging12a"/>
      </w:pPr>
      <w:r w:rsidRPr="008B1045">
        <w:t>–</w:t>
      </w:r>
      <w:r w:rsidRPr="008B1045">
        <w:tab/>
        <w:t>der henviser til, at Péter Magyar har givet afkald på retten til at blive hørt i henhold til forretningsordenens artikel 9, stk. 6,</w:t>
      </w:r>
    </w:p>
    <w:p w14:paraId="74C980CD" w14:textId="77777777" w:rsidR="00C762D3" w:rsidRPr="008B1045" w:rsidRDefault="00C762D3" w:rsidP="00C762D3">
      <w:pPr>
        <w:pStyle w:val="NormalHanging12a"/>
      </w:pPr>
      <w:r w:rsidRPr="008B1045">
        <w:t>–</w:t>
      </w:r>
      <w:r w:rsidRPr="008B1045">
        <w:tab/>
        <w:t>der henviser til artikel 8 og 9 i protokol nr. 7 vedrørende Den Europæiske Unions privilegier og immuniteter samt artikel 6, stk. 2, i akten af 20. september 1976 om almindelige direkte valg af medlemmerne af Europa-Parlamentet,</w:t>
      </w:r>
    </w:p>
    <w:p w14:paraId="715F3D2B" w14:textId="77777777" w:rsidR="00C762D3" w:rsidRPr="008B1045" w:rsidRDefault="00C762D3" w:rsidP="00C762D3">
      <w:pPr>
        <w:pStyle w:val="NormalHanging12a"/>
      </w:pPr>
      <w:r w:rsidRPr="008B1045">
        <w:t>–</w:t>
      </w:r>
      <w:r w:rsidRPr="008B1045">
        <w:tab/>
        <w:t xml:space="preserve">der henviser til </w:t>
      </w:r>
      <w:r w:rsidRPr="008B1045">
        <w:rPr>
          <w:color w:val="000000"/>
          <w:shd w:val="clear" w:color="auto" w:fill="FFFFFF"/>
        </w:rPr>
        <w:t>artikel 4, stk. 2, i den ungarske grundlov,</w:t>
      </w:r>
    </w:p>
    <w:p w14:paraId="6DBA8ED5" w14:textId="77777777" w:rsidR="00C762D3" w:rsidRPr="008B1045" w:rsidRDefault="00C762D3" w:rsidP="00C762D3">
      <w:pPr>
        <w:pStyle w:val="NormalHanging12a"/>
      </w:pPr>
      <w:r w:rsidRPr="008B1045">
        <w:t>–</w:t>
      </w:r>
      <w:r w:rsidRPr="008B1045">
        <w:tab/>
        <w:t>der henviser til de domme, som Den Europæiske Unions Domstol har afsagt den 21. oktober 2008, 19. marts 2010, 6. september 2011, 17. januar 2013, 19. december 2019 og 5. juli 2023</w:t>
      </w:r>
      <w:r w:rsidRPr="008B1045">
        <w:rPr>
          <w:rStyle w:val="FootnoteReference"/>
        </w:rPr>
        <w:footnoteReference w:id="1"/>
      </w:r>
      <w:r w:rsidRPr="008B1045">
        <w:t>,</w:t>
      </w:r>
    </w:p>
    <w:p w14:paraId="29067718" w14:textId="77777777" w:rsidR="00C762D3" w:rsidRPr="008B1045" w:rsidRDefault="00C762D3" w:rsidP="00C762D3">
      <w:pPr>
        <w:pStyle w:val="NormalHanging12a"/>
      </w:pPr>
      <w:r w:rsidRPr="008B1045">
        <w:t>–</w:t>
      </w:r>
      <w:r w:rsidRPr="008B1045">
        <w:tab/>
        <w:t>der henviser til forretningsordenens artikel 5, stk. 2, artikel 6, stk. 1, og artikel 9,</w:t>
      </w:r>
    </w:p>
    <w:p w14:paraId="781394FA" w14:textId="77777777" w:rsidR="00C762D3" w:rsidRPr="008B1045" w:rsidRDefault="00C762D3" w:rsidP="00C762D3">
      <w:pPr>
        <w:pStyle w:val="NormalHanging12a"/>
      </w:pPr>
      <w:r w:rsidRPr="008B1045">
        <w:lastRenderedPageBreak/>
        <w:t>–</w:t>
      </w:r>
      <w:r w:rsidRPr="008B1045">
        <w:tab/>
        <w:t>der henviser til betænkning fra Retsudvalget (A10-0182/2025),</w:t>
      </w:r>
    </w:p>
    <w:p w14:paraId="2247430B" w14:textId="667CCAE1" w:rsidR="00C762D3" w:rsidRPr="008B1045" w:rsidRDefault="00C762D3" w:rsidP="00C762D3">
      <w:pPr>
        <w:pStyle w:val="NormalHanging12a"/>
        <w:widowControl/>
      </w:pPr>
      <w:r w:rsidRPr="008B1045">
        <w:t>A.</w:t>
      </w:r>
      <w:r w:rsidRPr="008B1045">
        <w:tab/>
        <w:t xml:space="preserve">der henviser til, at </w:t>
      </w:r>
      <w:r w:rsidR="0015118E">
        <w:t>den centrale distriktsdomstol</w:t>
      </w:r>
      <w:r w:rsidR="0015118E" w:rsidRPr="008B1045">
        <w:t xml:space="preserve"> </w:t>
      </w:r>
      <w:r w:rsidRPr="008B1045">
        <w:t xml:space="preserve">i Pest </w:t>
      </w:r>
      <w:r w:rsidR="0022322E">
        <w:t>den</w:t>
      </w:r>
      <w:r w:rsidRPr="008B1045">
        <w:t xml:space="preserve"> 21. marts 2025 </w:t>
      </w:r>
      <w:r w:rsidR="0022322E">
        <w:t>fremsendte</w:t>
      </w:r>
      <w:r w:rsidR="0022322E" w:rsidRPr="008B1045">
        <w:t xml:space="preserve"> </w:t>
      </w:r>
      <w:r w:rsidRPr="008B1045">
        <w:t xml:space="preserve">en anmodning om ophævelse af </w:t>
      </w:r>
      <w:r w:rsidR="00D84CB3" w:rsidRPr="008B1045">
        <w:t>Péter Magyars</w:t>
      </w:r>
      <w:r w:rsidR="00D84CB3">
        <w:t xml:space="preserve"> </w:t>
      </w:r>
      <w:r w:rsidR="0022322E">
        <w:t>immunitet, medlem af Europa-Parlamentet valgt i Ungarn,</w:t>
      </w:r>
      <w:r w:rsidRPr="008B1045">
        <w:t xml:space="preserve"> i forbindelse med en formodet lovovertrædelse i henhold til § 226, stk. 1, i lov nr. C af 2012 om den ungarske straffelov for handlinger, der fandt sted i april 2024 i en straffesag for ærekrænkelse indledt </w:t>
      </w:r>
      <w:r w:rsidR="0022322E">
        <w:t xml:space="preserve">mod ham </w:t>
      </w:r>
      <w:r w:rsidRPr="008B1045">
        <w:t xml:space="preserve">af en privat </w:t>
      </w:r>
      <w:r w:rsidR="0022322E">
        <w:t>sagsøger</w:t>
      </w:r>
      <w:r w:rsidRPr="008B1045">
        <w:t>;</w:t>
      </w:r>
    </w:p>
    <w:p w14:paraId="22E3B92A" w14:textId="36342978" w:rsidR="00C762D3" w:rsidRPr="008B1045" w:rsidRDefault="00C762D3" w:rsidP="00C762D3">
      <w:pPr>
        <w:pStyle w:val="NormalHanging12a"/>
        <w:widowControl/>
      </w:pPr>
      <w:r w:rsidRPr="008B1045">
        <w:rPr>
          <w:shd w:val="clear" w:color="auto" w:fill="FFFFFF"/>
        </w:rPr>
        <w:t>B.</w:t>
      </w:r>
      <w:r w:rsidRPr="008B1045">
        <w:rPr>
          <w:shd w:val="clear" w:color="auto" w:fill="FFFFFF"/>
        </w:rPr>
        <w:tab/>
      </w:r>
      <w:r w:rsidRPr="008B1045">
        <w:t xml:space="preserve">der henviser til, at det af anmodningen om ophævelse af immunitet fremgår, at Péter Magyar er anklaget for ved en demonstration at have fremsat offentlige udtalelser med falske erklæringer og for at have spredt rygter, der kan skade omdømmet for den politiske bevægelse "Mi </w:t>
      </w:r>
      <w:proofErr w:type="spellStart"/>
      <w:r w:rsidRPr="008B1045">
        <w:t>Hazánk</w:t>
      </w:r>
      <w:proofErr w:type="spellEnd"/>
      <w:r w:rsidRPr="008B1045">
        <w:t xml:space="preserve"> </w:t>
      </w:r>
      <w:proofErr w:type="spellStart"/>
      <w:r w:rsidRPr="008B1045">
        <w:t>Mozgalom</w:t>
      </w:r>
      <w:proofErr w:type="spellEnd"/>
      <w:r w:rsidRPr="008B1045">
        <w:t>" (bevægelsen vores fædreland) og en af dens næstformænd, medlem af de</w:t>
      </w:r>
      <w:r w:rsidR="00D84CB3">
        <w:t>n</w:t>
      </w:r>
      <w:r w:rsidRPr="008B1045">
        <w:t xml:space="preserve"> ungarske </w:t>
      </w:r>
      <w:r w:rsidR="00D84CB3">
        <w:t>nationalforsamling</w:t>
      </w:r>
      <w:r w:rsidRPr="008B1045">
        <w:t>; der henviser til, at der den 13. maj 2024 blev indledt en privat straffesag mod Péter Magyar på grundlag af en strafferetlig anmeldelse for ærekrænkelse;</w:t>
      </w:r>
    </w:p>
    <w:p w14:paraId="154354A1" w14:textId="30BACAE9" w:rsidR="00C762D3" w:rsidRPr="008B1045" w:rsidRDefault="00C762D3" w:rsidP="00C762D3">
      <w:pPr>
        <w:pStyle w:val="NormalHanging12a"/>
        <w:widowControl/>
      </w:pPr>
      <w:r w:rsidRPr="008B1045">
        <w:t>C.</w:t>
      </w:r>
      <w:r w:rsidRPr="008B1045">
        <w:tab/>
        <w:t xml:space="preserve">der henviser til, at Péter Magyar blev valgt ved valget til Europa-Parlamentet i juni 2024, og at han førte valgkampagne i forbindelse med valget til Europa-Parlamentet på det tidspunkt, hvor </w:t>
      </w:r>
      <w:r w:rsidR="00337E80">
        <w:t>den strafferetlige anmeldelse</w:t>
      </w:r>
      <w:r w:rsidRPr="008B1045">
        <w:t xml:space="preserve"> imod ham blev fremsat;</w:t>
      </w:r>
    </w:p>
    <w:p w14:paraId="53126C32" w14:textId="18512366" w:rsidR="00C762D3" w:rsidRPr="008B1045" w:rsidRDefault="00C762D3" w:rsidP="00C762D3">
      <w:pPr>
        <w:pStyle w:val="NormalHanging12a"/>
        <w:widowControl/>
      </w:pPr>
      <w:r w:rsidRPr="008B1045">
        <w:t>D.</w:t>
      </w:r>
      <w:r w:rsidRPr="008B1045">
        <w:tab/>
        <w:t>der henviser til, at den påståede lovovertrædelse</w:t>
      </w:r>
      <w:r w:rsidR="00337E80">
        <w:t xml:space="preserve"> ikke udgør,</w:t>
      </w:r>
      <w:r w:rsidRPr="008B1045">
        <w:t xml:space="preserve"> og den </w:t>
      </w:r>
      <w:r w:rsidR="00337E80">
        <w:t xml:space="preserve">deraf </w:t>
      </w:r>
      <w:r w:rsidRPr="008B1045">
        <w:t xml:space="preserve">følgende anmodning om ophævelse af </w:t>
      </w:r>
      <w:r w:rsidR="00337E80" w:rsidRPr="008B1045">
        <w:t>Péter</w:t>
      </w:r>
      <w:r w:rsidR="00337E80">
        <w:t xml:space="preserve"> </w:t>
      </w:r>
      <w:r w:rsidR="00337E80" w:rsidRPr="008B1045">
        <w:t>Magyar</w:t>
      </w:r>
      <w:r w:rsidR="00337E80">
        <w:t>s</w:t>
      </w:r>
      <w:r w:rsidR="00337E80" w:rsidRPr="008B1045">
        <w:t xml:space="preserve"> </w:t>
      </w:r>
      <w:r w:rsidRPr="008B1045">
        <w:t>immunitet ikke vedrører</w:t>
      </w:r>
      <w:r w:rsidR="00337E80">
        <w:t>,</w:t>
      </w:r>
      <w:r w:rsidRPr="008B1045">
        <w:t xml:space="preserve"> en meningstilkendegivelse eller en stemme</w:t>
      </w:r>
      <w:r w:rsidR="00337E80">
        <w:t>afgivelse</w:t>
      </w:r>
      <w:r w:rsidRPr="008B1045">
        <w:t xml:space="preserve"> under udøvelsen af hans hverv som omhandlet i artikel 8 i protokol nr. 7 vedrørende Den Europæiske Unions privilegier og immuniteter;</w:t>
      </w:r>
    </w:p>
    <w:p w14:paraId="04CD8D7D" w14:textId="77777777" w:rsidR="00C762D3" w:rsidRPr="008B1045" w:rsidRDefault="00C762D3" w:rsidP="00C762D3">
      <w:pPr>
        <w:pStyle w:val="NormalHanging12a"/>
        <w:widowControl/>
      </w:pPr>
      <w:r w:rsidRPr="008B1045">
        <w:t>E.</w:t>
      </w:r>
      <w:r w:rsidRPr="008B1045">
        <w:tab/>
        <w:t>der henviser til, at Europa-Parlamentets medlemmer i henhold til artikel 9, stk. 1, litra a), i protokol nr. 7 vedrørende Den Europæiske Unions privilegier og immuniteter på deres eget lands område nyder de immuniteter, der tilstås medlemmerne af deres lands lovgivende forsamling;</w:t>
      </w:r>
    </w:p>
    <w:p w14:paraId="5CB9A749" w14:textId="4E71EE0E" w:rsidR="00C762D3" w:rsidRPr="008B1045" w:rsidRDefault="00C762D3" w:rsidP="00C762D3">
      <w:pPr>
        <w:pStyle w:val="NormalHanging12a"/>
      </w:pPr>
      <w:r w:rsidRPr="008B1045">
        <w:t>F.</w:t>
      </w:r>
      <w:r w:rsidRPr="008B1045">
        <w:tab/>
        <w:t>der henviser til, at det fremgår af artikel 4, stk. 2, i den ungarske grundlov, at medlemmerne af de</w:t>
      </w:r>
      <w:r w:rsidR="002B5141">
        <w:t>n</w:t>
      </w:r>
      <w:r w:rsidRPr="008B1045">
        <w:t xml:space="preserve"> ungarske </w:t>
      </w:r>
      <w:r w:rsidR="002B5141">
        <w:t>nationalforsamling</w:t>
      </w:r>
      <w:r w:rsidRPr="008B1045">
        <w:t xml:space="preserve"> er berettiget til parlamentarisk immunitet;</w:t>
      </w:r>
      <w:r w:rsidRPr="008B1045">
        <w:rPr>
          <w:color w:val="000000"/>
          <w:shd w:val="clear" w:color="auto" w:fill="FFFFFF"/>
        </w:rPr>
        <w:t xml:space="preserve"> </w:t>
      </w:r>
      <w:r w:rsidRPr="008B1045">
        <w:t xml:space="preserve">der henviser til, at det i § 79, stk. 2, i lov nr. XXXVI af 2012 om nationalforsamlingen er fastlagt, at en person, der er registreret med endelig og bindende virkning som kandidat, nyder samme immunitet som medlemmerne, indtil valgresultatet bliver endeligt og bindende, og der henviser til, at medlemmerne i henhold til § 79, stk. 1, i samme lov under alle omstændigheder nyder immunitet fra den dag, de bliver valgt; </w:t>
      </w:r>
      <w:r w:rsidRPr="008B1045">
        <w:rPr>
          <w:color w:val="000000"/>
          <w:shd w:val="clear" w:color="auto" w:fill="FFFFFF"/>
        </w:rPr>
        <w:t xml:space="preserve">der henviser til, at det i § 74, stk. 1, i lov nr. XXXVI af 2012 om nationalforsamlingen er fastlagt, at der kun kan indledes eller føres straffesager eller, hvis der ikke gives frivilligt afkald på immuniteten i det konkrete tilfælde, forseelsessager og anvendes </w:t>
      </w:r>
      <w:r w:rsidR="006C5863">
        <w:rPr>
          <w:color w:val="000000"/>
          <w:shd w:val="clear" w:color="auto" w:fill="FFFFFF"/>
        </w:rPr>
        <w:t xml:space="preserve">strafferetlige </w:t>
      </w:r>
      <w:r w:rsidRPr="008B1045">
        <w:rPr>
          <w:color w:val="000000"/>
          <w:shd w:val="clear" w:color="auto" w:fill="FFFFFF"/>
        </w:rPr>
        <w:t xml:space="preserve">tvangsforanstaltninger mod et medlem efter forudgående </w:t>
      </w:r>
      <w:r w:rsidR="006C5863">
        <w:rPr>
          <w:color w:val="000000"/>
          <w:shd w:val="clear" w:color="auto" w:fill="FFFFFF"/>
        </w:rPr>
        <w:t>samtykke</w:t>
      </w:r>
      <w:r w:rsidR="006C5863" w:rsidRPr="008B1045">
        <w:rPr>
          <w:color w:val="000000"/>
          <w:shd w:val="clear" w:color="auto" w:fill="FFFFFF"/>
        </w:rPr>
        <w:t xml:space="preserve"> </w:t>
      </w:r>
      <w:r w:rsidRPr="008B1045">
        <w:rPr>
          <w:color w:val="000000"/>
          <w:shd w:val="clear" w:color="auto" w:fill="FFFFFF"/>
        </w:rPr>
        <w:t>fra nationalforsamlingen;</w:t>
      </w:r>
    </w:p>
    <w:p w14:paraId="2B5B4D48" w14:textId="799FABDB" w:rsidR="006C5863" w:rsidRPr="008B1045" w:rsidRDefault="006C5863" w:rsidP="006C5863">
      <w:pPr>
        <w:pStyle w:val="NormalHanging12a"/>
        <w:widowControl/>
      </w:pPr>
      <w:r>
        <w:t>G</w:t>
      </w:r>
      <w:r w:rsidRPr="008B1045">
        <w:t>.</w:t>
      </w:r>
      <w:r w:rsidRPr="008B1045">
        <w:tab/>
        <w:t xml:space="preserve">der henviser til, at parlamentarisk immunitet i henhold til forretningsordenens artikel 5, stk. 2, ikke er et medlems personlige privilegium, men derimod en garanti for </w:t>
      </w:r>
      <w:r w:rsidR="00753034">
        <w:t>Europa-</w:t>
      </w:r>
      <w:r w:rsidRPr="008B1045">
        <w:t>Parlamentets uafhængighed som helhed og for dets medlemmers uafhængighed;</w:t>
      </w:r>
    </w:p>
    <w:p w14:paraId="5953822C" w14:textId="7B3EA20C" w:rsidR="00C762D3" w:rsidRPr="008B1045" w:rsidRDefault="006C5863" w:rsidP="00C762D3">
      <w:pPr>
        <w:pStyle w:val="NormalHanging12a"/>
        <w:widowControl/>
      </w:pPr>
      <w:r>
        <w:t>H</w:t>
      </w:r>
      <w:r w:rsidR="00C762D3" w:rsidRPr="008B1045">
        <w:t>.</w:t>
      </w:r>
      <w:r w:rsidR="00C762D3" w:rsidRPr="008B1045">
        <w:tab/>
        <w:t>der henviser til, at formålet med immunitet</w:t>
      </w:r>
      <w:r>
        <w:t>en i protokol nr. 7 vedrørende Den Europæiske Unions privilegier og immuniteter</w:t>
      </w:r>
      <w:r w:rsidR="00C762D3" w:rsidRPr="008B1045">
        <w:t xml:space="preserve"> er at beskytte Parlamentet og dets </w:t>
      </w:r>
      <w:r w:rsidR="00C762D3" w:rsidRPr="008B1045">
        <w:lastRenderedPageBreak/>
        <w:t>medlemmer mod retsforfølgning i relation til aktiviteter, der udføres under udøvelsen af det parlamentariske hverv, og som ikke kan adskilles fra dette hverv;</w:t>
      </w:r>
    </w:p>
    <w:p w14:paraId="1AAD596A" w14:textId="77777777" w:rsidR="00C762D3" w:rsidRPr="008B1045" w:rsidRDefault="00C762D3" w:rsidP="00C762D3">
      <w:pPr>
        <w:pStyle w:val="NormalHanging12a"/>
      </w:pPr>
      <w:r w:rsidRPr="008B1045">
        <w:t>I.</w:t>
      </w:r>
      <w:r w:rsidRPr="008B1045">
        <w:tab/>
        <w:t>der henviser til, at det følger af EU-Domstolens retspraksis, at Parlamentet "på grund af den politiske karakter af en beslutning, der træffes, fordi der er anmodet om ophævelse [...] af immuniteten, har et meget vidt skøn med hensyn til, hvad en sådan beslutning skal gå ud på"</w:t>
      </w:r>
      <w:r w:rsidRPr="008B1045">
        <w:rPr>
          <w:vertAlign w:val="superscript"/>
        </w:rPr>
        <w:footnoteReference w:id="2"/>
      </w:r>
      <w:r w:rsidRPr="008B1045">
        <w:t>;</w:t>
      </w:r>
    </w:p>
    <w:p w14:paraId="074BF913" w14:textId="01F6495D" w:rsidR="00C762D3" w:rsidRPr="008B1045" w:rsidRDefault="00C762D3" w:rsidP="00C762D3">
      <w:pPr>
        <w:pStyle w:val="NormalHanging12a"/>
        <w:widowControl/>
      </w:pPr>
      <w:r w:rsidRPr="008B1045">
        <w:t>J.</w:t>
      </w:r>
      <w:r w:rsidRPr="008B1045">
        <w:tab/>
        <w:t>der henviser til, at Péter Magyar er formand for partiet TISZA ("</w:t>
      </w:r>
      <w:proofErr w:type="spellStart"/>
      <w:r w:rsidRPr="008B1045">
        <w:t>Tisztelet</w:t>
      </w:r>
      <w:proofErr w:type="spellEnd"/>
      <w:r w:rsidRPr="008B1045">
        <w:t xml:space="preserve"> </w:t>
      </w:r>
      <w:proofErr w:type="spellStart"/>
      <w:r w:rsidRPr="008B1045">
        <w:t>és</w:t>
      </w:r>
      <w:proofErr w:type="spellEnd"/>
      <w:r w:rsidRPr="008B1045">
        <w:t xml:space="preserve"> </w:t>
      </w:r>
      <w:proofErr w:type="spellStart"/>
      <w:r w:rsidRPr="008B1045">
        <w:t>Szabadság</w:t>
      </w:r>
      <w:proofErr w:type="spellEnd"/>
      <w:r w:rsidRPr="008B1045">
        <w:t xml:space="preserve"> </w:t>
      </w:r>
      <w:proofErr w:type="spellStart"/>
      <w:r w:rsidRPr="008B1045">
        <w:t>Párt</w:t>
      </w:r>
      <w:proofErr w:type="spellEnd"/>
      <w:r w:rsidRPr="008B1045">
        <w:t>") og var dette partis spidskandidat ved valget til Europa-Parlamentet i 2024;</w:t>
      </w:r>
      <w:r w:rsidRPr="008B1045">
        <w:rPr>
          <w:rStyle w:val="doceo-font-family-base"/>
          <w:color w:val="1E1E1F"/>
        </w:rPr>
        <w:t xml:space="preserve"> </w:t>
      </w:r>
      <w:r w:rsidRPr="008B1045">
        <w:t xml:space="preserve">der henviser til, at "Mi </w:t>
      </w:r>
      <w:proofErr w:type="spellStart"/>
      <w:r w:rsidRPr="008B1045">
        <w:t>Hazánk</w:t>
      </w:r>
      <w:proofErr w:type="spellEnd"/>
      <w:r w:rsidRPr="008B1045">
        <w:t xml:space="preserve"> </w:t>
      </w:r>
      <w:proofErr w:type="spellStart"/>
      <w:r w:rsidRPr="008B1045">
        <w:t>Mozgalom</w:t>
      </w:r>
      <w:proofErr w:type="spellEnd"/>
      <w:r w:rsidRPr="008B1045">
        <w:t>" også deltog i valget til Europa-Parlamentet i 2024 og derfor kan betragtes som en direkte politisk konkurrent til Péter Magyar; der henviser til, at politiske konkurrenter normalt udsættes for øget kritik og polemik i den politiske debat i forhold til borgere, der ikke er politisk aktive;</w:t>
      </w:r>
      <w:r w:rsidRPr="008B1045">
        <w:rPr>
          <w:rStyle w:val="doceo-font-family-base"/>
          <w:color w:val="1E1E1F"/>
        </w:rPr>
        <w:t xml:space="preserve"> der henviser til, at injuriesager i henhold til ungarsk ret </w:t>
      </w:r>
      <w:r w:rsidR="006C5863">
        <w:rPr>
          <w:rStyle w:val="doceo-font-family-base"/>
          <w:color w:val="1E1E1F"/>
        </w:rPr>
        <w:t xml:space="preserve">tilsyneladende </w:t>
      </w:r>
      <w:r w:rsidRPr="008B1045">
        <w:rPr>
          <w:rStyle w:val="doceo-font-family-base"/>
          <w:color w:val="1E1E1F"/>
        </w:rPr>
        <w:t xml:space="preserve">kan </w:t>
      </w:r>
      <w:r w:rsidR="006C5863">
        <w:rPr>
          <w:rStyle w:val="doceo-font-family-base"/>
          <w:color w:val="1E1E1F"/>
        </w:rPr>
        <w:t xml:space="preserve">føres inden for både strafferetten og civilretten, </w:t>
      </w:r>
      <w:r w:rsidRPr="008B1045">
        <w:rPr>
          <w:rStyle w:val="doceo-font-family-base"/>
          <w:color w:val="1E1E1F"/>
        </w:rPr>
        <w:t xml:space="preserve">med </w:t>
      </w:r>
      <w:r w:rsidR="00844A05">
        <w:rPr>
          <w:rStyle w:val="doceo-font-family-base"/>
          <w:color w:val="1E1E1F"/>
        </w:rPr>
        <w:t xml:space="preserve">betydelige </w:t>
      </w:r>
      <w:r w:rsidRPr="008B1045">
        <w:rPr>
          <w:rStyle w:val="doceo-font-family-base"/>
          <w:color w:val="1E1E1F"/>
        </w:rPr>
        <w:t xml:space="preserve">forskelle </w:t>
      </w:r>
      <w:r w:rsidR="00844A05">
        <w:rPr>
          <w:rStyle w:val="doceo-font-family-base"/>
          <w:color w:val="1E1E1F"/>
        </w:rPr>
        <w:t xml:space="preserve">i de tilsvarende </w:t>
      </w:r>
      <w:r w:rsidRPr="008B1045">
        <w:rPr>
          <w:rStyle w:val="doceo-font-family-base"/>
          <w:color w:val="1E1E1F"/>
        </w:rPr>
        <w:t xml:space="preserve">retlige konsekvenser, </w:t>
      </w:r>
      <w:r w:rsidR="00844A05">
        <w:rPr>
          <w:rStyle w:val="doceo-font-family-base"/>
          <w:color w:val="1E1E1F"/>
        </w:rPr>
        <w:t>herunder</w:t>
      </w:r>
      <w:r w:rsidRPr="008B1045">
        <w:rPr>
          <w:rStyle w:val="doceo-font-family-base"/>
          <w:color w:val="1E1E1F"/>
        </w:rPr>
        <w:t xml:space="preserve"> </w:t>
      </w:r>
      <w:r w:rsidR="00844A05">
        <w:rPr>
          <w:rStyle w:val="doceo-font-family-base"/>
          <w:color w:val="1E1E1F"/>
        </w:rPr>
        <w:t>fængsling</w:t>
      </w:r>
      <w:r w:rsidRPr="008B1045">
        <w:rPr>
          <w:rStyle w:val="doceo-font-family-base"/>
          <w:color w:val="1E1E1F"/>
        </w:rPr>
        <w:t xml:space="preserve">; </w:t>
      </w:r>
      <w:r w:rsidRPr="008B1045">
        <w:t xml:space="preserve">der henviser til, at valget om strafferetlig forfølgelse i den foreliggende sag rejser tvivl om dens formål, som muligvis går ud over det legitime mål om at opnå erstatning for det påståede tab, og tyder på, at det forfulgte mål går videre end dette legitime mål og faktisk </w:t>
      </w:r>
      <w:r w:rsidR="00844A05">
        <w:t>er</w:t>
      </w:r>
      <w:r w:rsidRPr="008B1045">
        <w:t xml:space="preserve"> at skade Péter Magyars omdømme som medlem af Europa-Parlamentet;</w:t>
      </w:r>
    </w:p>
    <w:p w14:paraId="089EFEE9" w14:textId="117A2E78" w:rsidR="00C762D3" w:rsidRPr="008B1045" w:rsidRDefault="00C762D3" w:rsidP="00C762D3">
      <w:pPr>
        <w:pStyle w:val="doceo-line-height-base"/>
        <w:shd w:val="clear" w:color="auto" w:fill="FFFFFF"/>
        <w:spacing w:before="0" w:beforeAutospacing="0" w:after="240" w:afterAutospacing="0"/>
        <w:ind w:left="567" w:hanging="567"/>
        <w:rPr>
          <w:rFonts w:ascii="Helvetica" w:hAnsi="Helvetica"/>
          <w:color w:val="1E1E1F"/>
        </w:rPr>
      </w:pPr>
      <w:r w:rsidRPr="008B1045">
        <w:rPr>
          <w:rStyle w:val="doceo-font-family-base"/>
          <w:color w:val="1E1E1F"/>
        </w:rPr>
        <w:t>K.</w:t>
      </w:r>
      <w:r w:rsidRPr="008B1045">
        <w:rPr>
          <w:rStyle w:val="doceo-font-family-base"/>
          <w:color w:val="1E1E1F"/>
        </w:rPr>
        <w:tab/>
      </w:r>
      <w:r w:rsidRPr="008B1045">
        <w:t xml:space="preserve">der henviser til, at ovennævnte elementer rejser alvorlig </w:t>
      </w:r>
      <w:r w:rsidR="00753034">
        <w:t>bekymring for</w:t>
      </w:r>
      <w:r w:rsidRPr="008B1045">
        <w:t>, hvorvidt hensigten kan være at undergrave Péter Magyars politiske virksomhed og navnlig hans virksomhed som medlem af Europa-Parlamentet;</w:t>
      </w:r>
    </w:p>
    <w:p w14:paraId="56A5DC2D" w14:textId="77777777" w:rsidR="00C762D3" w:rsidRPr="008B1045" w:rsidRDefault="00C762D3" w:rsidP="00C762D3">
      <w:pPr>
        <w:pStyle w:val="doceo-line-height-base"/>
        <w:shd w:val="clear" w:color="auto" w:fill="FFFFFF"/>
        <w:spacing w:before="0" w:beforeAutospacing="0" w:after="240" w:afterAutospacing="0"/>
        <w:ind w:left="567" w:hanging="567"/>
        <w:rPr>
          <w:rFonts w:ascii="Helvetica" w:hAnsi="Helvetica"/>
          <w:color w:val="1E1E1F"/>
        </w:rPr>
      </w:pPr>
      <w:r w:rsidRPr="008B1045">
        <w:rPr>
          <w:rStyle w:val="doceo-font-family-base"/>
          <w:color w:val="1E1E1F"/>
        </w:rPr>
        <w:t>L.</w:t>
      </w:r>
      <w:r w:rsidRPr="008B1045">
        <w:rPr>
          <w:rStyle w:val="doceo-font-family-base"/>
          <w:rFonts w:ascii="Helvetica" w:hAnsi="Helvetica"/>
          <w:color w:val="1E1E1F"/>
        </w:rPr>
        <w:tab/>
      </w:r>
      <w:r w:rsidRPr="008B1045">
        <w:t xml:space="preserve">der henviser til, at det således lader til, at der i den foreliggende sag foreligger </w:t>
      </w:r>
      <w:proofErr w:type="spellStart"/>
      <w:r w:rsidRPr="008B1045">
        <w:t>fumus</w:t>
      </w:r>
      <w:proofErr w:type="spellEnd"/>
      <w:r w:rsidRPr="008B1045">
        <w:t xml:space="preserve"> </w:t>
      </w:r>
      <w:proofErr w:type="spellStart"/>
      <w:r w:rsidRPr="008B1045">
        <w:t>persecutionis</w:t>
      </w:r>
      <w:proofErr w:type="spellEnd"/>
      <w:r w:rsidRPr="008B1045">
        <w:t>, dvs. "faktiske omstændigheder"</w:t>
      </w:r>
      <w:r w:rsidRPr="008B1045">
        <w:rPr>
          <w:rStyle w:val="FootnoteReference"/>
          <w:color w:val="1E1E1F"/>
        </w:rPr>
        <w:footnoteReference w:id="3"/>
      </w:r>
      <w:r w:rsidRPr="008B1045">
        <w:t>, som tyder på, at den pågældende retssag blev indledt med det formål at undergrave Péter Magyars politiske virke gennem en anmodning om ophævelsen af hans immunitet, navnlig da han opstillede til valget til Europa-Parlamentet i 2024 som spidskandidat for sit politiske parti;</w:t>
      </w:r>
    </w:p>
    <w:p w14:paraId="33FC98A5" w14:textId="3F28CDC5" w:rsidR="00C762D3" w:rsidRPr="008B1045" w:rsidRDefault="00C762D3" w:rsidP="00C762D3">
      <w:pPr>
        <w:pStyle w:val="NormalHanging12a"/>
        <w:widowControl/>
      </w:pPr>
      <w:r w:rsidRPr="008B1045">
        <w:t>M.</w:t>
      </w:r>
      <w:r w:rsidRPr="008B1045">
        <w:tab/>
        <w:t>der henviser til, at Parlamentet ikke kan sidestilles med en domstol, og at medlemmet i forbindelse med en procedure om ophævelse af immunitet ikke kan betragtes som en "anklaget"</w:t>
      </w:r>
      <w:r w:rsidRPr="008B1045">
        <w:rPr>
          <w:vertAlign w:val="superscript"/>
        </w:rPr>
        <w:footnoteReference w:id="4"/>
      </w:r>
      <w:r w:rsidRPr="008B1045">
        <w:t>;</w:t>
      </w:r>
    </w:p>
    <w:p w14:paraId="7C78B3CD" w14:textId="77777777" w:rsidR="00C762D3" w:rsidRPr="008B1045" w:rsidRDefault="00C762D3" w:rsidP="00C762D3">
      <w:pPr>
        <w:pStyle w:val="NormalHanging12a"/>
      </w:pPr>
      <w:r w:rsidRPr="008B1045">
        <w:t>1.</w:t>
      </w:r>
      <w:r w:rsidRPr="008B1045">
        <w:tab/>
        <w:t>vedtager ikke at ophæve Péter Magyars immunitet;</w:t>
      </w:r>
    </w:p>
    <w:p w14:paraId="46D6D494" w14:textId="1B6ADCAE" w:rsidR="00E365E1" w:rsidRPr="008B1045" w:rsidRDefault="00C762D3" w:rsidP="00BC4F23">
      <w:pPr>
        <w:ind w:left="567" w:hanging="567"/>
      </w:pPr>
      <w:r w:rsidRPr="008B1045">
        <w:t>2.</w:t>
      </w:r>
      <w:r w:rsidRPr="008B1045">
        <w:tab/>
        <w:t>pålægger sin formand straks at sende denne afgørelse og det kompetente udvalgs betænkning til Ungarns kompetente myndighed og Péter Magyar.</w:t>
      </w:r>
    </w:p>
    <w:sectPr w:rsidR="00E365E1" w:rsidRPr="008B1045" w:rsidSect="008B10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F5E01" w14:textId="77777777" w:rsidR="00712C47" w:rsidRPr="008B1045" w:rsidRDefault="00712C47">
      <w:r w:rsidRPr="008B1045">
        <w:separator/>
      </w:r>
    </w:p>
  </w:endnote>
  <w:endnote w:type="continuationSeparator" w:id="0">
    <w:p w14:paraId="5D026EA5" w14:textId="77777777" w:rsidR="00712C47" w:rsidRPr="008B1045" w:rsidRDefault="00712C47">
      <w:r w:rsidRPr="008B10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E621" w14:textId="77777777" w:rsidR="00064002" w:rsidRPr="008B10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036D" w14:textId="77777777" w:rsidR="00064002" w:rsidRPr="008B10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62998" w14:textId="77777777" w:rsidR="00064002" w:rsidRPr="008B10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00006" w14:textId="77777777" w:rsidR="00712C47" w:rsidRPr="008B1045" w:rsidRDefault="00712C47">
      <w:r w:rsidRPr="008B1045">
        <w:separator/>
      </w:r>
    </w:p>
  </w:footnote>
  <w:footnote w:type="continuationSeparator" w:id="0">
    <w:p w14:paraId="0998BF54" w14:textId="77777777" w:rsidR="00712C47" w:rsidRPr="008B1045" w:rsidRDefault="00712C47">
      <w:r w:rsidRPr="008B1045">
        <w:continuationSeparator/>
      </w:r>
    </w:p>
  </w:footnote>
  <w:footnote w:id="1">
    <w:p w14:paraId="5952D80B" w14:textId="3DE7090E" w:rsidR="00C762D3" w:rsidRPr="008B1045" w:rsidRDefault="00C762D3" w:rsidP="008B1045">
      <w:pPr>
        <w:pStyle w:val="FootnoteText"/>
        <w:ind w:left="567" w:hanging="567"/>
        <w:rPr>
          <w:sz w:val="24"/>
          <w:lang w:val="da-DK"/>
        </w:rPr>
      </w:pPr>
      <w:r w:rsidRPr="008B1045">
        <w:rPr>
          <w:rStyle w:val="FootnoteReference"/>
          <w:sz w:val="24"/>
          <w:lang w:val="da-DK"/>
        </w:rPr>
        <w:footnoteRef/>
      </w:r>
      <w:r w:rsidR="008B1045" w:rsidRPr="008B1045">
        <w:rPr>
          <w:sz w:val="24"/>
          <w:lang w:val="da-DK"/>
        </w:rPr>
        <w:t xml:space="preserve"> </w:t>
      </w:r>
      <w:r w:rsidR="008B1045" w:rsidRPr="008B1045">
        <w:rPr>
          <w:sz w:val="24"/>
          <w:lang w:val="da-DK"/>
        </w:rPr>
        <w:tab/>
      </w:r>
      <w:r w:rsidRPr="008B1045">
        <w:rPr>
          <w:sz w:val="24"/>
          <w:lang w:val="da-DK"/>
        </w:rPr>
        <w:t xml:space="preserve">Domstolens dom af 21. oktober 2008, </w:t>
      </w:r>
      <w:proofErr w:type="spellStart"/>
      <w:r w:rsidRPr="008B1045">
        <w:rPr>
          <w:sz w:val="24"/>
          <w:lang w:val="da-DK"/>
        </w:rPr>
        <w:t>Marra</w:t>
      </w:r>
      <w:proofErr w:type="spellEnd"/>
      <w:r w:rsidRPr="008B1045">
        <w:rPr>
          <w:sz w:val="24"/>
          <w:lang w:val="da-DK"/>
        </w:rPr>
        <w:t xml:space="preserve">, C-200/07 og C-201/07, ECLI:EU:C:2008:579; Rettens dom af 19. marts 2010, </w:t>
      </w:r>
      <w:proofErr w:type="spellStart"/>
      <w:r w:rsidRPr="008B1045">
        <w:rPr>
          <w:sz w:val="24"/>
          <w:lang w:val="da-DK"/>
        </w:rPr>
        <w:t>Gollnisch</w:t>
      </w:r>
      <w:proofErr w:type="spellEnd"/>
      <w:r w:rsidRPr="008B1045">
        <w:rPr>
          <w:sz w:val="24"/>
          <w:lang w:val="da-DK"/>
        </w:rPr>
        <w:t xml:space="preserve"> mod Parlamentet, T-42/06, ECLI:EU:T:2010:102; Domstolens dom af 6. september 2011, </w:t>
      </w:r>
      <w:proofErr w:type="spellStart"/>
      <w:r w:rsidRPr="008B1045">
        <w:rPr>
          <w:sz w:val="24"/>
          <w:lang w:val="da-DK"/>
        </w:rPr>
        <w:t>Patriciello</w:t>
      </w:r>
      <w:proofErr w:type="spellEnd"/>
      <w:r w:rsidRPr="008B1045">
        <w:rPr>
          <w:sz w:val="24"/>
          <w:lang w:val="da-DK"/>
        </w:rPr>
        <w:t xml:space="preserve">, C-163/10, ECLI:EU:C:2011:543; Rettens dom af 17. januar 2013, </w:t>
      </w:r>
      <w:proofErr w:type="spellStart"/>
      <w:r w:rsidRPr="008B1045">
        <w:rPr>
          <w:sz w:val="24"/>
          <w:lang w:val="da-DK"/>
        </w:rPr>
        <w:t>Gollnisch</w:t>
      </w:r>
      <w:proofErr w:type="spellEnd"/>
      <w:r w:rsidRPr="008B1045">
        <w:rPr>
          <w:sz w:val="24"/>
          <w:lang w:val="da-DK"/>
        </w:rPr>
        <w:t xml:space="preserve"> mod Parlamentet, T-346/11 og T-347/11, ECLI:EU:T:2013:23; Domstolens dom af 19. december 2019, </w:t>
      </w:r>
      <w:proofErr w:type="spellStart"/>
      <w:r w:rsidRPr="008B1045">
        <w:rPr>
          <w:sz w:val="24"/>
          <w:lang w:val="da-DK"/>
        </w:rPr>
        <w:t>Junqueras</w:t>
      </w:r>
      <w:proofErr w:type="spellEnd"/>
      <w:r w:rsidRPr="008B1045">
        <w:rPr>
          <w:sz w:val="24"/>
          <w:lang w:val="da-DK"/>
        </w:rPr>
        <w:t xml:space="preserve"> Vies, C-502/19, ECLI:EU:C:2019:1115; Rettens dom af 5. juli 2023, </w:t>
      </w:r>
      <w:proofErr w:type="spellStart"/>
      <w:r w:rsidRPr="008B1045">
        <w:rPr>
          <w:sz w:val="24"/>
          <w:lang w:val="da-DK"/>
        </w:rPr>
        <w:t>Puigdemont</w:t>
      </w:r>
      <w:proofErr w:type="spellEnd"/>
      <w:r w:rsidRPr="008B1045">
        <w:rPr>
          <w:sz w:val="24"/>
          <w:lang w:val="da-DK"/>
        </w:rPr>
        <w:t xml:space="preserve"> i </w:t>
      </w:r>
      <w:proofErr w:type="spellStart"/>
      <w:r w:rsidRPr="008B1045">
        <w:rPr>
          <w:sz w:val="24"/>
          <w:lang w:val="da-DK"/>
        </w:rPr>
        <w:t>Casamajó</w:t>
      </w:r>
      <w:proofErr w:type="spellEnd"/>
      <w:r w:rsidRPr="008B1045">
        <w:rPr>
          <w:sz w:val="24"/>
          <w:lang w:val="da-DK"/>
        </w:rPr>
        <w:t xml:space="preserve"> m.fl. mod Parlamentet, T-272/21, ECLI:EU:T:2023:373.</w:t>
      </w:r>
    </w:p>
  </w:footnote>
  <w:footnote w:id="2">
    <w:p w14:paraId="5A36F55C" w14:textId="0C7DFACA" w:rsidR="00C762D3" w:rsidRPr="008B1045" w:rsidRDefault="00C762D3" w:rsidP="008B1045">
      <w:pPr>
        <w:pStyle w:val="FootnoteText"/>
        <w:ind w:left="567" w:hanging="567"/>
        <w:rPr>
          <w:sz w:val="24"/>
          <w:lang w:val="da-DK"/>
        </w:rPr>
      </w:pPr>
      <w:r w:rsidRPr="008B1045">
        <w:rPr>
          <w:rStyle w:val="FootnoteReference"/>
          <w:sz w:val="24"/>
          <w:lang w:val="da-DK"/>
        </w:rPr>
        <w:footnoteRef/>
      </w:r>
      <w:r w:rsidR="008B1045" w:rsidRPr="008B1045">
        <w:rPr>
          <w:sz w:val="24"/>
          <w:lang w:val="da-DK"/>
        </w:rPr>
        <w:t xml:space="preserve"> </w:t>
      </w:r>
      <w:r w:rsidR="008B1045" w:rsidRPr="008B1045">
        <w:rPr>
          <w:sz w:val="24"/>
          <w:lang w:val="da-DK"/>
        </w:rPr>
        <w:tab/>
      </w:r>
      <w:r w:rsidRPr="008B1045">
        <w:rPr>
          <w:sz w:val="24"/>
          <w:lang w:val="da-DK"/>
        </w:rPr>
        <w:t xml:space="preserve">Rettens dom af 17. januar 2013, </w:t>
      </w:r>
      <w:proofErr w:type="spellStart"/>
      <w:r w:rsidRPr="008B1045">
        <w:rPr>
          <w:sz w:val="24"/>
          <w:lang w:val="da-DK"/>
        </w:rPr>
        <w:t>Gollnisch</w:t>
      </w:r>
      <w:proofErr w:type="spellEnd"/>
      <w:r w:rsidRPr="008B1045">
        <w:rPr>
          <w:sz w:val="24"/>
          <w:lang w:val="da-DK"/>
        </w:rPr>
        <w:t xml:space="preserve"> mod Parlamentet, T-346/11 og T-347/11, ECLI:EU:T:2013:23, præmis 59 og den deri nævnte retspraksis.</w:t>
      </w:r>
    </w:p>
  </w:footnote>
  <w:footnote w:id="3">
    <w:p w14:paraId="096FC2AF" w14:textId="2F82BDB3" w:rsidR="00C762D3" w:rsidRPr="008B1045" w:rsidRDefault="00C762D3" w:rsidP="008B1045">
      <w:pPr>
        <w:pStyle w:val="FootnoteText"/>
        <w:ind w:left="567" w:hanging="567"/>
        <w:rPr>
          <w:sz w:val="24"/>
          <w:lang w:val="da-DK"/>
        </w:rPr>
      </w:pPr>
      <w:r w:rsidRPr="008B1045">
        <w:rPr>
          <w:rStyle w:val="FootnoteReference"/>
          <w:sz w:val="24"/>
          <w:lang w:val="da-DK"/>
        </w:rPr>
        <w:footnoteRef/>
      </w:r>
      <w:r w:rsidR="008B1045" w:rsidRPr="008B1045">
        <w:rPr>
          <w:sz w:val="24"/>
          <w:lang w:val="da-DK"/>
        </w:rPr>
        <w:t xml:space="preserve"> </w:t>
      </w:r>
      <w:r w:rsidR="008B1045" w:rsidRPr="008B1045">
        <w:rPr>
          <w:sz w:val="24"/>
          <w:lang w:val="da-DK"/>
        </w:rPr>
        <w:tab/>
      </w:r>
      <w:r w:rsidRPr="008B1045">
        <w:rPr>
          <w:sz w:val="24"/>
          <w:lang w:val="da-DK"/>
        </w:rPr>
        <w:t xml:space="preserve">Domstolens dom af 17. september 2020, </w:t>
      </w:r>
      <w:proofErr w:type="spellStart"/>
      <w:r w:rsidRPr="008B1045">
        <w:rPr>
          <w:sz w:val="24"/>
          <w:lang w:val="da-DK"/>
        </w:rPr>
        <w:t>Troszczynski</w:t>
      </w:r>
      <w:proofErr w:type="spellEnd"/>
      <w:r w:rsidRPr="008B1045">
        <w:rPr>
          <w:sz w:val="24"/>
          <w:lang w:val="da-DK"/>
        </w:rPr>
        <w:t xml:space="preserve"> mod Parlamentet, C-12/19 ECLI:EU:C:2020:725, præmis 26.</w:t>
      </w:r>
    </w:p>
  </w:footnote>
  <w:footnote w:id="4">
    <w:p w14:paraId="1F8C7B82" w14:textId="32773583" w:rsidR="00C762D3" w:rsidRPr="008B1045" w:rsidRDefault="00C762D3" w:rsidP="008B1045">
      <w:pPr>
        <w:pStyle w:val="FootnoteText"/>
        <w:ind w:left="567" w:hanging="567"/>
        <w:rPr>
          <w:sz w:val="24"/>
          <w:lang w:val="da-DK"/>
        </w:rPr>
      </w:pPr>
      <w:r w:rsidRPr="008B1045">
        <w:rPr>
          <w:rStyle w:val="FootnoteReference"/>
          <w:sz w:val="24"/>
          <w:lang w:val="da-DK"/>
        </w:rPr>
        <w:footnoteRef/>
      </w:r>
      <w:r w:rsidR="008B1045" w:rsidRPr="008B1045">
        <w:rPr>
          <w:sz w:val="24"/>
          <w:lang w:val="da-DK"/>
        </w:rPr>
        <w:t xml:space="preserve"> </w:t>
      </w:r>
      <w:r w:rsidR="008B1045" w:rsidRPr="008B1045">
        <w:rPr>
          <w:sz w:val="24"/>
          <w:lang w:val="da-DK"/>
        </w:rPr>
        <w:tab/>
      </w:r>
      <w:r w:rsidRPr="008B1045">
        <w:rPr>
          <w:sz w:val="24"/>
          <w:lang w:val="da-DK"/>
        </w:rPr>
        <w:t xml:space="preserve">Rettens dom af 30. april 2019, </w:t>
      </w:r>
      <w:proofErr w:type="spellStart"/>
      <w:r w:rsidRPr="008B1045">
        <w:rPr>
          <w:sz w:val="24"/>
          <w:lang w:val="da-DK"/>
        </w:rPr>
        <w:t>Briois</w:t>
      </w:r>
      <w:proofErr w:type="spellEnd"/>
      <w:r w:rsidRPr="008B1045">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320B" w14:textId="77777777" w:rsidR="00064002" w:rsidRPr="008B10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983F" w14:textId="77777777" w:rsidR="00064002" w:rsidRPr="008B10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F9559" w14:textId="77777777" w:rsidR="00064002" w:rsidRPr="008B10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3328078">
    <w:abstractNumId w:val="9"/>
  </w:num>
  <w:num w:numId="2" w16cid:durableId="2008365653">
    <w:abstractNumId w:val="9"/>
  </w:num>
  <w:num w:numId="3" w16cid:durableId="179007799">
    <w:abstractNumId w:val="7"/>
  </w:num>
  <w:num w:numId="4" w16cid:durableId="565921891">
    <w:abstractNumId w:val="7"/>
  </w:num>
  <w:num w:numId="5" w16cid:durableId="618535781">
    <w:abstractNumId w:val="6"/>
  </w:num>
  <w:num w:numId="6" w16cid:durableId="960762437">
    <w:abstractNumId w:val="6"/>
  </w:num>
  <w:num w:numId="7" w16cid:durableId="1078944657">
    <w:abstractNumId w:val="5"/>
  </w:num>
  <w:num w:numId="8" w16cid:durableId="308677527">
    <w:abstractNumId w:val="5"/>
  </w:num>
  <w:num w:numId="9" w16cid:durableId="267859257">
    <w:abstractNumId w:val="4"/>
  </w:num>
  <w:num w:numId="10" w16cid:durableId="1940798699">
    <w:abstractNumId w:val="4"/>
  </w:num>
  <w:num w:numId="11" w16cid:durableId="1931114229">
    <w:abstractNumId w:val="8"/>
  </w:num>
  <w:num w:numId="12" w16cid:durableId="432747025">
    <w:abstractNumId w:val="8"/>
  </w:num>
  <w:num w:numId="13" w16cid:durableId="203758957">
    <w:abstractNumId w:val="3"/>
  </w:num>
  <w:num w:numId="14" w16cid:durableId="2106342771">
    <w:abstractNumId w:val="3"/>
  </w:num>
  <w:num w:numId="15" w16cid:durableId="1652902715">
    <w:abstractNumId w:val="2"/>
  </w:num>
  <w:num w:numId="16" w16cid:durableId="315381588">
    <w:abstractNumId w:val="2"/>
  </w:num>
  <w:num w:numId="17" w16cid:durableId="291254713">
    <w:abstractNumId w:val="1"/>
  </w:num>
  <w:num w:numId="18" w16cid:durableId="585573188">
    <w:abstractNumId w:val="1"/>
  </w:num>
  <w:num w:numId="19" w16cid:durableId="1519198505">
    <w:abstractNumId w:val="0"/>
  </w:num>
  <w:num w:numId="20" w16cid:durableId="2111197511">
    <w:abstractNumId w:val="0"/>
  </w:num>
  <w:num w:numId="21" w16cid:durableId="32849626">
    <w:abstractNumId w:val="9"/>
  </w:num>
  <w:num w:numId="22" w16cid:durableId="375082642">
    <w:abstractNumId w:val="7"/>
  </w:num>
  <w:num w:numId="23" w16cid:durableId="985008206">
    <w:abstractNumId w:val="6"/>
  </w:num>
  <w:num w:numId="24" w16cid:durableId="1894464417">
    <w:abstractNumId w:val="5"/>
  </w:num>
  <w:num w:numId="25" w16cid:durableId="268436061">
    <w:abstractNumId w:val="4"/>
  </w:num>
  <w:num w:numId="26" w16cid:durableId="279994855">
    <w:abstractNumId w:val="8"/>
  </w:num>
  <w:num w:numId="27" w16cid:durableId="1209368140">
    <w:abstractNumId w:val="3"/>
  </w:num>
  <w:num w:numId="28" w16cid:durableId="955136115">
    <w:abstractNumId w:val="2"/>
  </w:num>
  <w:num w:numId="29" w16cid:durableId="127206257">
    <w:abstractNumId w:val="1"/>
  </w:num>
  <w:num w:numId="30" w16cid:durableId="1567838918">
    <w:abstractNumId w:val="0"/>
  </w:num>
  <w:num w:numId="31" w16cid:durableId="1899127216">
    <w:abstractNumId w:val="9"/>
  </w:num>
  <w:num w:numId="32" w16cid:durableId="1359895688">
    <w:abstractNumId w:val="7"/>
  </w:num>
  <w:num w:numId="33" w16cid:durableId="913666127">
    <w:abstractNumId w:val="6"/>
  </w:num>
  <w:num w:numId="34" w16cid:durableId="1400905209">
    <w:abstractNumId w:val="5"/>
  </w:num>
  <w:num w:numId="35" w16cid:durableId="1496188066">
    <w:abstractNumId w:val="4"/>
  </w:num>
  <w:num w:numId="36" w16cid:durableId="1545752916">
    <w:abstractNumId w:val="8"/>
  </w:num>
  <w:num w:numId="37" w16cid:durableId="432553950">
    <w:abstractNumId w:val="3"/>
  </w:num>
  <w:num w:numId="38" w16cid:durableId="1916471572">
    <w:abstractNumId w:val="2"/>
  </w:num>
  <w:num w:numId="39" w16cid:durableId="1279870200">
    <w:abstractNumId w:val="1"/>
  </w:num>
  <w:num w:numId="40" w16cid:durableId="1940991787">
    <w:abstractNumId w:val="0"/>
  </w:num>
  <w:num w:numId="41" w16cid:durableId="186604895">
    <w:abstractNumId w:val="10"/>
  </w:num>
  <w:num w:numId="42" w16cid:durableId="45380318">
    <w:abstractNumId w:val="10"/>
  </w:num>
  <w:num w:numId="43" w16cid:durableId="1851993558">
    <w:abstractNumId w:val="10"/>
  </w:num>
  <w:num w:numId="44" w16cid:durableId="400103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DA"/>
    <w:docVar w:name="dvnumam" w:val="0"/>
    <w:docVar w:name="dvpe" w:val="775.580"/>
    <w:docVar w:name="dvrapporteur" w:val="Ordfører: "/>
    <w:docVar w:name="dvtitre" w:val="Europa-Parlamentets afgørelse af xx. oktober 2025 om anmodning om ophævelse af Péter Magyars immunitet(2025/2096(IMM))"/>
  </w:docVars>
  <w:rsids>
    <w:rsidRoot w:val="00712C47"/>
    <w:rsid w:val="00002272"/>
    <w:rsid w:val="00064002"/>
    <w:rsid w:val="000677B9"/>
    <w:rsid w:val="000831BA"/>
    <w:rsid w:val="000A42CC"/>
    <w:rsid w:val="000E7DD9"/>
    <w:rsid w:val="0010095E"/>
    <w:rsid w:val="00125B37"/>
    <w:rsid w:val="0015118E"/>
    <w:rsid w:val="00187494"/>
    <w:rsid w:val="001F32AE"/>
    <w:rsid w:val="0022322E"/>
    <w:rsid w:val="002767FF"/>
    <w:rsid w:val="002B18FE"/>
    <w:rsid w:val="002B5141"/>
    <w:rsid w:val="002B5493"/>
    <w:rsid w:val="00337E8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F20"/>
    <w:rsid w:val="005F1B17"/>
    <w:rsid w:val="006037C0"/>
    <w:rsid w:val="006631B6"/>
    <w:rsid w:val="00680577"/>
    <w:rsid w:val="006C5863"/>
    <w:rsid w:val="006F74FA"/>
    <w:rsid w:val="00712C47"/>
    <w:rsid w:val="00731ADD"/>
    <w:rsid w:val="00734777"/>
    <w:rsid w:val="00747932"/>
    <w:rsid w:val="00751A4A"/>
    <w:rsid w:val="00753034"/>
    <w:rsid w:val="00756632"/>
    <w:rsid w:val="00762C74"/>
    <w:rsid w:val="00786EC0"/>
    <w:rsid w:val="007B5430"/>
    <w:rsid w:val="007D1690"/>
    <w:rsid w:val="007E22AD"/>
    <w:rsid w:val="00817416"/>
    <w:rsid w:val="00842779"/>
    <w:rsid w:val="00844A05"/>
    <w:rsid w:val="00865F67"/>
    <w:rsid w:val="00881A7B"/>
    <w:rsid w:val="008840E5"/>
    <w:rsid w:val="00887B3E"/>
    <w:rsid w:val="008B1045"/>
    <w:rsid w:val="008C2AC6"/>
    <w:rsid w:val="00930C23"/>
    <w:rsid w:val="0093193B"/>
    <w:rsid w:val="009509D8"/>
    <w:rsid w:val="00950B64"/>
    <w:rsid w:val="00981893"/>
    <w:rsid w:val="009E16B2"/>
    <w:rsid w:val="00A1687D"/>
    <w:rsid w:val="00A35425"/>
    <w:rsid w:val="00A43E52"/>
    <w:rsid w:val="00A4678D"/>
    <w:rsid w:val="00A778C7"/>
    <w:rsid w:val="00AB441E"/>
    <w:rsid w:val="00AB6293"/>
    <w:rsid w:val="00AE0928"/>
    <w:rsid w:val="00AF3B82"/>
    <w:rsid w:val="00B12E95"/>
    <w:rsid w:val="00B22876"/>
    <w:rsid w:val="00B558F0"/>
    <w:rsid w:val="00BC4F23"/>
    <w:rsid w:val="00BD48FE"/>
    <w:rsid w:val="00BD7BD8"/>
    <w:rsid w:val="00BE6ADC"/>
    <w:rsid w:val="00C05BFE"/>
    <w:rsid w:val="00C23CD4"/>
    <w:rsid w:val="00C61C0C"/>
    <w:rsid w:val="00C762D3"/>
    <w:rsid w:val="00C941CB"/>
    <w:rsid w:val="00CC2357"/>
    <w:rsid w:val="00CF071A"/>
    <w:rsid w:val="00D058B8"/>
    <w:rsid w:val="00D440B3"/>
    <w:rsid w:val="00D56C11"/>
    <w:rsid w:val="00D834A0"/>
    <w:rsid w:val="00D84CB3"/>
    <w:rsid w:val="00D872DF"/>
    <w:rsid w:val="00D91E21"/>
    <w:rsid w:val="00DA7FCD"/>
    <w:rsid w:val="00E20E54"/>
    <w:rsid w:val="00E27E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38526"/>
  <w15:chartTrackingRefBased/>
  <w15:docId w15:val="{4714E9F6-A293-492C-9516-6C02FDD8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762D3"/>
    <w:pPr>
      <w:spacing w:after="240"/>
      <w:ind w:left="567" w:hanging="567"/>
    </w:pPr>
  </w:style>
  <w:style w:type="paragraph" w:customStyle="1" w:styleId="EPComma">
    <w:name w:val="EPComma"/>
    <w:basedOn w:val="Normal"/>
    <w:rsid w:val="00C762D3"/>
    <w:pPr>
      <w:spacing w:before="480" w:after="240"/>
    </w:pPr>
  </w:style>
  <w:style w:type="character" w:customStyle="1" w:styleId="doceo-font-family-base">
    <w:name w:val="doceo-font-family-base"/>
    <w:basedOn w:val="DefaultParagraphFont"/>
    <w:rsid w:val="00C762D3"/>
  </w:style>
  <w:style w:type="paragraph" w:customStyle="1" w:styleId="doceo-line-height-base">
    <w:name w:val="doceo-line-height-base"/>
    <w:basedOn w:val="Normal"/>
    <w:rsid w:val="00C762D3"/>
    <w:pPr>
      <w:widowControl/>
      <w:spacing w:before="100" w:beforeAutospacing="1" w:after="100" w:afterAutospacing="1"/>
    </w:pPr>
    <w:rPr>
      <w:szCs w:val="24"/>
    </w:rPr>
  </w:style>
  <w:style w:type="paragraph" w:styleId="Revision">
    <w:name w:val="Revision"/>
    <w:hidden/>
    <w:uiPriority w:val="99"/>
    <w:semiHidden/>
    <w:rsid w:val="00BC4F23"/>
    <w:rPr>
      <w:sz w:val="24"/>
      <w:lang w:val="da-DK"/>
    </w:rPr>
  </w:style>
  <w:style w:type="character" w:styleId="CommentReference">
    <w:name w:val="annotation reference"/>
    <w:basedOn w:val="DefaultParagraphFont"/>
    <w:rsid w:val="00337E80"/>
    <w:rPr>
      <w:sz w:val="16"/>
      <w:szCs w:val="16"/>
    </w:rPr>
  </w:style>
  <w:style w:type="paragraph" w:styleId="CommentText">
    <w:name w:val="annotation text"/>
    <w:basedOn w:val="Normal"/>
    <w:link w:val="CommentTextChar"/>
    <w:rsid w:val="00337E80"/>
    <w:rPr>
      <w:sz w:val="20"/>
    </w:rPr>
  </w:style>
  <w:style w:type="character" w:customStyle="1" w:styleId="CommentTextChar">
    <w:name w:val="Comment Text Char"/>
    <w:basedOn w:val="DefaultParagraphFont"/>
    <w:link w:val="CommentText"/>
    <w:rsid w:val="00337E80"/>
    <w:rPr>
      <w:lang w:val="da-DK"/>
    </w:rPr>
  </w:style>
  <w:style w:type="paragraph" w:styleId="CommentSubject">
    <w:name w:val="annotation subject"/>
    <w:basedOn w:val="CommentText"/>
    <w:next w:val="CommentText"/>
    <w:link w:val="CommentSubjectChar"/>
    <w:rsid w:val="00337E80"/>
    <w:rPr>
      <w:b/>
      <w:bCs/>
    </w:rPr>
  </w:style>
  <w:style w:type="character" w:customStyle="1" w:styleId="CommentSubjectChar">
    <w:name w:val="Comment Subject Char"/>
    <w:basedOn w:val="CommentTextChar"/>
    <w:link w:val="CommentSubject"/>
    <w:rsid w:val="00337E8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1095</Words>
  <Characters>6058</Characters>
  <Application>Microsoft Office Word</Application>
  <DocSecurity>0</DocSecurity>
  <Lines>252</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2025-10-07T12:48:00Z</dcterms:created>
  <dcterms:modified xsi:type="dcterms:W3CDTF">2025-10-07T12:48:00Z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P10_TA-PROV(2025)0205_A10-0182_2025_</vt:lpwstr>
  </property>
  <property fmtid="{D5CDD505-2E9C-101B-9397-08002B2CF9AE}" pid="4" name="&lt;Type&gt;">
    <vt:lpwstr>RR</vt:lpwstr>
  </property>
</Properties>
</file>