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6882" w14:paraId="6DBB1DCB" w14:textId="77777777" w:rsidTr="0010095E">
        <w:trPr>
          <w:trHeight w:hRule="exact" w:val="1418"/>
        </w:trPr>
        <w:tc>
          <w:tcPr>
            <w:tcW w:w="6804" w:type="dxa"/>
            <w:shd w:val="clear" w:color="auto" w:fill="auto"/>
            <w:vAlign w:val="center"/>
          </w:tcPr>
          <w:p w14:paraId="2ADE0BF9" w14:textId="77777777" w:rsidR="00751A4A" w:rsidRPr="00B46882" w:rsidRDefault="00DE550F" w:rsidP="0010095E">
            <w:pPr>
              <w:pStyle w:val="EPName"/>
            </w:pPr>
            <w:r w:rsidRPr="00B46882">
              <w:t>Euroopan parlamentti</w:t>
            </w:r>
          </w:p>
          <w:p w14:paraId="237E099A" w14:textId="77777777" w:rsidR="00751A4A" w:rsidRPr="00B46882" w:rsidRDefault="005F1B17" w:rsidP="005F1B17">
            <w:pPr>
              <w:pStyle w:val="EPTerm"/>
              <w:rPr>
                <w:rStyle w:val="HideTWBExt"/>
                <w:noProof w:val="0"/>
                <w:vanish w:val="0"/>
                <w:color w:val="auto"/>
              </w:rPr>
            </w:pPr>
            <w:r w:rsidRPr="00B46882">
              <w:t>2024</w:t>
            </w:r>
            <w:r w:rsidR="00817416" w:rsidRPr="00B46882">
              <w:t>-202</w:t>
            </w:r>
            <w:r w:rsidRPr="00B46882">
              <w:t>9</w:t>
            </w:r>
          </w:p>
        </w:tc>
        <w:tc>
          <w:tcPr>
            <w:tcW w:w="2268" w:type="dxa"/>
            <w:shd w:val="clear" w:color="auto" w:fill="auto"/>
          </w:tcPr>
          <w:p w14:paraId="354330FD" w14:textId="77777777" w:rsidR="00751A4A" w:rsidRPr="00B46882" w:rsidRDefault="00187494" w:rsidP="0010095E">
            <w:pPr>
              <w:pStyle w:val="EPLogo"/>
            </w:pPr>
            <w:r w:rsidRPr="00B46882">
              <w:rPr>
                <w:noProof/>
                <w:lang w:eastAsia="ja-JP"/>
              </w:rPr>
              <w:drawing>
                <wp:inline distT="0" distB="0" distL="0" distR="0" wp14:anchorId="4921D096" wp14:editId="314BF5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72E451" w14:textId="77777777" w:rsidR="00D058B8" w:rsidRPr="00B46882" w:rsidRDefault="00D058B8" w:rsidP="004C5D52">
      <w:pPr>
        <w:pStyle w:val="LineTop"/>
      </w:pPr>
    </w:p>
    <w:p w14:paraId="58ADBCBC" w14:textId="77777777" w:rsidR="00680577" w:rsidRPr="00B46882" w:rsidRDefault="00DE550F" w:rsidP="00680577">
      <w:pPr>
        <w:pStyle w:val="EPBodyTA1"/>
      </w:pPr>
      <w:r w:rsidRPr="00B46882">
        <w:t>HYVÄKSYTYT TEKSTIT</w:t>
      </w:r>
    </w:p>
    <w:p w14:paraId="1C2E52D0" w14:textId="77777777" w:rsidR="00D058B8" w:rsidRPr="00B46882" w:rsidRDefault="00D058B8" w:rsidP="00D058B8">
      <w:pPr>
        <w:pStyle w:val="LineBottom"/>
      </w:pPr>
    </w:p>
    <w:p w14:paraId="382BB939" w14:textId="2B782B90" w:rsidR="00DE550F" w:rsidRPr="00B46882" w:rsidRDefault="00DE550F" w:rsidP="00DE550F">
      <w:pPr>
        <w:pStyle w:val="ATHeading1"/>
      </w:pPr>
      <w:bookmarkStart w:id="0" w:name="TANumber"/>
      <w:r w:rsidRPr="00B46882">
        <w:t>P10_TA(2025)0</w:t>
      </w:r>
      <w:r w:rsidR="00B46882" w:rsidRPr="00B46882">
        <w:t>205</w:t>
      </w:r>
      <w:bookmarkEnd w:id="0"/>
    </w:p>
    <w:p w14:paraId="006D9A60" w14:textId="3EFF98F2" w:rsidR="00DE550F" w:rsidRPr="00B46882" w:rsidRDefault="00695E7E" w:rsidP="00DE550F">
      <w:pPr>
        <w:pStyle w:val="ATHeading2"/>
      </w:pPr>
      <w:bookmarkStart w:id="1" w:name="title"/>
      <w:proofErr w:type="spellStart"/>
      <w:r w:rsidRPr="00B46882">
        <w:rPr>
          <w:bCs/>
        </w:rPr>
        <w:t>Péter</w:t>
      </w:r>
      <w:proofErr w:type="spellEnd"/>
      <w:r w:rsidRPr="00B46882">
        <w:rPr>
          <w:bCs/>
        </w:rPr>
        <w:t xml:space="preserve"> </w:t>
      </w:r>
      <w:proofErr w:type="spellStart"/>
      <w:r w:rsidRPr="00B46882">
        <w:rPr>
          <w:bCs/>
        </w:rPr>
        <w:t>Magyarin</w:t>
      </w:r>
      <w:proofErr w:type="spellEnd"/>
      <w:r w:rsidRPr="00B46882">
        <w:rPr>
          <w:bCs/>
        </w:rPr>
        <w:t xml:space="preserve"> koskemattomuuden pidättämistä koskeva pyyntö</w:t>
      </w:r>
      <w:bookmarkEnd w:id="1"/>
    </w:p>
    <w:p w14:paraId="07C8001D" w14:textId="77777777" w:rsidR="00DE550F" w:rsidRPr="00B46882" w:rsidRDefault="00DE550F" w:rsidP="00DE550F">
      <w:pPr>
        <w:rPr>
          <w:i/>
          <w:vanish/>
        </w:rPr>
      </w:pPr>
      <w:r w:rsidRPr="00B46882">
        <w:rPr>
          <w:i/>
        </w:rPr>
        <w:fldChar w:fldCharType="begin"/>
      </w:r>
      <w:r w:rsidRPr="00B46882">
        <w:rPr>
          <w:i/>
        </w:rPr>
        <w:instrText xml:space="preserve"> TC"(</w:instrText>
      </w:r>
      <w:bookmarkStart w:id="2" w:name="DocNumber"/>
      <w:r w:rsidRPr="00B46882">
        <w:rPr>
          <w:i/>
        </w:rPr>
        <w:instrText>A10-0182/2025</w:instrText>
      </w:r>
      <w:bookmarkEnd w:id="2"/>
      <w:r w:rsidRPr="00B46882">
        <w:rPr>
          <w:i/>
        </w:rPr>
        <w:instrText xml:space="preserve"> - Esittelijä: Ilhan Kyuchyuk)"\l3 \n&gt; \* MERGEFORMAT </w:instrText>
      </w:r>
      <w:r w:rsidRPr="00B46882">
        <w:rPr>
          <w:i/>
        </w:rPr>
        <w:fldChar w:fldCharType="end"/>
      </w:r>
    </w:p>
    <w:p w14:paraId="1EB90499" w14:textId="77777777" w:rsidR="00DE550F" w:rsidRPr="00B46882" w:rsidRDefault="00DE550F" w:rsidP="00DE550F">
      <w:pPr>
        <w:rPr>
          <w:vanish/>
        </w:rPr>
      </w:pPr>
      <w:bookmarkStart w:id="3" w:name="Commission"/>
      <w:r w:rsidRPr="00B46882">
        <w:rPr>
          <w:vanish/>
        </w:rPr>
        <w:t>Oikeudellisten asioiden valiokunta</w:t>
      </w:r>
      <w:bookmarkEnd w:id="3"/>
    </w:p>
    <w:p w14:paraId="3AF21911" w14:textId="77777777" w:rsidR="00DE550F" w:rsidRPr="00B46882" w:rsidRDefault="00DE550F" w:rsidP="00DE550F">
      <w:pPr>
        <w:rPr>
          <w:vanish/>
        </w:rPr>
      </w:pPr>
      <w:bookmarkStart w:id="4" w:name="PE"/>
      <w:r w:rsidRPr="00B46882">
        <w:rPr>
          <w:vanish/>
        </w:rPr>
        <w:t>PE775.580</w:t>
      </w:r>
      <w:bookmarkEnd w:id="4"/>
    </w:p>
    <w:p w14:paraId="74B87B33" w14:textId="41F99D0D" w:rsidR="00DE550F" w:rsidRPr="00B46882" w:rsidRDefault="00DE550F" w:rsidP="00DE550F">
      <w:pPr>
        <w:pStyle w:val="ATHeading3"/>
      </w:pPr>
      <w:bookmarkStart w:id="5" w:name="Sujet"/>
      <w:r w:rsidRPr="00B46882">
        <w:t xml:space="preserve">Euroopan parlamentin päätös </w:t>
      </w:r>
      <w:r w:rsidR="00152E79" w:rsidRPr="00B46882">
        <w:t>7</w:t>
      </w:r>
      <w:r w:rsidRPr="00B46882">
        <w:t xml:space="preserve">. lokakuuta 2025 </w:t>
      </w:r>
      <w:proofErr w:type="spellStart"/>
      <w:r w:rsidRPr="00B46882">
        <w:t>Péter</w:t>
      </w:r>
      <w:proofErr w:type="spellEnd"/>
      <w:r w:rsidRPr="00B46882">
        <w:t xml:space="preserve"> </w:t>
      </w:r>
      <w:proofErr w:type="spellStart"/>
      <w:r w:rsidRPr="00B46882">
        <w:t>Magyarin</w:t>
      </w:r>
      <w:proofErr w:type="spellEnd"/>
      <w:r w:rsidRPr="00B46882">
        <w:t xml:space="preserve"> koskemattomuuden pidättämistä koskevasta pyynnöstä</w:t>
      </w:r>
      <w:bookmarkEnd w:id="5"/>
      <w:r w:rsidRPr="00B46882">
        <w:t xml:space="preserve"> </w:t>
      </w:r>
      <w:bookmarkStart w:id="6" w:name="References"/>
      <w:r w:rsidRPr="00B46882">
        <w:t>(2025/2096(IMM))</w:t>
      </w:r>
      <w:bookmarkEnd w:id="6"/>
    </w:p>
    <w:p w14:paraId="062D3798" w14:textId="77777777" w:rsidR="00BD22B8" w:rsidRPr="00B46882" w:rsidRDefault="00BD22B8" w:rsidP="00695E7E">
      <w:pPr>
        <w:pStyle w:val="EPComma"/>
      </w:pPr>
      <w:bookmarkStart w:id="7" w:name="TextBodyBegin"/>
      <w:bookmarkEnd w:id="7"/>
      <w:r w:rsidRPr="00B46882">
        <w:rPr>
          <w:i/>
          <w:iCs/>
        </w:rPr>
        <w:t>Euroopan parlamentti</w:t>
      </w:r>
      <w:r w:rsidRPr="00B46882">
        <w:t>, joka</w:t>
      </w:r>
    </w:p>
    <w:p w14:paraId="0FBA6CEE" w14:textId="30228E6E" w:rsidR="00BD22B8" w:rsidRPr="00B46882" w:rsidRDefault="00BD22B8" w:rsidP="00695E7E">
      <w:pPr>
        <w:pStyle w:val="NormalHanging12a"/>
      </w:pPr>
      <w:r w:rsidRPr="00B46882">
        <w:t>–</w:t>
      </w:r>
      <w:r w:rsidRPr="00B46882">
        <w:tab/>
        <w:t>ottaa huomioon</w:t>
      </w:r>
      <w:r w:rsidR="004B21BC" w:rsidRPr="00B46882">
        <w:t xml:space="preserve"> </w:t>
      </w:r>
      <w:proofErr w:type="spellStart"/>
      <w:r w:rsidRPr="00B46882">
        <w:t>Péter</w:t>
      </w:r>
      <w:proofErr w:type="spellEnd"/>
      <w:r w:rsidRPr="00B46882">
        <w:t xml:space="preserve"> </w:t>
      </w:r>
      <w:proofErr w:type="spellStart"/>
      <w:r w:rsidRPr="00B46882">
        <w:t>Magyarin</w:t>
      </w:r>
      <w:proofErr w:type="spellEnd"/>
      <w:r w:rsidRPr="00B46882">
        <w:t xml:space="preserve"> koskemattomuuden pidättämistä </w:t>
      </w:r>
      <w:r w:rsidR="00C7414A" w:rsidRPr="00B46882">
        <w:t xml:space="preserve">koskevan, Unkarin Pestin keskuspiirioikeuden 21. maaliskuuta 2025 toimittaman pyynnön, joka liittyy </w:t>
      </w:r>
      <w:r w:rsidRPr="00B46882">
        <w:t>häntä vastaan</w:t>
      </w:r>
      <w:r w:rsidR="000C7373" w:rsidRPr="00B46882">
        <w:t xml:space="preserve"> yksityisellä asianomistajakanteella vireille pantuun rikosoikeudelliseen menettelyyn</w:t>
      </w:r>
      <w:r w:rsidRPr="00B46882">
        <w:t xml:space="preserve"> ja josta ilmoitettiin </w:t>
      </w:r>
      <w:r w:rsidR="00152E79" w:rsidRPr="00B46882">
        <w:t xml:space="preserve">parlamentissa </w:t>
      </w:r>
      <w:r w:rsidRPr="00B46882">
        <w:t>5. toukokuuta 2025,</w:t>
      </w:r>
    </w:p>
    <w:p w14:paraId="7DF1AE77" w14:textId="38BED46C" w:rsidR="00BD22B8" w:rsidRPr="00B46882" w:rsidRDefault="00BD22B8" w:rsidP="00695E7E">
      <w:pPr>
        <w:pStyle w:val="NormalHanging12a"/>
      </w:pPr>
      <w:r w:rsidRPr="00B46882">
        <w:t>–</w:t>
      </w:r>
      <w:r w:rsidRPr="00B46882">
        <w:tab/>
        <w:t xml:space="preserve">ottaa huomioon, että </w:t>
      </w:r>
      <w:proofErr w:type="spellStart"/>
      <w:r w:rsidRPr="00B46882">
        <w:t>Péter</w:t>
      </w:r>
      <w:proofErr w:type="spellEnd"/>
      <w:r w:rsidRPr="00B46882">
        <w:t xml:space="preserve"> </w:t>
      </w:r>
      <w:proofErr w:type="spellStart"/>
      <w:r w:rsidRPr="00B46882">
        <w:t>Magyar</w:t>
      </w:r>
      <w:proofErr w:type="spellEnd"/>
      <w:r w:rsidRPr="00B46882">
        <w:t xml:space="preserve"> on luopunut oikeudestaan tulla kuulluksi parlamentin työjärjestyksen 9 artiklan 6 kohdan</w:t>
      </w:r>
      <w:r w:rsidR="00B222F0" w:rsidRPr="00B46882">
        <w:t xml:space="preserve"> mukaisesti</w:t>
      </w:r>
      <w:r w:rsidRPr="00B46882">
        <w:t>,</w:t>
      </w:r>
    </w:p>
    <w:p w14:paraId="3BBEFA6D" w14:textId="2A8261F5" w:rsidR="00BD22B8" w:rsidRPr="00B46882" w:rsidRDefault="00BD22B8" w:rsidP="00695E7E">
      <w:pPr>
        <w:pStyle w:val="NormalHanging12a"/>
      </w:pPr>
      <w:r w:rsidRPr="00B46882">
        <w:t>–</w:t>
      </w:r>
      <w:r w:rsidRPr="00B46882">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14:paraId="2899F05B" w14:textId="77777777" w:rsidR="00BD22B8" w:rsidRPr="00B46882" w:rsidRDefault="00BD22B8" w:rsidP="00695E7E">
      <w:pPr>
        <w:pStyle w:val="NormalHanging12a"/>
      </w:pPr>
      <w:r w:rsidRPr="00B46882">
        <w:t>–</w:t>
      </w:r>
      <w:r w:rsidRPr="00B46882">
        <w:tab/>
        <w:t xml:space="preserve">ottaa huomioon </w:t>
      </w:r>
      <w:r w:rsidRPr="00B46882">
        <w:rPr>
          <w:color w:val="000000"/>
          <w:shd w:val="clear" w:color="auto" w:fill="FFFFFF"/>
        </w:rPr>
        <w:t>Unkarin perustuslain 4 pykälän 2 momentin,</w:t>
      </w:r>
    </w:p>
    <w:p w14:paraId="34A694D9" w14:textId="77777777" w:rsidR="00BD22B8" w:rsidRPr="00B46882" w:rsidRDefault="00BD22B8" w:rsidP="00695E7E">
      <w:pPr>
        <w:pStyle w:val="NormalHanging12a"/>
      </w:pPr>
      <w:r w:rsidRPr="00B46882">
        <w:t>–</w:t>
      </w:r>
      <w:r w:rsidRPr="00B46882">
        <w:tab/>
        <w:t>ottaa huomioon Euroopan unionin tuomioistuimen 21. lokakuuta 2008, 19. maaliskuuta 2010, 6. syyskuuta 2011, 17. tammikuuta 2013, 19. joulukuuta 2019 ja 5. heinäkuuta 2023 antamat tuomiot</w:t>
      </w:r>
      <w:r w:rsidRPr="00B46882">
        <w:rPr>
          <w:rStyle w:val="FootnoteReference"/>
        </w:rPr>
        <w:footnoteReference w:id="1"/>
      </w:r>
      <w:r w:rsidRPr="00B46882">
        <w:t>,</w:t>
      </w:r>
    </w:p>
    <w:p w14:paraId="75A90EBD" w14:textId="77777777" w:rsidR="00BD22B8" w:rsidRPr="00B46882" w:rsidRDefault="00BD22B8" w:rsidP="00695E7E">
      <w:pPr>
        <w:pStyle w:val="NormalHanging12a"/>
      </w:pPr>
      <w:r w:rsidRPr="00B46882">
        <w:t>–</w:t>
      </w:r>
      <w:r w:rsidRPr="00B46882">
        <w:tab/>
        <w:t>ottaa huomioon työjärjestyksen 5 artiklan 2 kohdan, 6 artiklan 1 kohdan ja 9 artiklan,</w:t>
      </w:r>
    </w:p>
    <w:p w14:paraId="71A7548E" w14:textId="77777777" w:rsidR="00BD22B8" w:rsidRPr="00B46882" w:rsidRDefault="00BD22B8" w:rsidP="00695E7E">
      <w:pPr>
        <w:pStyle w:val="NormalHanging12a"/>
      </w:pPr>
      <w:r w:rsidRPr="00B46882">
        <w:t>–</w:t>
      </w:r>
      <w:r w:rsidRPr="00B46882">
        <w:tab/>
        <w:t>ottaa huomioon oikeudellisten asioiden valiokunnan mietinnön (A10-0182/2025),</w:t>
      </w:r>
    </w:p>
    <w:p w14:paraId="3B63BB01" w14:textId="65C77A8C" w:rsidR="00BD22B8" w:rsidRPr="00B46882" w:rsidRDefault="00BD22B8" w:rsidP="00695E7E">
      <w:pPr>
        <w:pStyle w:val="NormalHanging12a"/>
        <w:widowControl/>
      </w:pPr>
      <w:r w:rsidRPr="00B46882">
        <w:t>A.</w:t>
      </w:r>
      <w:r w:rsidRPr="00B46882">
        <w:tab/>
        <w:t>ottaa huomioon, että Pestin keskuspiiri</w:t>
      </w:r>
      <w:r w:rsidR="00B222F0" w:rsidRPr="00B46882">
        <w:t>oikeus</w:t>
      </w:r>
      <w:r w:rsidRPr="00B46882">
        <w:t xml:space="preserve"> esitti 21. maaliskuuta 2025 päivätyllä kirjeellä</w:t>
      </w:r>
      <w:r w:rsidR="00B222F0" w:rsidRPr="00B46882">
        <w:t xml:space="preserve"> Unkarista valitun Euroopan parlamentin jäsenen</w:t>
      </w:r>
      <w:r w:rsidRPr="00B46882">
        <w:t xml:space="preserve"> </w:t>
      </w:r>
      <w:proofErr w:type="spellStart"/>
      <w:r w:rsidRPr="00B46882">
        <w:t>Péter</w:t>
      </w:r>
      <w:proofErr w:type="spellEnd"/>
      <w:r w:rsidRPr="00B46882">
        <w:t xml:space="preserve"> </w:t>
      </w:r>
      <w:proofErr w:type="spellStart"/>
      <w:r w:rsidRPr="00B46882">
        <w:t>Magyarin</w:t>
      </w:r>
      <w:proofErr w:type="spellEnd"/>
      <w:r w:rsidRPr="00B46882">
        <w:t xml:space="preserve"> koskemattomuuden pidättämistä koskevan pyynnön, joka liittyy Unkarin rikoslaista </w:t>
      </w:r>
      <w:r w:rsidRPr="00B46882">
        <w:lastRenderedPageBreak/>
        <w:t xml:space="preserve">vuonna 2012 annetun lain nro C 226 pykälän 1 momentissa tarkoitettuun väitettyyn rikokseen ja koskee huhtikuussa 2024 tapahtuneita tekoja, asianomistajan </w:t>
      </w:r>
      <w:proofErr w:type="spellStart"/>
      <w:r w:rsidRPr="00B46882">
        <w:t>Péter</w:t>
      </w:r>
      <w:proofErr w:type="spellEnd"/>
      <w:r w:rsidRPr="00B46882">
        <w:t xml:space="preserve"> </w:t>
      </w:r>
      <w:proofErr w:type="spellStart"/>
      <w:r w:rsidRPr="00B46882">
        <w:t>Magyaria</w:t>
      </w:r>
      <w:proofErr w:type="spellEnd"/>
      <w:r w:rsidRPr="00B46882">
        <w:t xml:space="preserve"> vastaan vireille panemassa kunnianloukkausta koskevassa rikosasiassa;</w:t>
      </w:r>
    </w:p>
    <w:p w14:paraId="7C09F318" w14:textId="77777777" w:rsidR="00BD22B8" w:rsidRPr="00B46882" w:rsidRDefault="00BD22B8" w:rsidP="00695E7E">
      <w:pPr>
        <w:pStyle w:val="NormalHanging12a"/>
        <w:widowControl/>
      </w:pPr>
      <w:r w:rsidRPr="00B46882">
        <w:rPr>
          <w:shd w:val="clear" w:color="auto" w:fill="FFFFFF"/>
        </w:rPr>
        <w:t>B.</w:t>
      </w:r>
      <w:r w:rsidRPr="00B46882">
        <w:rPr>
          <w:shd w:val="clear" w:color="auto" w:fill="FFFFFF"/>
        </w:rPr>
        <w:tab/>
      </w:r>
      <w:r w:rsidRPr="00B46882">
        <w:t xml:space="preserve">ottaa huomioon, että koskemattomuuden pidättämistä koskevan pyynnön mukaan </w:t>
      </w:r>
      <w:proofErr w:type="spellStart"/>
      <w:r w:rsidRPr="00B46882">
        <w:t>Péter</w:t>
      </w:r>
      <w:proofErr w:type="spellEnd"/>
      <w:r w:rsidRPr="00B46882">
        <w:t xml:space="preserve"> </w:t>
      </w:r>
      <w:proofErr w:type="spellStart"/>
      <w:r w:rsidRPr="00B46882">
        <w:t>Magyaria</w:t>
      </w:r>
      <w:proofErr w:type="spellEnd"/>
      <w:r w:rsidRPr="00B46882">
        <w:t xml:space="preserve"> syytetään siitä, että hän olisi erään mielenosoituksen yhteydessä esittänyt julkisesti vääriä tietoja sisältäneitä lausumia ja levittänyt huhuja, jotka voivat vahingoittaa ”Mi </w:t>
      </w:r>
      <w:proofErr w:type="spellStart"/>
      <w:r w:rsidRPr="00B46882">
        <w:t>Hazánk</w:t>
      </w:r>
      <w:proofErr w:type="spellEnd"/>
      <w:r w:rsidRPr="00B46882">
        <w:t xml:space="preserve"> </w:t>
      </w:r>
      <w:proofErr w:type="spellStart"/>
      <w:r w:rsidRPr="00B46882">
        <w:t>Mozgalom</w:t>
      </w:r>
      <w:proofErr w:type="spellEnd"/>
      <w:r w:rsidRPr="00B46882">
        <w:t xml:space="preserve">” -nimisen poliittisen liikkeen (Isänmaamme-liike) ja erään sen varapuheenjohtajan, joka on Unkarin parlamentin jäsen, mainetta; ottaa huomioon, että </w:t>
      </w:r>
      <w:proofErr w:type="spellStart"/>
      <w:r w:rsidRPr="00B46882">
        <w:t>Péter</w:t>
      </w:r>
      <w:proofErr w:type="spellEnd"/>
      <w:r w:rsidRPr="00B46882">
        <w:t xml:space="preserve"> </w:t>
      </w:r>
      <w:proofErr w:type="spellStart"/>
      <w:r w:rsidRPr="00B46882">
        <w:t>Magyaria</w:t>
      </w:r>
      <w:proofErr w:type="spellEnd"/>
      <w:r w:rsidRPr="00B46882">
        <w:t xml:space="preserve"> vastaan nostettiin 13. toukokuuta 2024 asianomistajasyyte kunnianloukkauksesta tehdyn rikosilmoituksen perusteella;</w:t>
      </w:r>
    </w:p>
    <w:p w14:paraId="24BFE8D7" w14:textId="30B543B2" w:rsidR="00BD22B8" w:rsidRPr="00B46882" w:rsidRDefault="00BD22B8" w:rsidP="00695E7E">
      <w:pPr>
        <w:pStyle w:val="NormalHanging12a"/>
        <w:widowControl/>
      </w:pPr>
      <w:r w:rsidRPr="00B46882">
        <w:t>C.</w:t>
      </w:r>
      <w:r w:rsidRPr="00B46882">
        <w:tab/>
        <w:t xml:space="preserve">ottaa huomioon, että </w:t>
      </w:r>
      <w:proofErr w:type="spellStart"/>
      <w:r w:rsidRPr="00B46882">
        <w:t>Péter</w:t>
      </w:r>
      <w:proofErr w:type="spellEnd"/>
      <w:r w:rsidRPr="00B46882">
        <w:t xml:space="preserve"> </w:t>
      </w:r>
      <w:proofErr w:type="spellStart"/>
      <w:r w:rsidRPr="00B46882">
        <w:t>Magyar</w:t>
      </w:r>
      <w:proofErr w:type="spellEnd"/>
      <w:r w:rsidRPr="00B46882">
        <w:t xml:space="preserve"> valittiin kesäkuussa 2024 pidetyissä EU-vaaleissa ja että hän kävi Euroopan parlamentin vaaleihin liittyvää vaalikampanjaa </w:t>
      </w:r>
      <w:r w:rsidR="00982A15" w:rsidRPr="00B46882">
        <w:t>rikos</w:t>
      </w:r>
      <w:r w:rsidRPr="00B46882">
        <w:t>syytteen nostamisen ajankohtana;</w:t>
      </w:r>
    </w:p>
    <w:p w14:paraId="7154432A" w14:textId="77777777" w:rsidR="00BD22B8" w:rsidRPr="00B46882" w:rsidRDefault="00BD22B8" w:rsidP="00695E7E">
      <w:pPr>
        <w:pStyle w:val="NormalHanging12a"/>
        <w:widowControl/>
      </w:pPr>
      <w:r w:rsidRPr="00B46882">
        <w:t>D.</w:t>
      </w:r>
      <w:r w:rsidRPr="00B46882">
        <w:tab/>
        <w:t xml:space="preserve">toteaa, että väitetty rikos ja sen </w:t>
      </w:r>
      <w:proofErr w:type="gramStart"/>
      <w:r w:rsidRPr="00B46882">
        <w:t>johdosta</w:t>
      </w:r>
      <w:proofErr w:type="gramEnd"/>
      <w:r w:rsidRPr="00B46882">
        <w:t xml:space="preserve"> esitetty koskemattomuuden pidättämistä koskeva pyyntö eivät liity </w:t>
      </w:r>
      <w:proofErr w:type="spellStart"/>
      <w:r w:rsidRPr="00B46882">
        <w:t>Péter</w:t>
      </w:r>
      <w:proofErr w:type="spellEnd"/>
      <w:r w:rsidRPr="00B46882">
        <w:t xml:space="preserve"> </w:t>
      </w:r>
      <w:proofErr w:type="spellStart"/>
      <w:r w:rsidRPr="00B46882">
        <w:t>Magyarin</w:t>
      </w:r>
      <w:proofErr w:type="spellEnd"/>
      <w:r w:rsidRPr="00B46882">
        <w:t xml:space="preserve"> tehtäviään hoitaessaan ilmaisemaan mielipiteeseen tai hänen äänestykseensä Euroopan unionin erioikeuksista ja vapauksista tehdyssä pöytäkirjassa N:o 7 olevassa 8 artiklassa tarkoitetulla tavalla;</w:t>
      </w:r>
    </w:p>
    <w:p w14:paraId="48A191E7" w14:textId="77777777" w:rsidR="00BD22B8" w:rsidRPr="00B46882" w:rsidRDefault="00BD22B8" w:rsidP="00695E7E">
      <w:pPr>
        <w:pStyle w:val="NormalHanging12a"/>
        <w:widowControl/>
      </w:pPr>
      <w:r w:rsidRPr="00B46882">
        <w:t>E.</w:t>
      </w:r>
      <w:r w:rsidRPr="00B46882">
        <w:tab/>
        <w:t>ottaa huomioon, että Euroopan unionin erioikeuksista ja vapauksista tehdyssä pöytäkirjassa N:o 7 olevan 9 artiklan ensimmäisen kohdan a alakohdassa määrätään, että Euroopan parlamentin jäsenillä on oman valtionsa alueella kansanedustajille myönnetty koskemattomuus;</w:t>
      </w:r>
    </w:p>
    <w:p w14:paraId="79671744" w14:textId="6852E326" w:rsidR="00BD22B8" w:rsidRPr="00B46882" w:rsidRDefault="00BD22B8" w:rsidP="00695E7E">
      <w:pPr>
        <w:pStyle w:val="NormalHanging12a"/>
      </w:pPr>
      <w:r w:rsidRPr="00B46882">
        <w:t>F.</w:t>
      </w:r>
      <w:r w:rsidRPr="00B46882">
        <w:tab/>
        <w:t xml:space="preserve">ottaa huomioon, että Unkarin perustuslain 4 pykälän 2 momentin mukaan Unkarin </w:t>
      </w:r>
      <w:r w:rsidR="008C76C8">
        <w:t>parlamentin</w:t>
      </w:r>
      <w:r w:rsidR="008C76C8" w:rsidRPr="00B46882">
        <w:t xml:space="preserve"> </w:t>
      </w:r>
      <w:r w:rsidRPr="00B46882">
        <w:t>jäsenillä on parlamentaarinen koskemattomuus;</w:t>
      </w:r>
      <w:r w:rsidRPr="00B46882">
        <w:rPr>
          <w:color w:val="000000"/>
          <w:shd w:val="clear" w:color="auto" w:fill="FFFFFF"/>
        </w:rPr>
        <w:t xml:space="preserve"> </w:t>
      </w:r>
      <w:r w:rsidRPr="00B46882">
        <w:t xml:space="preserve">ottaa huomioon, että kansalliskokouksesta vuonna 2012 annetun lain nro XXXVI 79 pykälän 2 momentin mukaan henkilöllä, joka on lopullisesti ja sitovasti rekisteröity ehdokkaaksi, on sama koskemattomuus kuin jäsenillä siihen saakka, kunnes vaalien tulos tulee lopulliseksi ja sitovaksi, ja ottaa huomioon, että kyseisen lain 79 pykälän 1 momentin mukaan jäsenellä on joka tapauksessa koskemattomuus siitä päivästä, jona hänet valitaan; </w:t>
      </w:r>
      <w:r w:rsidRPr="00B46882">
        <w:rPr>
          <w:color w:val="000000"/>
          <w:shd w:val="clear" w:color="auto" w:fill="FFFFFF"/>
        </w:rPr>
        <w:t>ottaa huomioon, että kansalliskokouksesta vuonna 2012 annetun lain nro XXXVI 74 pykälän 1 momentin nojalla rikosoikeudellinen menettely tai, siinä tapauksessa, että koskemattomuuden vapaaehtoisesta pidättämisestä kieltäydytään kyseisessä tapauksessa, rikkomusta koskeva menettely voidaan panna vireille tai toteuttaa ja pakkokeinoja soveltaa jäseneen ainoastaan kansalliskokouksen etukäteen antamalla suostumuksella;</w:t>
      </w:r>
    </w:p>
    <w:p w14:paraId="15CF6E1D" w14:textId="595A0112" w:rsidR="00982A15" w:rsidRPr="00B46882" w:rsidRDefault="00982A15" w:rsidP="00982A15">
      <w:pPr>
        <w:pStyle w:val="NormalHanging12a"/>
        <w:widowControl/>
      </w:pPr>
      <w:r w:rsidRPr="00B46882">
        <w:t>G.</w:t>
      </w:r>
      <w:r w:rsidRPr="00B46882">
        <w:tab/>
        <w:t xml:space="preserve">ottaa huomioon, että työjärjestyksen 5 artiklan 2 kohdan mukaan parlamentaarinen koskemattomuus ei ole jäsenen henkilökohtainen erioikeus vaan tae koko </w:t>
      </w:r>
      <w:r w:rsidR="008C76C8">
        <w:t xml:space="preserve">Euroopan </w:t>
      </w:r>
      <w:r w:rsidRPr="00B46882">
        <w:t>parlamentin ja sen jäsenten riippumattomuudesta;</w:t>
      </w:r>
    </w:p>
    <w:p w14:paraId="02F48F6E" w14:textId="43D07FA3" w:rsidR="00BD22B8" w:rsidRPr="00B46882" w:rsidRDefault="00982A15" w:rsidP="00695E7E">
      <w:pPr>
        <w:pStyle w:val="NormalHanging12a"/>
        <w:widowControl/>
      </w:pPr>
      <w:r w:rsidRPr="00B46882">
        <w:t>H</w:t>
      </w:r>
      <w:r w:rsidR="00BD22B8" w:rsidRPr="00B46882">
        <w:t>.</w:t>
      </w:r>
      <w:r w:rsidR="00BD22B8" w:rsidRPr="00B46882">
        <w:tab/>
      </w:r>
      <w:r w:rsidRPr="00B46882">
        <w:t>ottaa huomioon, että Euroopan unionin erioikeuksista ja vapauksista tehdyssä pöytäkirjassa N:o 7 määrätyn parlamentaarisen koskemattomuuden tarkoituksena on suojella parlamenttia ja sen jäseniä oikeudenkäynneiltä, jotka liittyvät toimintaan, jota harjoitetaan hoidettaessa parlamentin jäsenten tehtäviä ja jota ei voida erottaa kyseisistä tehtävistä;</w:t>
      </w:r>
    </w:p>
    <w:p w14:paraId="5C2BDEA2" w14:textId="77777777" w:rsidR="00BD22B8" w:rsidRPr="00B46882" w:rsidRDefault="00BD22B8" w:rsidP="00695E7E">
      <w:pPr>
        <w:pStyle w:val="NormalHanging12a"/>
      </w:pPr>
      <w:r w:rsidRPr="00B46882">
        <w:t>I.</w:t>
      </w:r>
      <w:r w:rsidRPr="00B46882">
        <w:tab/>
        <w:t xml:space="preserve">ottaa huomioon, että Euroopan unionin tuomioistuimen oikeuskäytännön mukaan parlamentilla on ”laaja harkintavalta sen osalta, minkä suuntaisen päätöksen se aikoo </w:t>
      </w:r>
      <w:r w:rsidRPr="00B46882">
        <w:lastRenderedPageBreak/>
        <w:t xml:space="preserve">tehdä koskemattomuuden pidättämistä [...] koskevan pyynnön </w:t>
      </w:r>
      <w:proofErr w:type="gramStart"/>
      <w:r w:rsidRPr="00B46882">
        <w:t>johdosta</w:t>
      </w:r>
      <w:proofErr w:type="gramEnd"/>
      <w:r w:rsidRPr="00B46882">
        <w:t>, koska tällainen päätös on luonteeltaan poliittinen”</w:t>
      </w:r>
      <w:r w:rsidRPr="00B46882">
        <w:rPr>
          <w:vertAlign w:val="superscript"/>
        </w:rPr>
        <w:footnoteReference w:id="2"/>
      </w:r>
      <w:r w:rsidRPr="00B46882">
        <w:t>;</w:t>
      </w:r>
    </w:p>
    <w:p w14:paraId="1A08DB86" w14:textId="77D3496E" w:rsidR="00BD22B8" w:rsidRPr="00B46882" w:rsidRDefault="00BD22B8" w:rsidP="00695E7E">
      <w:pPr>
        <w:pStyle w:val="NormalHanging12a"/>
        <w:widowControl/>
      </w:pPr>
      <w:r w:rsidRPr="00B46882">
        <w:t>J.</w:t>
      </w:r>
      <w:r w:rsidRPr="00B46882">
        <w:tab/>
      </w:r>
      <w:r w:rsidRPr="00B46882">
        <w:rPr>
          <w:rStyle w:val="doceo-font-family-base"/>
          <w:color w:val="1E1E1F"/>
        </w:rPr>
        <w:t xml:space="preserve">ottaa huomioon, että </w:t>
      </w:r>
      <w:proofErr w:type="spellStart"/>
      <w:r w:rsidRPr="00B46882">
        <w:rPr>
          <w:rStyle w:val="doceo-font-family-base"/>
          <w:color w:val="1E1E1F"/>
        </w:rPr>
        <w:t>Péter</w:t>
      </w:r>
      <w:proofErr w:type="spellEnd"/>
      <w:r w:rsidRPr="00B46882">
        <w:rPr>
          <w:rStyle w:val="doceo-font-family-base"/>
          <w:color w:val="1E1E1F"/>
        </w:rPr>
        <w:t xml:space="preserve"> </w:t>
      </w:r>
      <w:proofErr w:type="spellStart"/>
      <w:r w:rsidRPr="00B46882">
        <w:rPr>
          <w:rStyle w:val="doceo-font-family-base"/>
          <w:color w:val="1E1E1F"/>
        </w:rPr>
        <w:t>Magyar</w:t>
      </w:r>
      <w:proofErr w:type="spellEnd"/>
      <w:r w:rsidRPr="00B46882">
        <w:t xml:space="preserve"> on TISZA-puolueen (”</w:t>
      </w:r>
      <w:proofErr w:type="spellStart"/>
      <w:r w:rsidRPr="00B46882">
        <w:t>Tisztelet</w:t>
      </w:r>
      <w:proofErr w:type="spellEnd"/>
      <w:r w:rsidRPr="00B46882">
        <w:t xml:space="preserve"> </w:t>
      </w:r>
      <w:proofErr w:type="spellStart"/>
      <w:r w:rsidRPr="00B46882">
        <w:t>és</w:t>
      </w:r>
      <w:proofErr w:type="spellEnd"/>
      <w:r w:rsidRPr="00B46882">
        <w:t xml:space="preserve"> </w:t>
      </w:r>
      <w:proofErr w:type="spellStart"/>
      <w:r w:rsidRPr="00B46882">
        <w:t>Szabadság</w:t>
      </w:r>
      <w:proofErr w:type="spellEnd"/>
      <w:r w:rsidRPr="00B46882">
        <w:t xml:space="preserve"> </w:t>
      </w:r>
      <w:proofErr w:type="spellStart"/>
      <w:r w:rsidRPr="00B46882">
        <w:t>Párt</w:t>
      </w:r>
      <w:proofErr w:type="spellEnd"/>
      <w:r w:rsidRPr="00B46882">
        <w:t>”) puheenjohtaja ja että hän oli kyseisen puolueen vuoden 2024 EU-vaalien kärkiehdokas</w:t>
      </w:r>
      <w:r w:rsidRPr="00B46882">
        <w:rPr>
          <w:rStyle w:val="doceo-font-family-base"/>
          <w:color w:val="1E1E1F"/>
        </w:rPr>
        <w:t xml:space="preserve">; </w:t>
      </w:r>
      <w:r w:rsidRPr="00B46882">
        <w:t xml:space="preserve">ottaa huomioon, että myös ”Mi </w:t>
      </w:r>
      <w:proofErr w:type="spellStart"/>
      <w:r w:rsidRPr="00B46882">
        <w:t>Hazánk</w:t>
      </w:r>
      <w:proofErr w:type="spellEnd"/>
      <w:r w:rsidRPr="00B46882">
        <w:t xml:space="preserve"> </w:t>
      </w:r>
      <w:proofErr w:type="spellStart"/>
      <w:r w:rsidRPr="00B46882">
        <w:t>Mozgalom</w:t>
      </w:r>
      <w:proofErr w:type="spellEnd"/>
      <w:r w:rsidRPr="00B46882">
        <w:t xml:space="preserve">”  osallistui vuoden 2024 EU-vaaleihin ja sitä voidaan näin ollen pitää </w:t>
      </w:r>
      <w:proofErr w:type="spellStart"/>
      <w:r w:rsidRPr="00B46882">
        <w:rPr>
          <w:rStyle w:val="doceo-font-family-base"/>
          <w:color w:val="1E1E1F"/>
        </w:rPr>
        <w:t>Péter</w:t>
      </w:r>
      <w:proofErr w:type="spellEnd"/>
      <w:r w:rsidRPr="00B46882">
        <w:rPr>
          <w:rStyle w:val="doceo-font-family-base"/>
          <w:color w:val="1E1E1F"/>
        </w:rPr>
        <w:t xml:space="preserve"> </w:t>
      </w:r>
      <w:proofErr w:type="spellStart"/>
      <w:r w:rsidRPr="00B46882">
        <w:rPr>
          <w:rStyle w:val="doceo-font-family-base"/>
          <w:color w:val="1E1E1F"/>
        </w:rPr>
        <w:t>Magyarin</w:t>
      </w:r>
      <w:proofErr w:type="spellEnd"/>
      <w:r w:rsidRPr="00B46882">
        <w:t xml:space="preserve"> suorana poliittisena kilpailijana; ottaa huomioon, että poliittiset kilpailijat joutuvat yleensäkin arvostelun ja sanasodan kohteeksi poliittisessa väittelyssä verrattuna sellaisiin kansalaisiin, jotka eivät ole poliittisesti aktiivisia</w:t>
      </w:r>
      <w:r w:rsidRPr="00B46882">
        <w:rPr>
          <w:rStyle w:val="doceo-font-family-base"/>
          <w:color w:val="1E1E1F"/>
        </w:rPr>
        <w:t xml:space="preserve">; ottaa huomioon, että Unkarin oikeuden mukaan kunnianloukkauksesta voidaan ilmeisesti nostaa niin syyte kuin siviilikannekin, mistä on hyvin erilaisia oikeudellisia seurauksia, mukaan lukien vankeustuomio; ottaa huomioon, että se, että nyt käsillä olevassa asiassa on valittu rikosoikeudellinen menettely, synnyttää epäilyjä sen tarkoituksesta, joka mahdollisesti ylittää perustellun päämäärän eli väitetysti aiheutuneen vahingon korjaamisen, ja että tämä antaa aihetta olettaa, että tavoiteltu päämäärä ylittää kyseisen perustellun tavoitteen ja sillä pyritään itse asiassa vahingoittamaan </w:t>
      </w:r>
      <w:proofErr w:type="spellStart"/>
      <w:r w:rsidRPr="00B46882">
        <w:rPr>
          <w:rStyle w:val="doceo-font-family-base"/>
          <w:color w:val="1E1E1F"/>
        </w:rPr>
        <w:t>Péter</w:t>
      </w:r>
      <w:proofErr w:type="spellEnd"/>
      <w:r w:rsidRPr="00B46882">
        <w:rPr>
          <w:rStyle w:val="doceo-font-family-base"/>
          <w:color w:val="1E1E1F"/>
        </w:rPr>
        <w:t> </w:t>
      </w:r>
      <w:proofErr w:type="spellStart"/>
      <w:r w:rsidRPr="00B46882">
        <w:rPr>
          <w:rStyle w:val="doceo-font-family-base"/>
          <w:color w:val="1E1E1F"/>
        </w:rPr>
        <w:t>Magyarin</w:t>
      </w:r>
      <w:proofErr w:type="spellEnd"/>
      <w:r w:rsidRPr="00B46882">
        <w:rPr>
          <w:rStyle w:val="doceo-font-family-base"/>
          <w:color w:val="1E1E1F"/>
        </w:rPr>
        <w:t xml:space="preserve"> mainetta Euroopan parlamentin jäsenenä</w:t>
      </w:r>
      <w:r w:rsidRPr="00B46882">
        <w:t>;</w:t>
      </w:r>
    </w:p>
    <w:p w14:paraId="60DA6205" w14:textId="4F822885" w:rsidR="00BD22B8" w:rsidRPr="00B46882" w:rsidRDefault="00BD22B8" w:rsidP="00695E7E">
      <w:pPr>
        <w:pStyle w:val="doceo-line-height-base"/>
        <w:shd w:val="clear" w:color="auto" w:fill="FFFFFF"/>
        <w:spacing w:before="0" w:beforeAutospacing="0" w:after="240" w:afterAutospacing="0"/>
        <w:ind w:left="567" w:hanging="567"/>
        <w:rPr>
          <w:rFonts w:ascii="Helvetica" w:hAnsi="Helvetica"/>
          <w:color w:val="1E1E1F"/>
        </w:rPr>
      </w:pPr>
      <w:r w:rsidRPr="00B46882">
        <w:rPr>
          <w:rStyle w:val="doceo-font-family-base"/>
          <w:color w:val="1E1E1F"/>
        </w:rPr>
        <w:t>K.</w:t>
      </w:r>
      <w:r w:rsidRPr="00B46882">
        <w:rPr>
          <w:rStyle w:val="doceo-font-family-base"/>
          <w:color w:val="1E1E1F"/>
        </w:rPr>
        <w:tab/>
        <w:t>ottaa huomioon, että edellä esitetyt seikat herättävät vakav</w:t>
      </w:r>
      <w:r w:rsidR="008C76C8">
        <w:rPr>
          <w:rStyle w:val="doceo-font-family-base"/>
          <w:color w:val="1E1E1F"/>
        </w:rPr>
        <w:t>aa huolta sen suhteen</w:t>
      </w:r>
      <w:r w:rsidRPr="00B46882">
        <w:rPr>
          <w:rStyle w:val="doceo-font-family-base"/>
          <w:color w:val="1E1E1F"/>
        </w:rPr>
        <w:t xml:space="preserve">, </w:t>
      </w:r>
      <w:r w:rsidR="008C76C8">
        <w:rPr>
          <w:rStyle w:val="doceo-font-family-base"/>
          <w:color w:val="1E1E1F"/>
        </w:rPr>
        <w:t>oliko</w:t>
      </w:r>
      <w:r w:rsidRPr="00B46882">
        <w:rPr>
          <w:rStyle w:val="doceo-font-family-base"/>
          <w:color w:val="1E1E1F"/>
        </w:rPr>
        <w:t xml:space="preserve"> tarkoituksena mahdollisesti vahingoittaa </w:t>
      </w:r>
      <w:proofErr w:type="spellStart"/>
      <w:r w:rsidRPr="00B46882">
        <w:t>Péter</w:t>
      </w:r>
      <w:proofErr w:type="spellEnd"/>
      <w:r w:rsidRPr="00B46882">
        <w:t> </w:t>
      </w:r>
      <w:proofErr w:type="spellStart"/>
      <w:r w:rsidRPr="00B46882">
        <w:t>Magyarin</w:t>
      </w:r>
      <w:proofErr w:type="spellEnd"/>
      <w:r w:rsidRPr="00B46882">
        <w:rPr>
          <w:rStyle w:val="doceo-font-family-base"/>
          <w:color w:val="1E1E1F"/>
        </w:rPr>
        <w:t xml:space="preserve"> poliittista toimintaa ja erityisesti hänen toimintaansa Euroopan parlamentin jäsenenä;</w:t>
      </w:r>
    </w:p>
    <w:p w14:paraId="34EF3874" w14:textId="77777777" w:rsidR="00BD22B8" w:rsidRPr="00B46882" w:rsidRDefault="00BD22B8" w:rsidP="00695E7E">
      <w:pPr>
        <w:pStyle w:val="doceo-line-height-base"/>
        <w:shd w:val="clear" w:color="auto" w:fill="FFFFFF"/>
        <w:spacing w:before="0" w:beforeAutospacing="0" w:after="240" w:afterAutospacing="0"/>
        <w:ind w:left="567" w:hanging="567"/>
        <w:rPr>
          <w:rFonts w:ascii="Helvetica" w:hAnsi="Helvetica"/>
          <w:color w:val="1E1E1F"/>
        </w:rPr>
      </w:pPr>
      <w:r w:rsidRPr="00B46882">
        <w:rPr>
          <w:rStyle w:val="doceo-font-family-base"/>
          <w:color w:val="1E1E1F"/>
        </w:rPr>
        <w:t>L.</w:t>
      </w:r>
      <w:r w:rsidRPr="00B46882">
        <w:rPr>
          <w:rStyle w:val="doceo-font-family-base"/>
          <w:rFonts w:ascii="Helvetica" w:hAnsi="Helvetica"/>
          <w:color w:val="1E1E1F"/>
        </w:rPr>
        <w:tab/>
      </w:r>
      <w:r w:rsidRPr="00B46882">
        <w:rPr>
          <w:rStyle w:val="doceo-font-family-base"/>
          <w:color w:val="1E1E1F"/>
        </w:rPr>
        <w:t xml:space="preserve">toteaa, että näin ollen näyttää siltä, että kyseessä voidaan olettaa olevan </w:t>
      </w:r>
      <w:proofErr w:type="spellStart"/>
      <w:r w:rsidRPr="00B46882">
        <w:rPr>
          <w:rStyle w:val="doceo-font-family-base"/>
          <w:color w:val="1E1E1F"/>
        </w:rPr>
        <w:t>fumus</w:t>
      </w:r>
      <w:proofErr w:type="spellEnd"/>
      <w:r w:rsidRPr="00B46882">
        <w:rPr>
          <w:rStyle w:val="doceo-font-family-base"/>
          <w:color w:val="1E1E1F"/>
        </w:rPr>
        <w:t xml:space="preserve"> </w:t>
      </w:r>
      <w:proofErr w:type="spellStart"/>
      <w:r w:rsidRPr="00B46882">
        <w:rPr>
          <w:rStyle w:val="doceo-font-family-base"/>
          <w:color w:val="1E1E1F"/>
        </w:rPr>
        <w:t>persecutionis</w:t>
      </w:r>
      <w:proofErr w:type="spellEnd"/>
      <w:r w:rsidRPr="00B46882">
        <w:rPr>
          <w:rStyle w:val="doceo-font-family-base"/>
          <w:color w:val="1E1E1F"/>
        </w:rPr>
        <w:t xml:space="preserve"> -tilanne eli että on olemassa ”konkreettisia todisteita”</w:t>
      </w:r>
      <w:r w:rsidRPr="00B46882">
        <w:rPr>
          <w:rStyle w:val="FootnoteReference"/>
          <w:color w:val="1E1E1F"/>
        </w:rPr>
        <w:footnoteReference w:id="3"/>
      </w:r>
      <w:r w:rsidRPr="00B46882">
        <w:rPr>
          <w:rStyle w:val="doceo-font-family-base"/>
        </w:rPr>
        <w:t xml:space="preserve">, jotka viittaavat siihen, että kyseinen oikeudenkäynti on pantu vireille tarkoituksena vahingoittaa </w:t>
      </w:r>
      <w:proofErr w:type="spellStart"/>
      <w:r w:rsidRPr="00B46882">
        <w:t>Péter</w:t>
      </w:r>
      <w:proofErr w:type="spellEnd"/>
      <w:r w:rsidRPr="00B46882">
        <w:t> </w:t>
      </w:r>
      <w:proofErr w:type="spellStart"/>
      <w:r w:rsidRPr="00B46882">
        <w:t>Magyarin</w:t>
      </w:r>
      <w:proofErr w:type="spellEnd"/>
      <w:r w:rsidRPr="00B46882">
        <w:rPr>
          <w:rStyle w:val="doceo-font-family-base"/>
          <w:color w:val="1E1E1F"/>
        </w:rPr>
        <w:t xml:space="preserve"> poliittista toimintaa koskemattomuuden pidättämistä koskevalla pyynnöllä, varsinkin hänen ollessaan ehdolla vuoden 2024 EU-vaaleissa puolueensa kärkiehdokkaana;</w:t>
      </w:r>
    </w:p>
    <w:p w14:paraId="58557D6D" w14:textId="77777777" w:rsidR="00BD22B8" w:rsidRPr="00B46882" w:rsidRDefault="00BD22B8" w:rsidP="00695E7E">
      <w:pPr>
        <w:pStyle w:val="NormalHanging12a"/>
        <w:widowControl/>
      </w:pPr>
      <w:r w:rsidRPr="00B46882">
        <w:t>M.</w:t>
      </w:r>
      <w:r w:rsidRPr="00B46882">
        <w:tab/>
        <w:t>ottaa huomioon, että parlamenttia ei voida rinnastaa tuomioistuimeen eikä parlamentin jäsentä voida pitää koskemattomuuden pidättämistä koskevassa menettelyssä ”syytettynä”</w:t>
      </w:r>
      <w:r w:rsidRPr="00B46882">
        <w:rPr>
          <w:vertAlign w:val="superscript"/>
        </w:rPr>
        <w:footnoteReference w:id="4"/>
      </w:r>
      <w:r w:rsidRPr="00B46882">
        <w:t>;</w:t>
      </w:r>
    </w:p>
    <w:p w14:paraId="62B99CC8" w14:textId="77777777" w:rsidR="00BD22B8" w:rsidRPr="00B46882" w:rsidRDefault="00BD22B8" w:rsidP="00695E7E">
      <w:pPr>
        <w:pStyle w:val="NormalHanging12a"/>
      </w:pPr>
      <w:r w:rsidRPr="00B46882">
        <w:t>1.</w:t>
      </w:r>
      <w:r w:rsidRPr="00B46882">
        <w:tab/>
        <w:t xml:space="preserve">päättää säilyttää </w:t>
      </w:r>
      <w:proofErr w:type="spellStart"/>
      <w:r w:rsidRPr="00B46882">
        <w:t>Péter</w:t>
      </w:r>
      <w:proofErr w:type="spellEnd"/>
      <w:r w:rsidRPr="00B46882">
        <w:t> </w:t>
      </w:r>
      <w:proofErr w:type="spellStart"/>
      <w:r w:rsidRPr="00B46882">
        <w:t>Magyarin</w:t>
      </w:r>
      <w:proofErr w:type="spellEnd"/>
      <w:r w:rsidRPr="00B46882">
        <w:t xml:space="preserve"> koskemattomuuden;</w:t>
      </w:r>
    </w:p>
    <w:p w14:paraId="635015FB" w14:textId="187686C1" w:rsidR="00E365E1" w:rsidRPr="00A9189B" w:rsidRDefault="00BD22B8" w:rsidP="00695E7E">
      <w:pPr>
        <w:pStyle w:val="NormalHanging12a"/>
      </w:pPr>
      <w:r w:rsidRPr="00B46882">
        <w:t>2.</w:t>
      </w:r>
      <w:r w:rsidRPr="00B46882">
        <w:tab/>
        <w:t xml:space="preserve">kehottaa puhemiestä välittämään tämän päätöksen sekä asiasta vastaavan valiokunnan mietinnön viipymättä Unkarin toimivaltaisille viranomaisille ja </w:t>
      </w:r>
      <w:proofErr w:type="spellStart"/>
      <w:r w:rsidRPr="00B46882">
        <w:t>Péter</w:t>
      </w:r>
      <w:proofErr w:type="spellEnd"/>
      <w:r w:rsidRPr="00B46882">
        <w:t> </w:t>
      </w:r>
      <w:proofErr w:type="spellStart"/>
      <w:r w:rsidRPr="00B46882">
        <w:t>Magyarille</w:t>
      </w:r>
      <w:proofErr w:type="spellEnd"/>
      <w:r w:rsidRPr="00B46882">
        <w:t>.</w:t>
      </w:r>
    </w:p>
    <w:sectPr w:rsidR="00E365E1" w:rsidRPr="00A9189B" w:rsidSect="00A9189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6C8D7" w14:textId="77777777" w:rsidR="00DE550F" w:rsidRPr="00A9189B" w:rsidRDefault="00DE550F">
      <w:r w:rsidRPr="00A9189B">
        <w:separator/>
      </w:r>
    </w:p>
  </w:endnote>
  <w:endnote w:type="continuationSeparator" w:id="0">
    <w:p w14:paraId="01410873" w14:textId="77777777" w:rsidR="00DE550F" w:rsidRPr="00A9189B" w:rsidRDefault="00DE550F">
      <w:r w:rsidRPr="00A918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0BC8EB" w14:textId="77777777" w:rsidR="00DE550F" w:rsidRPr="00A9189B" w:rsidRDefault="00DE550F">
      <w:r w:rsidRPr="00A9189B">
        <w:separator/>
      </w:r>
    </w:p>
  </w:footnote>
  <w:footnote w:type="continuationSeparator" w:id="0">
    <w:p w14:paraId="2AED9ECF" w14:textId="77777777" w:rsidR="00DE550F" w:rsidRPr="00A9189B" w:rsidRDefault="00DE550F">
      <w:r w:rsidRPr="00A9189B">
        <w:continuationSeparator/>
      </w:r>
    </w:p>
  </w:footnote>
  <w:footnote w:id="1">
    <w:p w14:paraId="469BEA78" w14:textId="02A109A9" w:rsidR="00BD22B8" w:rsidRPr="00A9189B" w:rsidRDefault="00BD22B8" w:rsidP="00A9189B">
      <w:pPr>
        <w:pStyle w:val="FootnoteText"/>
        <w:ind w:left="567" w:hanging="567"/>
        <w:rPr>
          <w:sz w:val="24"/>
          <w:lang w:val="fi-FI"/>
        </w:rPr>
      </w:pPr>
      <w:r w:rsidRPr="00A9189B">
        <w:rPr>
          <w:rStyle w:val="FootnoteReference"/>
          <w:sz w:val="24"/>
          <w:lang w:val="fi-FI"/>
        </w:rPr>
        <w:footnoteRef/>
      </w:r>
      <w:r w:rsidR="00A9189B" w:rsidRPr="00A9189B">
        <w:rPr>
          <w:sz w:val="24"/>
          <w:lang w:val="fi-FI"/>
        </w:rPr>
        <w:t xml:space="preserve"> </w:t>
      </w:r>
      <w:r w:rsidR="00A9189B" w:rsidRPr="00A9189B">
        <w:rPr>
          <w:sz w:val="24"/>
          <w:lang w:val="fi-FI"/>
        </w:rPr>
        <w:tab/>
      </w:r>
      <w:r w:rsidRPr="00A9189B">
        <w:rPr>
          <w:sz w:val="24"/>
          <w:lang w:val="fi-FI"/>
        </w:rPr>
        <w:t xml:space="preserve">Yhteisöjen tuomioistuimen tuomio 21.10.2008, </w:t>
      </w:r>
      <w:proofErr w:type="spellStart"/>
      <w:r w:rsidRPr="00A9189B">
        <w:rPr>
          <w:sz w:val="24"/>
          <w:lang w:val="fi-FI"/>
        </w:rPr>
        <w:t>Marra</w:t>
      </w:r>
      <w:proofErr w:type="spellEnd"/>
      <w:r w:rsidRPr="00A9189B">
        <w:rPr>
          <w:sz w:val="24"/>
          <w:lang w:val="fi-FI"/>
        </w:rPr>
        <w:t xml:space="preserve">, C-200/07 ja C-201/07, ECLI:EU:C:2008:579; unionin yleisen tuomioistuimen tuomio 19.3.2010, </w:t>
      </w:r>
      <w:proofErr w:type="spellStart"/>
      <w:r w:rsidRPr="00A9189B">
        <w:rPr>
          <w:sz w:val="24"/>
          <w:lang w:val="fi-FI"/>
        </w:rPr>
        <w:t>Gollnisch</w:t>
      </w:r>
      <w:proofErr w:type="spellEnd"/>
      <w:r w:rsidRPr="00A9189B">
        <w:rPr>
          <w:sz w:val="24"/>
          <w:lang w:val="fi-FI"/>
        </w:rPr>
        <w:t xml:space="preserve"> v. parlamentti, T-42/06, ECLI:EU:T:2010:102, unionin tuomioistuimen tuomio 6.9.2011, </w:t>
      </w:r>
      <w:proofErr w:type="spellStart"/>
      <w:r w:rsidRPr="00A9189B">
        <w:rPr>
          <w:sz w:val="24"/>
          <w:lang w:val="fi-FI"/>
        </w:rPr>
        <w:t>Patriciello</w:t>
      </w:r>
      <w:proofErr w:type="spellEnd"/>
      <w:r w:rsidRPr="00A9189B">
        <w:rPr>
          <w:sz w:val="24"/>
          <w:lang w:val="fi-FI"/>
        </w:rPr>
        <w:t xml:space="preserve">, C-163/10, ECLI:EU:C:2011:543, unionin yleisen tuomioistuimen tuomio 17.1.2013, </w:t>
      </w:r>
      <w:proofErr w:type="spellStart"/>
      <w:r w:rsidRPr="00A9189B">
        <w:rPr>
          <w:sz w:val="24"/>
          <w:lang w:val="fi-FI"/>
        </w:rPr>
        <w:t>Gollnisch</w:t>
      </w:r>
      <w:proofErr w:type="spellEnd"/>
      <w:r w:rsidRPr="00A9189B">
        <w:rPr>
          <w:sz w:val="24"/>
          <w:lang w:val="fi-FI"/>
        </w:rPr>
        <w:t xml:space="preserve"> v. parlamentti, T-346/11 ja T-347/11, ECLI:EU:T:2013:23, unionin tuomioistuimen tuomio 19.12.2019, </w:t>
      </w:r>
      <w:proofErr w:type="spellStart"/>
      <w:r w:rsidRPr="00A9189B">
        <w:rPr>
          <w:sz w:val="24"/>
          <w:lang w:val="fi-FI"/>
        </w:rPr>
        <w:t>Junqueras</w:t>
      </w:r>
      <w:proofErr w:type="spellEnd"/>
      <w:r w:rsidRPr="00A9189B">
        <w:rPr>
          <w:sz w:val="24"/>
          <w:lang w:val="fi-FI"/>
        </w:rPr>
        <w:t xml:space="preserve"> Vies, C-502/19, ECLI:EU:C:2019:1115 sekä unionin yleisen tuomioistuimen tuomio 5.7.2023, </w:t>
      </w:r>
      <w:proofErr w:type="spellStart"/>
      <w:r w:rsidRPr="00A9189B">
        <w:rPr>
          <w:sz w:val="24"/>
          <w:lang w:val="fi-FI"/>
        </w:rPr>
        <w:t>Puigdemont</w:t>
      </w:r>
      <w:proofErr w:type="spellEnd"/>
      <w:r w:rsidRPr="00A9189B">
        <w:rPr>
          <w:sz w:val="24"/>
          <w:lang w:val="fi-FI"/>
        </w:rPr>
        <w:t xml:space="preserve"> i </w:t>
      </w:r>
      <w:proofErr w:type="spellStart"/>
      <w:r w:rsidRPr="00A9189B">
        <w:rPr>
          <w:sz w:val="24"/>
          <w:lang w:val="fi-FI"/>
        </w:rPr>
        <w:t>Casamajó</w:t>
      </w:r>
      <w:proofErr w:type="spellEnd"/>
      <w:r w:rsidRPr="00A9189B">
        <w:rPr>
          <w:sz w:val="24"/>
          <w:lang w:val="fi-FI"/>
        </w:rPr>
        <w:t xml:space="preserve"> ym. v. parlamentti, T-272/21, ECLI:EU:T:2023:373.</w:t>
      </w:r>
    </w:p>
  </w:footnote>
  <w:footnote w:id="2">
    <w:p w14:paraId="667EE18C" w14:textId="48703641" w:rsidR="00BD22B8" w:rsidRPr="00A9189B" w:rsidRDefault="00BD22B8" w:rsidP="00A9189B">
      <w:pPr>
        <w:pStyle w:val="FootnoteText"/>
        <w:ind w:left="567" w:hanging="567"/>
        <w:rPr>
          <w:sz w:val="24"/>
          <w:lang w:val="fi-FI"/>
        </w:rPr>
      </w:pPr>
      <w:r w:rsidRPr="00A9189B">
        <w:rPr>
          <w:rStyle w:val="FootnoteReference"/>
          <w:sz w:val="24"/>
          <w:lang w:val="fi-FI"/>
        </w:rPr>
        <w:footnoteRef/>
      </w:r>
      <w:r w:rsidR="00A9189B" w:rsidRPr="00A9189B">
        <w:rPr>
          <w:sz w:val="24"/>
          <w:lang w:val="fi-FI"/>
        </w:rPr>
        <w:t xml:space="preserve"> </w:t>
      </w:r>
      <w:r w:rsidR="00A9189B" w:rsidRPr="00A9189B">
        <w:rPr>
          <w:sz w:val="24"/>
          <w:lang w:val="fi-FI"/>
        </w:rPr>
        <w:tab/>
      </w:r>
      <w:r w:rsidRPr="00A9189B">
        <w:rPr>
          <w:sz w:val="24"/>
          <w:lang w:val="fi-FI"/>
        </w:rPr>
        <w:t xml:space="preserve">Unionin yleisen tuomioistuimen tuomio 17.1.2013, </w:t>
      </w:r>
      <w:proofErr w:type="spellStart"/>
      <w:r w:rsidRPr="00A9189B">
        <w:rPr>
          <w:sz w:val="24"/>
          <w:lang w:val="fi-FI"/>
        </w:rPr>
        <w:t>Gollnisch</w:t>
      </w:r>
      <w:proofErr w:type="spellEnd"/>
      <w:r w:rsidRPr="00A9189B">
        <w:rPr>
          <w:sz w:val="24"/>
          <w:lang w:val="fi-FI"/>
        </w:rPr>
        <w:t xml:space="preserve"> v. parlamentti, T-346/11 ja T-347/11, ECLI:EU:T:2013, 59 kohta ja siinä mainittu oikeuskäytäntö.</w:t>
      </w:r>
    </w:p>
  </w:footnote>
  <w:footnote w:id="3">
    <w:p w14:paraId="2C9F9D8A" w14:textId="4F286FA4" w:rsidR="00BD22B8" w:rsidRPr="00A9189B" w:rsidRDefault="00BD22B8" w:rsidP="00A9189B">
      <w:pPr>
        <w:pStyle w:val="FootnoteText"/>
        <w:ind w:left="567" w:hanging="567"/>
        <w:rPr>
          <w:sz w:val="24"/>
          <w:lang w:val="fi-FI"/>
        </w:rPr>
      </w:pPr>
      <w:r w:rsidRPr="00A9189B">
        <w:rPr>
          <w:rStyle w:val="FootnoteReference"/>
          <w:sz w:val="24"/>
          <w:lang w:val="fi-FI"/>
        </w:rPr>
        <w:footnoteRef/>
      </w:r>
      <w:r w:rsidR="00A9189B" w:rsidRPr="00A9189B">
        <w:rPr>
          <w:sz w:val="24"/>
          <w:lang w:val="fi-FI"/>
        </w:rPr>
        <w:t xml:space="preserve"> </w:t>
      </w:r>
      <w:r w:rsidR="00A9189B" w:rsidRPr="00A9189B">
        <w:rPr>
          <w:sz w:val="24"/>
          <w:lang w:val="fi-FI"/>
        </w:rPr>
        <w:tab/>
      </w:r>
      <w:r w:rsidRPr="00A9189B">
        <w:rPr>
          <w:sz w:val="24"/>
          <w:lang w:val="fi-FI"/>
        </w:rPr>
        <w:t xml:space="preserve">Unionin tuomioistuimen tuomio 17.9.2020, </w:t>
      </w:r>
      <w:proofErr w:type="spellStart"/>
      <w:r w:rsidRPr="00A9189B">
        <w:rPr>
          <w:sz w:val="24"/>
          <w:lang w:val="fi-FI"/>
        </w:rPr>
        <w:t>Troszczynski</w:t>
      </w:r>
      <w:proofErr w:type="spellEnd"/>
      <w:r w:rsidRPr="00A9189B">
        <w:rPr>
          <w:sz w:val="24"/>
          <w:lang w:val="fi-FI"/>
        </w:rPr>
        <w:t xml:space="preserve"> v. parlamentti, C-12/19 P, ECLI:EU:C:2020:725, 26 kohta.</w:t>
      </w:r>
    </w:p>
  </w:footnote>
  <w:footnote w:id="4">
    <w:p w14:paraId="026B7D45" w14:textId="55CF6EFA" w:rsidR="00BD22B8" w:rsidRPr="00A9189B" w:rsidRDefault="00BD22B8" w:rsidP="00695E7E">
      <w:pPr>
        <w:pStyle w:val="NormalHanging12a"/>
      </w:pPr>
      <w:r w:rsidRPr="00A9189B">
        <w:rPr>
          <w:rStyle w:val="FootnoteReference"/>
        </w:rPr>
        <w:footnoteRef/>
      </w:r>
      <w:r w:rsidR="00A9189B" w:rsidRPr="00A9189B">
        <w:t xml:space="preserve"> </w:t>
      </w:r>
      <w:r w:rsidR="00A9189B" w:rsidRPr="00A9189B">
        <w:tab/>
      </w:r>
      <w:r w:rsidRPr="00A9189B">
        <w:t xml:space="preserve">Unionin yleisen tuomioistuimen tuomio 30.4.2019, </w:t>
      </w:r>
      <w:proofErr w:type="spellStart"/>
      <w:r w:rsidRPr="00A9189B">
        <w:t>Briois</w:t>
      </w:r>
      <w:proofErr w:type="spellEnd"/>
      <w:r w:rsidRPr="00A9189B">
        <w:t xml:space="preserve">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6882413">
    <w:abstractNumId w:val="9"/>
  </w:num>
  <w:num w:numId="2" w16cid:durableId="848567666">
    <w:abstractNumId w:val="9"/>
  </w:num>
  <w:num w:numId="3" w16cid:durableId="1625768399">
    <w:abstractNumId w:val="7"/>
  </w:num>
  <w:num w:numId="4" w16cid:durableId="627780518">
    <w:abstractNumId w:val="7"/>
  </w:num>
  <w:num w:numId="5" w16cid:durableId="140775497">
    <w:abstractNumId w:val="6"/>
  </w:num>
  <w:num w:numId="6" w16cid:durableId="178550336">
    <w:abstractNumId w:val="6"/>
  </w:num>
  <w:num w:numId="7" w16cid:durableId="144705183">
    <w:abstractNumId w:val="5"/>
  </w:num>
  <w:num w:numId="8" w16cid:durableId="431172470">
    <w:abstractNumId w:val="5"/>
  </w:num>
  <w:num w:numId="9" w16cid:durableId="852494411">
    <w:abstractNumId w:val="4"/>
  </w:num>
  <w:num w:numId="10" w16cid:durableId="534973840">
    <w:abstractNumId w:val="4"/>
  </w:num>
  <w:num w:numId="11" w16cid:durableId="60373958">
    <w:abstractNumId w:val="8"/>
  </w:num>
  <w:num w:numId="12" w16cid:durableId="1579635543">
    <w:abstractNumId w:val="8"/>
  </w:num>
  <w:num w:numId="13" w16cid:durableId="82116859">
    <w:abstractNumId w:val="3"/>
  </w:num>
  <w:num w:numId="14" w16cid:durableId="2029938992">
    <w:abstractNumId w:val="3"/>
  </w:num>
  <w:num w:numId="15" w16cid:durableId="485438825">
    <w:abstractNumId w:val="2"/>
  </w:num>
  <w:num w:numId="16" w16cid:durableId="656147553">
    <w:abstractNumId w:val="2"/>
  </w:num>
  <w:num w:numId="17" w16cid:durableId="1264655974">
    <w:abstractNumId w:val="1"/>
  </w:num>
  <w:num w:numId="18" w16cid:durableId="474179088">
    <w:abstractNumId w:val="1"/>
  </w:num>
  <w:num w:numId="19" w16cid:durableId="1583643279">
    <w:abstractNumId w:val="0"/>
  </w:num>
  <w:num w:numId="20" w16cid:durableId="327707906">
    <w:abstractNumId w:val="0"/>
  </w:num>
  <w:num w:numId="21" w16cid:durableId="1166045046">
    <w:abstractNumId w:val="9"/>
  </w:num>
  <w:num w:numId="22" w16cid:durableId="182793863">
    <w:abstractNumId w:val="7"/>
  </w:num>
  <w:num w:numId="23" w16cid:durableId="907690549">
    <w:abstractNumId w:val="6"/>
  </w:num>
  <w:num w:numId="24" w16cid:durableId="2018463208">
    <w:abstractNumId w:val="5"/>
  </w:num>
  <w:num w:numId="25" w16cid:durableId="1097138953">
    <w:abstractNumId w:val="4"/>
  </w:num>
  <w:num w:numId="26" w16cid:durableId="808866619">
    <w:abstractNumId w:val="8"/>
  </w:num>
  <w:num w:numId="27" w16cid:durableId="469055017">
    <w:abstractNumId w:val="3"/>
  </w:num>
  <w:num w:numId="28" w16cid:durableId="1081756763">
    <w:abstractNumId w:val="2"/>
  </w:num>
  <w:num w:numId="29" w16cid:durableId="885678705">
    <w:abstractNumId w:val="1"/>
  </w:num>
  <w:num w:numId="30" w16cid:durableId="348993196">
    <w:abstractNumId w:val="0"/>
  </w:num>
  <w:num w:numId="31" w16cid:durableId="1311976981">
    <w:abstractNumId w:val="9"/>
  </w:num>
  <w:num w:numId="32" w16cid:durableId="1913393951">
    <w:abstractNumId w:val="7"/>
  </w:num>
  <w:num w:numId="33" w16cid:durableId="1691300822">
    <w:abstractNumId w:val="6"/>
  </w:num>
  <w:num w:numId="34" w16cid:durableId="400715141">
    <w:abstractNumId w:val="5"/>
  </w:num>
  <w:num w:numId="35" w16cid:durableId="52386933">
    <w:abstractNumId w:val="4"/>
  </w:num>
  <w:num w:numId="36" w16cid:durableId="1525290396">
    <w:abstractNumId w:val="8"/>
  </w:num>
  <w:num w:numId="37" w16cid:durableId="1360163347">
    <w:abstractNumId w:val="3"/>
  </w:num>
  <w:num w:numId="38" w16cid:durableId="1095369008">
    <w:abstractNumId w:val="2"/>
  </w:num>
  <w:num w:numId="39" w16cid:durableId="1182940038">
    <w:abstractNumId w:val="1"/>
  </w:num>
  <w:num w:numId="40" w16cid:durableId="1009259505">
    <w:abstractNumId w:val="0"/>
  </w:num>
  <w:num w:numId="41" w16cid:durableId="523904535">
    <w:abstractNumId w:val="10"/>
  </w:num>
  <w:num w:numId="42" w16cid:durableId="564880483">
    <w:abstractNumId w:val="10"/>
  </w:num>
  <w:num w:numId="43" w16cid:durableId="2125463679">
    <w:abstractNumId w:val="10"/>
  </w:num>
  <w:num w:numId="44" w16cid:durableId="15426650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2/2025"/>
    <w:docVar w:name="dvlangue" w:val="FI"/>
    <w:docVar w:name="dvnumam" w:val="0"/>
    <w:docVar w:name="dvpe" w:val="775.580"/>
    <w:docVar w:name="dvrapporteur" w:val="Esittelijä: "/>
    <w:docVar w:name="dvtitre" w:val="Euroopan parlamentin päätös xx. lokakuuta 2025 Péter Magyarin koskemattomuuden pidättämistä koskevasta pyynnöstä(2025/2096(IMM))"/>
  </w:docVars>
  <w:rsids>
    <w:rsidRoot w:val="00DE550F"/>
    <w:rsid w:val="00002272"/>
    <w:rsid w:val="00064002"/>
    <w:rsid w:val="000677B9"/>
    <w:rsid w:val="000831BA"/>
    <w:rsid w:val="000A42CC"/>
    <w:rsid w:val="000C7373"/>
    <w:rsid w:val="000E7DD9"/>
    <w:rsid w:val="0010095E"/>
    <w:rsid w:val="00125B37"/>
    <w:rsid w:val="001467F0"/>
    <w:rsid w:val="00152E79"/>
    <w:rsid w:val="00187494"/>
    <w:rsid w:val="001F32AE"/>
    <w:rsid w:val="002767FF"/>
    <w:rsid w:val="002B18FE"/>
    <w:rsid w:val="002B5493"/>
    <w:rsid w:val="00300901"/>
    <w:rsid w:val="00343214"/>
    <w:rsid w:val="00361C00"/>
    <w:rsid w:val="00395FA1"/>
    <w:rsid w:val="003A6D28"/>
    <w:rsid w:val="003E15D4"/>
    <w:rsid w:val="003F656D"/>
    <w:rsid w:val="00411CCE"/>
    <w:rsid w:val="0041666E"/>
    <w:rsid w:val="00421060"/>
    <w:rsid w:val="00471C19"/>
    <w:rsid w:val="004867E3"/>
    <w:rsid w:val="00494A28"/>
    <w:rsid w:val="004B21BC"/>
    <w:rsid w:val="004C0004"/>
    <w:rsid w:val="004C5D52"/>
    <w:rsid w:val="0050519A"/>
    <w:rsid w:val="005072A1"/>
    <w:rsid w:val="00514517"/>
    <w:rsid w:val="00545827"/>
    <w:rsid w:val="00560270"/>
    <w:rsid w:val="005B231E"/>
    <w:rsid w:val="005C2568"/>
    <w:rsid w:val="005F1B17"/>
    <w:rsid w:val="006037C0"/>
    <w:rsid w:val="006631B6"/>
    <w:rsid w:val="00680577"/>
    <w:rsid w:val="00695E7E"/>
    <w:rsid w:val="006F74FA"/>
    <w:rsid w:val="007050D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6C8"/>
    <w:rsid w:val="00930C23"/>
    <w:rsid w:val="0093193B"/>
    <w:rsid w:val="009509D8"/>
    <w:rsid w:val="00950B64"/>
    <w:rsid w:val="00981893"/>
    <w:rsid w:val="00982A15"/>
    <w:rsid w:val="00A1687D"/>
    <w:rsid w:val="00A43E52"/>
    <w:rsid w:val="00A4678D"/>
    <w:rsid w:val="00A778C7"/>
    <w:rsid w:val="00A9189B"/>
    <w:rsid w:val="00AB441E"/>
    <w:rsid w:val="00AB6293"/>
    <w:rsid w:val="00AE0928"/>
    <w:rsid w:val="00AF3B82"/>
    <w:rsid w:val="00B12E95"/>
    <w:rsid w:val="00B155DA"/>
    <w:rsid w:val="00B222F0"/>
    <w:rsid w:val="00B22876"/>
    <w:rsid w:val="00B46882"/>
    <w:rsid w:val="00B558F0"/>
    <w:rsid w:val="00BD22B8"/>
    <w:rsid w:val="00BD2660"/>
    <w:rsid w:val="00BD48FE"/>
    <w:rsid w:val="00BD7BD8"/>
    <w:rsid w:val="00BE6ADC"/>
    <w:rsid w:val="00C05BFE"/>
    <w:rsid w:val="00C23CD4"/>
    <w:rsid w:val="00C61C0C"/>
    <w:rsid w:val="00C7414A"/>
    <w:rsid w:val="00C941CB"/>
    <w:rsid w:val="00CA0E55"/>
    <w:rsid w:val="00CC2357"/>
    <w:rsid w:val="00CF071A"/>
    <w:rsid w:val="00D058B8"/>
    <w:rsid w:val="00D56C11"/>
    <w:rsid w:val="00D834A0"/>
    <w:rsid w:val="00D872DF"/>
    <w:rsid w:val="00D91E21"/>
    <w:rsid w:val="00DA7FCD"/>
    <w:rsid w:val="00DE550F"/>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43F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9E32D"/>
  <w15:chartTrackingRefBased/>
  <w15:docId w15:val="{3A719310-CB9C-41A6-A02D-7E75BA515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D22B8"/>
    <w:pPr>
      <w:spacing w:after="240"/>
      <w:ind w:left="567" w:hanging="567"/>
    </w:pPr>
  </w:style>
  <w:style w:type="paragraph" w:customStyle="1" w:styleId="EPComma">
    <w:name w:val="EPComma"/>
    <w:basedOn w:val="Normal"/>
    <w:rsid w:val="00BD22B8"/>
    <w:pPr>
      <w:spacing w:before="480" w:after="240"/>
    </w:pPr>
  </w:style>
  <w:style w:type="character" w:customStyle="1" w:styleId="doceo-font-family-base">
    <w:name w:val="doceo-font-family-base"/>
    <w:basedOn w:val="DefaultParagraphFont"/>
    <w:rsid w:val="00BD22B8"/>
  </w:style>
  <w:style w:type="paragraph" w:customStyle="1" w:styleId="doceo-line-height-base">
    <w:name w:val="doceo-line-height-base"/>
    <w:basedOn w:val="Normal"/>
    <w:rsid w:val="00BD22B8"/>
    <w:pPr>
      <w:widowControl/>
      <w:spacing w:before="100" w:beforeAutospacing="1" w:after="100" w:afterAutospacing="1"/>
    </w:pPr>
    <w:rPr>
      <w:szCs w:val="24"/>
    </w:rPr>
  </w:style>
  <w:style w:type="paragraph" w:styleId="Footer">
    <w:name w:val="footer"/>
    <w:basedOn w:val="Normal"/>
    <w:link w:val="FooterChar"/>
    <w:rsid w:val="00695E7E"/>
    <w:pPr>
      <w:tabs>
        <w:tab w:val="center" w:pos="4513"/>
        <w:tab w:val="right" w:pos="9026"/>
      </w:tabs>
    </w:pPr>
  </w:style>
  <w:style w:type="character" w:customStyle="1" w:styleId="FooterChar">
    <w:name w:val="Footer Char"/>
    <w:basedOn w:val="DefaultParagraphFont"/>
    <w:link w:val="Footer"/>
    <w:rsid w:val="00695E7E"/>
    <w:rPr>
      <w:sz w:val="24"/>
      <w:lang w:val="fi-FI"/>
    </w:rPr>
  </w:style>
  <w:style w:type="paragraph" w:styleId="Revision">
    <w:name w:val="Revision"/>
    <w:hidden/>
    <w:uiPriority w:val="99"/>
    <w:semiHidden/>
    <w:rsid w:val="00152E79"/>
    <w:rPr>
      <w:sz w:val="24"/>
      <w:lang w:val="fi-FI"/>
    </w:rPr>
  </w:style>
  <w:style w:type="character" w:styleId="CommentReference">
    <w:name w:val="annotation reference"/>
    <w:basedOn w:val="DefaultParagraphFont"/>
    <w:rsid w:val="004B21BC"/>
    <w:rPr>
      <w:sz w:val="16"/>
      <w:szCs w:val="16"/>
    </w:rPr>
  </w:style>
  <w:style w:type="paragraph" w:styleId="CommentText">
    <w:name w:val="annotation text"/>
    <w:basedOn w:val="Normal"/>
    <w:link w:val="CommentTextChar"/>
    <w:rsid w:val="004B21BC"/>
    <w:rPr>
      <w:sz w:val="20"/>
    </w:rPr>
  </w:style>
  <w:style w:type="character" w:customStyle="1" w:styleId="CommentTextChar">
    <w:name w:val="Comment Text Char"/>
    <w:basedOn w:val="DefaultParagraphFont"/>
    <w:link w:val="CommentText"/>
    <w:rsid w:val="004B21BC"/>
    <w:rPr>
      <w:lang w:val="fi-FI"/>
    </w:rPr>
  </w:style>
  <w:style w:type="paragraph" w:styleId="CommentSubject">
    <w:name w:val="annotation subject"/>
    <w:basedOn w:val="CommentText"/>
    <w:next w:val="CommentText"/>
    <w:link w:val="CommentSubjectChar"/>
    <w:rsid w:val="004B21BC"/>
    <w:rPr>
      <w:b/>
      <w:bCs/>
    </w:rPr>
  </w:style>
  <w:style w:type="character" w:customStyle="1" w:styleId="CommentSubjectChar">
    <w:name w:val="Comment Subject Char"/>
    <w:basedOn w:val="CommentTextChar"/>
    <w:link w:val="CommentSubject"/>
    <w:rsid w:val="004B21BC"/>
    <w:rPr>
      <w:b/>
      <w:bCs/>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858</Words>
  <Characters>6617</Characters>
  <Application>Microsoft Office Word</Application>
  <DocSecurity>0</DocSecurity>
  <Lines>124</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2025-10-07T12:14:00Z</dcterms:created>
  <dcterms:modified xsi:type="dcterms:W3CDTF">2025-10-07T12:14:00Z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A10-0182/2025</vt:lpwstr>
  </property>
  <property fmtid="{D5CDD505-2E9C-101B-9397-08002B2CF9AE}" pid="4" name="&lt;Type&gt;">
    <vt:lpwstr>RR</vt:lpwstr>
  </property>
</Properties>
</file>