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D5088" w14:paraId="60B304CB" w14:textId="77777777" w:rsidTr="0010095E">
        <w:trPr>
          <w:trHeight w:hRule="exact" w:val="1418"/>
        </w:trPr>
        <w:tc>
          <w:tcPr>
            <w:tcW w:w="6804" w:type="dxa"/>
            <w:shd w:val="clear" w:color="auto" w:fill="auto"/>
            <w:vAlign w:val="center"/>
          </w:tcPr>
          <w:p w14:paraId="180BBF6E" w14:textId="77777777" w:rsidR="00751A4A" w:rsidRPr="008D5088" w:rsidRDefault="000D79B3" w:rsidP="0010095E">
            <w:pPr>
              <w:pStyle w:val="EPName"/>
            </w:pPr>
            <w:r w:rsidRPr="008D5088">
              <w:t>Parlement européen</w:t>
            </w:r>
          </w:p>
          <w:p w14:paraId="15BB8CF8" w14:textId="77777777" w:rsidR="00751A4A" w:rsidRPr="008D5088" w:rsidRDefault="005F1B17" w:rsidP="005F1B17">
            <w:pPr>
              <w:pStyle w:val="EPTerm"/>
              <w:rPr>
                <w:rStyle w:val="HideTWBExt"/>
                <w:noProof w:val="0"/>
                <w:vanish w:val="0"/>
                <w:color w:val="auto"/>
              </w:rPr>
            </w:pPr>
            <w:r w:rsidRPr="008D5088">
              <w:t>2024</w:t>
            </w:r>
            <w:r w:rsidR="00817416" w:rsidRPr="008D5088">
              <w:t>-202</w:t>
            </w:r>
            <w:r w:rsidRPr="008D5088">
              <w:t>9</w:t>
            </w:r>
          </w:p>
        </w:tc>
        <w:tc>
          <w:tcPr>
            <w:tcW w:w="2268" w:type="dxa"/>
            <w:shd w:val="clear" w:color="auto" w:fill="auto"/>
          </w:tcPr>
          <w:p w14:paraId="571BCDCD" w14:textId="77777777" w:rsidR="00751A4A" w:rsidRPr="008D5088" w:rsidRDefault="00187494" w:rsidP="0010095E">
            <w:pPr>
              <w:pStyle w:val="EPLogo"/>
            </w:pPr>
            <w:r w:rsidRPr="008D5088">
              <w:rPr>
                <w:noProof/>
                <w:lang w:eastAsia="ja-JP"/>
              </w:rPr>
              <w:drawing>
                <wp:inline distT="0" distB="0" distL="0" distR="0" wp14:anchorId="182E3225" wp14:editId="3F46615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ECBB8FC" w14:textId="77777777" w:rsidR="00D058B8" w:rsidRPr="008D5088" w:rsidRDefault="00D058B8" w:rsidP="004C5D52">
      <w:pPr>
        <w:pStyle w:val="LineTop"/>
      </w:pPr>
    </w:p>
    <w:p w14:paraId="78848232" w14:textId="77777777" w:rsidR="00680577" w:rsidRPr="008D5088" w:rsidRDefault="000D79B3" w:rsidP="00680577">
      <w:pPr>
        <w:pStyle w:val="EPBodyTA1"/>
      </w:pPr>
      <w:r w:rsidRPr="008D5088">
        <w:t>TEXTES ADOPTÉS</w:t>
      </w:r>
    </w:p>
    <w:p w14:paraId="0E83B286" w14:textId="77777777" w:rsidR="00D058B8" w:rsidRPr="008D5088" w:rsidRDefault="00D058B8" w:rsidP="00D058B8">
      <w:pPr>
        <w:pStyle w:val="LineBottom"/>
      </w:pPr>
    </w:p>
    <w:p w14:paraId="6D6489FB" w14:textId="45875293" w:rsidR="000D79B3" w:rsidRPr="008D5088" w:rsidRDefault="000D79B3" w:rsidP="000D79B3">
      <w:pPr>
        <w:pStyle w:val="ATHeading1"/>
      </w:pPr>
      <w:bookmarkStart w:id="0" w:name="TANumber"/>
      <w:r w:rsidRPr="008D5088">
        <w:t>P10_TA(2025)0</w:t>
      </w:r>
      <w:bookmarkEnd w:id="0"/>
      <w:r w:rsidR="0005674D">
        <w:t>205</w:t>
      </w:r>
    </w:p>
    <w:p w14:paraId="450E5114" w14:textId="7DA5D664" w:rsidR="000D79B3" w:rsidRPr="008D5088" w:rsidRDefault="00E2782C" w:rsidP="000D79B3">
      <w:pPr>
        <w:pStyle w:val="ATHeading2"/>
      </w:pPr>
      <w:bookmarkStart w:id="1" w:name="title"/>
      <w:r w:rsidRPr="00E2782C">
        <w:rPr>
          <w:bCs/>
        </w:rPr>
        <w:t>Demande de levée de l’immunité de Péter Magyar</w:t>
      </w:r>
      <w:bookmarkEnd w:id="1"/>
    </w:p>
    <w:p w14:paraId="51493F83" w14:textId="77777777" w:rsidR="000D79B3" w:rsidRPr="008D5088" w:rsidRDefault="000D79B3" w:rsidP="000D79B3">
      <w:pPr>
        <w:rPr>
          <w:i/>
          <w:vanish/>
        </w:rPr>
      </w:pPr>
      <w:r w:rsidRPr="008D5088">
        <w:rPr>
          <w:i/>
        </w:rPr>
        <w:fldChar w:fldCharType="begin"/>
      </w:r>
      <w:r w:rsidRPr="008D5088">
        <w:rPr>
          <w:i/>
        </w:rPr>
        <w:instrText xml:space="preserve"> TC"(</w:instrText>
      </w:r>
      <w:bookmarkStart w:id="2" w:name="DocNumber"/>
      <w:r w:rsidRPr="008D5088">
        <w:rPr>
          <w:i/>
        </w:rPr>
        <w:instrText>A10-0182/2025</w:instrText>
      </w:r>
      <w:bookmarkEnd w:id="2"/>
      <w:r w:rsidRPr="008D5088">
        <w:rPr>
          <w:i/>
        </w:rPr>
        <w:instrText xml:space="preserve"> - Rapporteur: Ilhan Kyuchyuk )"\l3 \n&gt; \* MERGEFORMAT </w:instrText>
      </w:r>
      <w:r w:rsidRPr="008D5088">
        <w:rPr>
          <w:i/>
        </w:rPr>
        <w:fldChar w:fldCharType="end"/>
      </w:r>
    </w:p>
    <w:p w14:paraId="021656DD" w14:textId="77777777" w:rsidR="000D79B3" w:rsidRPr="008D5088" w:rsidRDefault="000D79B3" w:rsidP="000D79B3">
      <w:pPr>
        <w:rPr>
          <w:vanish/>
        </w:rPr>
      </w:pPr>
      <w:bookmarkStart w:id="3" w:name="Commission"/>
      <w:r w:rsidRPr="008D5088">
        <w:rPr>
          <w:vanish/>
        </w:rPr>
        <w:t>Commission des affaires juridiques</w:t>
      </w:r>
      <w:bookmarkEnd w:id="3"/>
    </w:p>
    <w:p w14:paraId="2E0F20B2" w14:textId="77777777" w:rsidR="000D79B3" w:rsidRPr="008D5088" w:rsidRDefault="000D79B3" w:rsidP="000D79B3">
      <w:pPr>
        <w:rPr>
          <w:vanish/>
        </w:rPr>
      </w:pPr>
      <w:bookmarkStart w:id="4" w:name="PE"/>
      <w:r w:rsidRPr="008D5088">
        <w:rPr>
          <w:vanish/>
        </w:rPr>
        <w:t>PE775.580</w:t>
      </w:r>
      <w:bookmarkEnd w:id="4"/>
    </w:p>
    <w:p w14:paraId="1566204A" w14:textId="37507496" w:rsidR="000D79B3" w:rsidRPr="008D5088" w:rsidRDefault="000D79B3" w:rsidP="000D79B3">
      <w:pPr>
        <w:pStyle w:val="ATHeading3"/>
      </w:pPr>
      <w:bookmarkStart w:id="5" w:name="Sujet"/>
      <w:r w:rsidRPr="008D5088">
        <w:t xml:space="preserve">Décision du Parlement européen du </w:t>
      </w:r>
      <w:r w:rsidR="00E2782C">
        <w:t>7 octobre</w:t>
      </w:r>
      <w:r w:rsidR="00E2782C" w:rsidRPr="008D5088">
        <w:t xml:space="preserve"> </w:t>
      </w:r>
      <w:r w:rsidRPr="008D5088">
        <w:t>2025 sur la demande de levée de l’immunité de Péter Magyar</w:t>
      </w:r>
      <w:bookmarkEnd w:id="5"/>
      <w:r w:rsidRPr="008D5088">
        <w:t xml:space="preserve"> </w:t>
      </w:r>
      <w:bookmarkStart w:id="6" w:name="References"/>
      <w:r w:rsidRPr="008D5088">
        <w:t>(2025/2096(IMM))</w:t>
      </w:r>
      <w:bookmarkEnd w:id="6"/>
    </w:p>
    <w:p w14:paraId="6E4B6BB7" w14:textId="77777777" w:rsidR="00D5650A" w:rsidRPr="008D5088" w:rsidRDefault="00D5650A" w:rsidP="00D5650A">
      <w:pPr>
        <w:pStyle w:val="EPComma"/>
        <w:rPr>
          <w:lang w:val="fr-FR"/>
        </w:rPr>
      </w:pPr>
      <w:bookmarkStart w:id="7" w:name="TextBodyBegin"/>
      <w:bookmarkEnd w:id="7"/>
      <w:r w:rsidRPr="008D5088">
        <w:rPr>
          <w:i/>
          <w:lang w:val="fr-FR"/>
        </w:rPr>
        <w:t>Le Parlement européen</w:t>
      </w:r>
      <w:r w:rsidRPr="008D5088">
        <w:rPr>
          <w:lang w:val="fr-FR"/>
        </w:rPr>
        <w:t>,</w:t>
      </w:r>
    </w:p>
    <w:p w14:paraId="5E704EFA" w14:textId="3AE54D86" w:rsidR="00D5650A" w:rsidRPr="008D5088" w:rsidRDefault="00D5650A" w:rsidP="00D5650A">
      <w:pPr>
        <w:pStyle w:val="NormalHanging12a"/>
        <w:rPr>
          <w:lang w:val="fr-FR"/>
        </w:rPr>
      </w:pPr>
      <w:r w:rsidRPr="008D5088">
        <w:rPr>
          <w:lang w:val="fr-FR"/>
        </w:rPr>
        <w:t>–</w:t>
      </w:r>
      <w:r w:rsidRPr="008D5088">
        <w:rPr>
          <w:lang w:val="fr-FR"/>
        </w:rPr>
        <w:tab/>
        <w:t xml:space="preserve">vu la demande </w:t>
      </w:r>
      <w:r w:rsidR="00E44E8B">
        <w:rPr>
          <w:lang w:val="fr-FR"/>
        </w:rPr>
        <w:t xml:space="preserve">de </w:t>
      </w:r>
      <w:r w:rsidR="00E44E8B" w:rsidRPr="008D5088">
        <w:rPr>
          <w:lang w:val="fr-FR"/>
        </w:rPr>
        <w:t>levée de l’immunité de Péter Magyar</w:t>
      </w:r>
      <w:r w:rsidR="00E44E8B">
        <w:rPr>
          <w:lang w:val="fr-FR"/>
        </w:rPr>
        <w:t>, datée</w:t>
      </w:r>
      <w:r w:rsidR="00E44E8B" w:rsidRPr="008D5088">
        <w:rPr>
          <w:lang w:val="fr-FR"/>
        </w:rPr>
        <w:t xml:space="preserve"> </w:t>
      </w:r>
      <w:r w:rsidRPr="008D5088">
        <w:rPr>
          <w:lang w:val="fr-FR"/>
        </w:rPr>
        <w:t>du 21 mars 2025</w:t>
      </w:r>
      <w:r w:rsidR="00E44E8B">
        <w:rPr>
          <w:lang w:val="fr-FR"/>
        </w:rPr>
        <w:t>,</w:t>
      </w:r>
      <w:r w:rsidRPr="008D5088">
        <w:rPr>
          <w:lang w:val="fr-FR"/>
        </w:rPr>
        <w:t xml:space="preserve"> </w:t>
      </w:r>
      <w:r w:rsidR="00E44E8B">
        <w:rPr>
          <w:lang w:val="fr-FR"/>
        </w:rPr>
        <w:t xml:space="preserve">présentée par le </w:t>
      </w:r>
      <w:r w:rsidRPr="008D5088">
        <w:rPr>
          <w:lang w:val="fr-FR"/>
        </w:rPr>
        <w:t xml:space="preserve">tribunal </w:t>
      </w:r>
      <w:r w:rsidR="00E44E8B">
        <w:rPr>
          <w:lang w:val="fr-FR"/>
        </w:rPr>
        <w:t xml:space="preserve">central </w:t>
      </w:r>
      <w:r w:rsidRPr="008D5088">
        <w:rPr>
          <w:lang w:val="fr-FR"/>
        </w:rPr>
        <w:t>d’arrondissement de Pest</w:t>
      </w:r>
      <w:r w:rsidR="00E44E8B" w:rsidRPr="00E44E8B">
        <w:rPr>
          <w:lang w:val="fr-FR"/>
        </w:rPr>
        <w:t xml:space="preserve"> </w:t>
      </w:r>
      <w:r w:rsidR="00E44E8B">
        <w:rPr>
          <w:lang w:val="fr-FR"/>
        </w:rPr>
        <w:t>en Hongrie</w:t>
      </w:r>
      <w:r w:rsidRPr="008D5088">
        <w:rPr>
          <w:lang w:val="fr-FR"/>
        </w:rPr>
        <w:t xml:space="preserve">, en liaison avec une procédure pénale engagée </w:t>
      </w:r>
      <w:r w:rsidR="00E44E8B">
        <w:rPr>
          <w:lang w:val="fr-FR"/>
        </w:rPr>
        <w:t>contre lui</w:t>
      </w:r>
      <w:r w:rsidR="00E44E8B" w:rsidRPr="0005674D">
        <w:rPr>
          <w:lang w:val="fr-BE"/>
        </w:rPr>
        <w:t xml:space="preserve"> sur la base d’une plainte avec constitution de partie civile</w:t>
      </w:r>
      <w:r w:rsidRPr="008D5088">
        <w:rPr>
          <w:lang w:val="fr-FR"/>
        </w:rPr>
        <w:t>, et communiquée en séance plénière le 5 mai 2025,</w:t>
      </w:r>
    </w:p>
    <w:p w14:paraId="1592C4A2" w14:textId="50EEAA9A" w:rsidR="00D5650A" w:rsidRPr="008D5088" w:rsidRDefault="00D5650A" w:rsidP="00D5650A">
      <w:pPr>
        <w:pStyle w:val="NormalHanging12a"/>
        <w:rPr>
          <w:lang w:val="fr-FR"/>
        </w:rPr>
      </w:pPr>
      <w:r w:rsidRPr="008D5088">
        <w:rPr>
          <w:lang w:val="fr-FR"/>
        </w:rPr>
        <w:t>–</w:t>
      </w:r>
      <w:r w:rsidRPr="008D5088">
        <w:rPr>
          <w:lang w:val="fr-FR"/>
        </w:rPr>
        <w:tab/>
        <w:t>vu le fait que Péter Magyar a renoncé à son droit d’être entendu</w:t>
      </w:r>
      <w:r w:rsidR="00E44E8B">
        <w:rPr>
          <w:lang w:val="fr-FR"/>
        </w:rPr>
        <w:t>,</w:t>
      </w:r>
      <w:r w:rsidRPr="008D5088">
        <w:rPr>
          <w:lang w:val="fr-FR"/>
        </w:rPr>
        <w:t xml:space="preserve"> </w:t>
      </w:r>
      <w:r w:rsidR="00E44E8B">
        <w:rPr>
          <w:lang w:val="fr-FR"/>
        </w:rPr>
        <w:t>conformément à</w:t>
      </w:r>
      <w:r w:rsidRPr="008D5088">
        <w:rPr>
          <w:lang w:val="fr-FR"/>
        </w:rPr>
        <w:t xml:space="preserve"> l’article 9, paragraphe 6, </w:t>
      </w:r>
      <w:r w:rsidR="00E44E8B">
        <w:rPr>
          <w:lang w:val="fr-FR"/>
        </w:rPr>
        <w:t>de son</w:t>
      </w:r>
      <w:r w:rsidR="00E44E8B" w:rsidRPr="008D5088">
        <w:rPr>
          <w:lang w:val="fr-FR"/>
        </w:rPr>
        <w:t xml:space="preserve"> </w:t>
      </w:r>
      <w:r w:rsidRPr="008D5088">
        <w:rPr>
          <w:lang w:val="fr-FR"/>
        </w:rPr>
        <w:t>règlement intérieur,</w:t>
      </w:r>
    </w:p>
    <w:p w14:paraId="3A8E3F56" w14:textId="77777777" w:rsidR="00D5650A" w:rsidRPr="008D5088" w:rsidRDefault="00D5650A" w:rsidP="00D5650A">
      <w:pPr>
        <w:pStyle w:val="NormalHanging12a"/>
        <w:rPr>
          <w:lang w:val="fr-FR"/>
        </w:rPr>
      </w:pPr>
      <w:r w:rsidRPr="008D5088">
        <w:rPr>
          <w:lang w:val="fr-FR"/>
        </w:rPr>
        <w:t>–</w:t>
      </w:r>
      <w:r w:rsidRPr="008D5088">
        <w:rPr>
          <w:lang w:val="fr-FR"/>
        </w:rPr>
        <w:tab/>
        <w:t>vu les articles 8 et 9 du protocole nº 7 sur les privilèges et immunités de l’Union européenne ainsi que l’article 6, paragraphe 2, de l’acte portant élection des membres du Parlement européen au suffrage universel direct, du 20 septembre 1976,</w:t>
      </w:r>
    </w:p>
    <w:p w14:paraId="7E20A0D4" w14:textId="5AFD8E54" w:rsidR="00D5650A" w:rsidRPr="008D5088" w:rsidRDefault="00D5650A" w:rsidP="00D5650A">
      <w:pPr>
        <w:pStyle w:val="NormalHanging12a"/>
        <w:rPr>
          <w:lang w:val="fr-FR"/>
        </w:rPr>
      </w:pPr>
      <w:r w:rsidRPr="008D5088">
        <w:rPr>
          <w:lang w:val="fr-FR"/>
        </w:rPr>
        <w:t>–</w:t>
      </w:r>
      <w:r w:rsidRPr="008D5088">
        <w:rPr>
          <w:lang w:val="fr-FR"/>
        </w:rPr>
        <w:tab/>
        <w:t xml:space="preserve">vu </w:t>
      </w:r>
      <w:r w:rsidRPr="008D5088">
        <w:rPr>
          <w:color w:val="000000"/>
          <w:shd w:val="clear" w:color="auto" w:fill="FFFFFF"/>
          <w:lang w:val="fr-FR"/>
        </w:rPr>
        <w:t>l’article 4, paragraphe 2, de la loi fondamentale de la Hongrie,</w:t>
      </w:r>
    </w:p>
    <w:p w14:paraId="44C6D602" w14:textId="77777777" w:rsidR="00D5650A" w:rsidRPr="008D5088" w:rsidRDefault="00D5650A" w:rsidP="00D5650A">
      <w:pPr>
        <w:pStyle w:val="NormalHanging12a"/>
        <w:rPr>
          <w:lang w:val="fr-FR"/>
        </w:rPr>
      </w:pPr>
      <w:r w:rsidRPr="008D5088">
        <w:rPr>
          <w:lang w:val="fr-FR"/>
        </w:rPr>
        <w:t>–</w:t>
      </w:r>
      <w:r w:rsidRPr="008D5088">
        <w:rPr>
          <w:lang w:val="fr-FR"/>
        </w:rPr>
        <w:tab/>
        <w:t>vu les arrêts rendus par la Cour de justice de l’Union européenne les 21 octobre 2008, 19 mars 2010, 6 septembre 2011, 17 janvier 2013, 19 décembre 2019 et 5 juillet 2023</w:t>
      </w:r>
      <w:r w:rsidRPr="008D5088">
        <w:rPr>
          <w:rStyle w:val="FootnoteReference"/>
          <w:lang w:val="fr-FR"/>
        </w:rPr>
        <w:footnoteReference w:id="1"/>
      </w:r>
      <w:r w:rsidRPr="008D5088">
        <w:rPr>
          <w:lang w:val="fr-FR"/>
        </w:rPr>
        <w:t>,</w:t>
      </w:r>
    </w:p>
    <w:p w14:paraId="1B0CE145" w14:textId="77777777" w:rsidR="00D5650A" w:rsidRPr="008D5088" w:rsidRDefault="00D5650A" w:rsidP="00D5650A">
      <w:pPr>
        <w:pStyle w:val="NormalHanging12a"/>
        <w:rPr>
          <w:lang w:val="fr-FR"/>
        </w:rPr>
      </w:pPr>
      <w:r w:rsidRPr="008D5088">
        <w:rPr>
          <w:lang w:val="fr-FR"/>
        </w:rPr>
        <w:t>–</w:t>
      </w:r>
      <w:r w:rsidRPr="008D5088">
        <w:rPr>
          <w:lang w:val="fr-FR"/>
        </w:rPr>
        <w:tab/>
        <w:t>vu l’article 5, paragraphe 2, l’article 6, paragraphe 1, et l’article 9 de son règlement intérieur,</w:t>
      </w:r>
    </w:p>
    <w:p w14:paraId="582AE609" w14:textId="77777777" w:rsidR="00D5650A" w:rsidRPr="008D5088" w:rsidRDefault="00D5650A" w:rsidP="00D5650A">
      <w:pPr>
        <w:pStyle w:val="NormalHanging12a"/>
        <w:rPr>
          <w:lang w:val="fr-FR"/>
        </w:rPr>
      </w:pPr>
      <w:r w:rsidRPr="008D5088">
        <w:rPr>
          <w:lang w:val="fr-FR"/>
        </w:rPr>
        <w:t>–</w:t>
      </w:r>
      <w:r w:rsidRPr="008D5088">
        <w:rPr>
          <w:lang w:val="fr-FR"/>
        </w:rPr>
        <w:tab/>
        <w:t>vu le rapport de la commission des affaires juridiques (A10-0182/2025),</w:t>
      </w:r>
    </w:p>
    <w:p w14:paraId="00C7DC89" w14:textId="53AD8413" w:rsidR="00D5650A" w:rsidRPr="008D5088" w:rsidRDefault="00D5650A" w:rsidP="00D5650A">
      <w:pPr>
        <w:pStyle w:val="NormalHanging12a"/>
        <w:widowControl/>
        <w:rPr>
          <w:lang w:val="fr-FR"/>
        </w:rPr>
      </w:pPr>
      <w:r w:rsidRPr="008D5088">
        <w:rPr>
          <w:lang w:val="fr-FR"/>
        </w:rPr>
        <w:t>A.</w:t>
      </w:r>
      <w:r w:rsidRPr="008D5088">
        <w:rPr>
          <w:lang w:val="fr-FR"/>
        </w:rPr>
        <w:tab/>
        <w:t xml:space="preserve">considérant que, </w:t>
      </w:r>
      <w:r w:rsidR="000A1A4A">
        <w:rPr>
          <w:lang w:val="fr-FR"/>
        </w:rPr>
        <w:t>le</w:t>
      </w:r>
      <w:r w:rsidRPr="008D5088">
        <w:rPr>
          <w:lang w:val="fr-FR"/>
        </w:rPr>
        <w:t xml:space="preserve"> 21 mars 2025, le tribunal </w:t>
      </w:r>
      <w:r w:rsidR="000A1A4A">
        <w:rPr>
          <w:lang w:val="fr-FR"/>
        </w:rPr>
        <w:t xml:space="preserve">central </w:t>
      </w:r>
      <w:r w:rsidRPr="008D5088">
        <w:rPr>
          <w:lang w:val="fr-FR"/>
        </w:rPr>
        <w:t xml:space="preserve">d’arrondissement de Pest </w:t>
      </w:r>
      <w:r w:rsidR="000A1A4A">
        <w:rPr>
          <w:lang w:val="fr-FR"/>
        </w:rPr>
        <w:t xml:space="preserve">en Hongrie </w:t>
      </w:r>
      <w:r w:rsidRPr="008D5088">
        <w:rPr>
          <w:lang w:val="fr-FR"/>
        </w:rPr>
        <w:t xml:space="preserve">a présenté une demande de levée de l’immunité de Péter Magyar, </w:t>
      </w:r>
      <w:r w:rsidR="000A1A4A" w:rsidRPr="0005674D">
        <w:rPr>
          <w:lang w:val="fr-BE"/>
        </w:rPr>
        <w:t xml:space="preserve">député au </w:t>
      </w:r>
      <w:r w:rsidR="000A1A4A" w:rsidRPr="0005674D">
        <w:rPr>
          <w:lang w:val="fr-BE"/>
        </w:rPr>
        <w:lastRenderedPageBreak/>
        <w:t>Parlement européen élu en Hongrie,</w:t>
      </w:r>
      <w:r w:rsidR="000A1A4A" w:rsidRPr="008D5088">
        <w:rPr>
          <w:lang w:val="fr-FR"/>
        </w:rPr>
        <w:t xml:space="preserve"> </w:t>
      </w:r>
      <w:r w:rsidRPr="008D5088">
        <w:rPr>
          <w:lang w:val="fr-FR"/>
        </w:rPr>
        <w:t xml:space="preserve">en liaison avec une infraction présumée relevant de l’article 226, paragraphe 1, de la loi nº C de 2012 </w:t>
      </w:r>
      <w:r w:rsidR="000A1A4A">
        <w:rPr>
          <w:lang w:val="fr-FR"/>
        </w:rPr>
        <w:t>relative au</w:t>
      </w:r>
      <w:r w:rsidRPr="008D5088">
        <w:rPr>
          <w:lang w:val="fr-FR"/>
        </w:rPr>
        <w:t xml:space="preserve"> code pénal hongrois, </w:t>
      </w:r>
      <w:r w:rsidRPr="008D5088">
        <w:rPr>
          <w:color w:val="000000"/>
          <w:shd w:val="clear" w:color="auto" w:fill="FFFFFF"/>
          <w:lang w:val="fr-FR"/>
        </w:rPr>
        <w:t>pour des faits survenus en avril 2024</w:t>
      </w:r>
      <w:r w:rsidRPr="008D5088">
        <w:rPr>
          <w:lang w:val="fr-FR"/>
        </w:rPr>
        <w:t xml:space="preserve"> dans une affaire pénale pour délit de diffamation, </w:t>
      </w:r>
      <w:r w:rsidR="000A1A4A">
        <w:rPr>
          <w:lang w:val="fr-FR"/>
        </w:rPr>
        <w:t>introduite contre lui par un plaignant privé</w:t>
      </w:r>
      <w:r w:rsidRPr="008D5088">
        <w:rPr>
          <w:lang w:val="fr-FR"/>
        </w:rPr>
        <w:t>;</w:t>
      </w:r>
    </w:p>
    <w:p w14:paraId="0E643184" w14:textId="42B0A94A" w:rsidR="00D5650A" w:rsidRPr="008D5088" w:rsidRDefault="00D5650A" w:rsidP="00D5650A">
      <w:pPr>
        <w:pStyle w:val="NormalHanging12a"/>
        <w:widowControl/>
        <w:rPr>
          <w:lang w:val="fr-FR"/>
        </w:rPr>
      </w:pPr>
      <w:r w:rsidRPr="008D5088">
        <w:rPr>
          <w:shd w:val="clear" w:color="auto" w:fill="FFFFFF"/>
          <w:lang w:val="fr-FR"/>
        </w:rPr>
        <w:t>B.</w:t>
      </w:r>
      <w:r w:rsidRPr="008D5088">
        <w:rPr>
          <w:shd w:val="clear" w:color="auto" w:fill="FFFFFF"/>
          <w:lang w:val="fr-FR"/>
        </w:rPr>
        <w:tab/>
      </w:r>
      <w:r w:rsidRPr="008D5088">
        <w:rPr>
          <w:lang w:val="fr-FR"/>
        </w:rPr>
        <w:t xml:space="preserve">considérant que la demande de levée d’immunité indique que Péter Magyar est accusé d’avoir tenu publiquement des propos, lors d’une manifestation, contenant de fausses </w:t>
      </w:r>
      <w:r w:rsidR="000A1A4A">
        <w:rPr>
          <w:lang w:val="fr-FR"/>
        </w:rPr>
        <w:t>accusations</w:t>
      </w:r>
      <w:r w:rsidR="000A1A4A" w:rsidRPr="008D5088">
        <w:rPr>
          <w:lang w:val="fr-FR"/>
        </w:rPr>
        <w:t xml:space="preserve"> </w:t>
      </w:r>
      <w:r w:rsidRPr="008D5088">
        <w:rPr>
          <w:lang w:val="fr-FR"/>
        </w:rPr>
        <w:t>et d’avoir répandu des rumeurs susceptibles de porter atteinte à la réputation du mouvement politique «</w:t>
      </w:r>
      <w:r w:rsidRPr="0005674D">
        <w:rPr>
          <w:i/>
          <w:iCs/>
          <w:lang w:val="fr-FR"/>
        </w:rPr>
        <w:t xml:space="preserve">Mi </w:t>
      </w:r>
      <w:proofErr w:type="spellStart"/>
      <w:r w:rsidRPr="0005674D">
        <w:rPr>
          <w:i/>
          <w:iCs/>
          <w:lang w:val="fr-FR"/>
        </w:rPr>
        <w:t>Hazánk</w:t>
      </w:r>
      <w:proofErr w:type="spellEnd"/>
      <w:r w:rsidRPr="0005674D">
        <w:rPr>
          <w:i/>
          <w:iCs/>
          <w:lang w:val="fr-FR"/>
        </w:rPr>
        <w:t xml:space="preserve"> </w:t>
      </w:r>
      <w:proofErr w:type="spellStart"/>
      <w:r w:rsidRPr="0005674D">
        <w:rPr>
          <w:i/>
          <w:iCs/>
          <w:lang w:val="fr-FR"/>
        </w:rPr>
        <w:t>Mozgalom</w:t>
      </w:r>
      <w:proofErr w:type="spellEnd"/>
      <w:r w:rsidRPr="008D5088">
        <w:rPr>
          <w:lang w:val="fr-FR"/>
        </w:rPr>
        <w:t>» (Mouvement Notre patrie) et de l’un de ses vice-présidents, député au Parlement hongrois; considérant que des poursuites privées, sur la base d’une plainte au pénal pour délit de diffamation, ont été engagées contre Péter Magyar le 13 mai 2024;</w:t>
      </w:r>
    </w:p>
    <w:p w14:paraId="34CC3BD8" w14:textId="0E5B544D" w:rsidR="00D5650A" w:rsidRPr="008D5088" w:rsidRDefault="00D5650A" w:rsidP="00D5650A">
      <w:pPr>
        <w:pStyle w:val="NormalHanging12a"/>
        <w:widowControl/>
        <w:rPr>
          <w:lang w:val="fr-FR"/>
        </w:rPr>
      </w:pPr>
      <w:r w:rsidRPr="008D5088">
        <w:rPr>
          <w:lang w:val="fr-FR"/>
        </w:rPr>
        <w:t>C.</w:t>
      </w:r>
      <w:r w:rsidRPr="008D5088">
        <w:rPr>
          <w:lang w:val="fr-FR"/>
        </w:rPr>
        <w:tab/>
        <w:t xml:space="preserve">considérant que Péter Magyar </w:t>
      </w:r>
      <w:r w:rsidRPr="008D5088">
        <w:rPr>
          <w:shd w:val="clear" w:color="auto" w:fill="FFFFFF"/>
          <w:lang w:val="fr-FR"/>
        </w:rPr>
        <w:t>a été élu lors des élections européennes de juin 2024</w:t>
      </w:r>
      <w:r w:rsidRPr="008D5088">
        <w:rPr>
          <w:lang w:val="fr-FR"/>
        </w:rPr>
        <w:t xml:space="preserve"> et qu’il </w:t>
      </w:r>
      <w:r w:rsidRPr="008D5088">
        <w:rPr>
          <w:shd w:val="clear" w:color="auto" w:fill="FFFFFF"/>
          <w:lang w:val="fr-FR"/>
        </w:rPr>
        <w:t>était en campagne électorale pour les élections du Parlement européen au moment de l’introduction de la plainte contre lui;</w:t>
      </w:r>
    </w:p>
    <w:p w14:paraId="1A2096DD" w14:textId="77777777" w:rsidR="00D5650A" w:rsidRPr="008D5088" w:rsidRDefault="00D5650A" w:rsidP="00D5650A">
      <w:pPr>
        <w:pStyle w:val="NormalHanging12a"/>
        <w:widowControl/>
        <w:rPr>
          <w:lang w:val="fr-FR"/>
        </w:rPr>
      </w:pPr>
      <w:r w:rsidRPr="008D5088">
        <w:rPr>
          <w:lang w:val="fr-FR"/>
        </w:rPr>
        <w:t>D.</w:t>
      </w:r>
      <w:r w:rsidRPr="008D5088">
        <w:rPr>
          <w:lang w:val="fr-FR"/>
        </w:rPr>
        <w:tab/>
        <w:t>considérant que l’infraction présumée et la demande de levée de son immunité qui en découle ne sont pas liées à une opinion ou à un vote émis par Péter Magyar dans l’exercice de ses fonctions au sens de l’article 8 du protocole nº 7 sur les privilèges et immunités de l’Union européenne;</w:t>
      </w:r>
    </w:p>
    <w:p w14:paraId="6F485FC1" w14:textId="60BDCE56" w:rsidR="00D5650A" w:rsidRPr="008D5088" w:rsidRDefault="00D5650A" w:rsidP="00D5650A">
      <w:pPr>
        <w:pStyle w:val="NormalHanging12a"/>
        <w:widowControl/>
        <w:rPr>
          <w:lang w:val="fr-FR"/>
        </w:rPr>
      </w:pPr>
      <w:r w:rsidRPr="008D5088">
        <w:rPr>
          <w:lang w:val="fr-FR"/>
        </w:rPr>
        <w:t>E.</w:t>
      </w:r>
      <w:r w:rsidRPr="008D5088">
        <w:rPr>
          <w:lang w:val="fr-FR"/>
        </w:rPr>
        <w:tab/>
        <w:t xml:space="preserve">considérant que l’article 9, premier alinéa, point a), du protocole nº 7 sur les privilèges et immunités de l’Union européenne dispose que les membres du Parlement européen bénéficient, sur leur territoire national, des immunités reconnues aux membres du parlement de leur </w:t>
      </w:r>
      <w:r w:rsidR="000A1A4A" w:rsidRPr="0005674D">
        <w:rPr>
          <w:lang w:val="fr-BE"/>
        </w:rPr>
        <w:t>État</w:t>
      </w:r>
      <w:r w:rsidRPr="008D5088">
        <w:rPr>
          <w:lang w:val="fr-FR"/>
        </w:rPr>
        <w:t>;</w:t>
      </w:r>
    </w:p>
    <w:p w14:paraId="468E71E7" w14:textId="55E8C4CC" w:rsidR="00D5650A" w:rsidRPr="008D5088" w:rsidRDefault="00D5650A" w:rsidP="00D5650A">
      <w:pPr>
        <w:pStyle w:val="NormalHanging12a"/>
        <w:rPr>
          <w:lang w:val="fr-FR"/>
        </w:rPr>
      </w:pPr>
      <w:r w:rsidRPr="008D5088">
        <w:rPr>
          <w:lang w:val="fr-FR"/>
        </w:rPr>
        <w:t>F.</w:t>
      </w:r>
      <w:r w:rsidRPr="008D5088">
        <w:rPr>
          <w:lang w:val="fr-FR"/>
        </w:rPr>
        <w:tab/>
        <w:t xml:space="preserve">considérant que </w:t>
      </w:r>
      <w:r w:rsidRPr="008D5088">
        <w:rPr>
          <w:color w:val="000000"/>
          <w:shd w:val="clear" w:color="auto" w:fill="FFFFFF"/>
          <w:lang w:val="fr-FR"/>
        </w:rPr>
        <w:t>l’article 4, paragraphe 2, de la loi fondamentale de la Hongrie dispose que les membres d</w:t>
      </w:r>
      <w:r w:rsidR="00BD5BB3">
        <w:rPr>
          <w:color w:val="000000"/>
          <w:shd w:val="clear" w:color="auto" w:fill="FFFFFF"/>
          <w:lang w:val="fr-FR"/>
        </w:rPr>
        <w:t>u</w:t>
      </w:r>
      <w:r w:rsidRPr="008D5088">
        <w:rPr>
          <w:color w:val="000000"/>
          <w:shd w:val="clear" w:color="auto" w:fill="FFFFFF"/>
          <w:lang w:val="fr-FR"/>
        </w:rPr>
        <w:t xml:space="preserve"> </w:t>
      </w:r>
      <w:r w:rsidR="00BD5BB3">
        <w:rPr>
          <w:color w:val="000000"/>
          <w:shd w:val="clear" w:color="auto" w:fill="FFFFFF"/>
          <w:lang w:val="fr-FR"/>
        </w:rPr>
        <w:t>Parlement</w:t>
      </w:r>
      <w:r w:rsidRPr="008D5088">
        <w:rPr>
          <w:color w:val="000000"/>
          <w:shd w:val="clear" w:color="auto" w:fill="FFFFFF"/>
          <w:lang w:val="fr-FR"/>
        </w:rPr>
        <w:t xml:space="preserve"> hongrois bénéficient de l’immunité parlementaire; que, conformément à l’article 79, paragraphe 2, de la loi n</w:t>
      </w:r>
      <w:r w:rsidRPr="008D5088">
        <w:rPr>
          <w:color w:val="000000"/>
          <w:shd w:val="clear" w:color="auto" w:fill="FFFFFF"/>
          <w:vertAlign w:val="superscript"/>
          <w:lang w:val="fr-FR"/>
        </w:rPr>
        <w:t>o</w:t>
      </w:r>
      <w:r w:rsidRPr="008D5088">
        <w:rPr>
          <w:color w:val="000000"/>
          <w:shd w:val="clear" w:color="auto" w:fill="FFFFFF"/>
          <w:lang w:val="fr-FR"/>
        </w:rPr>
        <w:t> XXXVI de 2012 relative à l’Assemblée nationale,</w:t>
      </w:r>
      <w:r w:rsidRPr="008D5088">
        <w:rPr>
          <w:lang w:val="fr-FR"/>
        </w:rPr>
        <w:t xml:space="preserve"> une personne inscrite avec effet définitif et contraignant en tant que candidat bénéficie de la même immunité que les membres jusqu’à ce que le résultat de l’élection devienne définitif et contraignant, et que, en tout état de cause, conformément à l’article 79, paragraphe 1, de ladite loi, les députés jouissent de l’immunité à compter du jour de leur élection; </w:t>
      </w:r>
      <w:r w:rsidRPr="008D5088">
        <w:rPr>
          <w:color w:val="000000"/>
          <w:shd w:val="clear" w:color="auto" w:fill="FFFFFF"/>
          <w:lang w:val="fr-FR"/>
        </w:rPr>
        <w:t>qu’en vertu de l’article 74, paragraphe 1, de la loi n</w:t>
      </w:r>
      <w:r w:rsidRPr="008D5088">
        <w:rPr>
          <w:color w:val="000000"/>
          <w:shd w:val="clear" w:color="auto" w:fill="FFFFFF"/>
          <w:vertAlign w:val="superscript"/>
          <w:lang w:val="fr-FR"/>
        </w:rPr>
        <w:t>o</w:t>
      </w:r>
      <w:r w:rsidRPr="008D5088">
        <w:rPr>
          <w:color w:val="000000"/>
          <w:shd w:val="clear" w:color="auto" w:fill="FFFFFF"/>
          <w:lang w:val="fr-FR"/>
        </w:rPr>
        <w:t xml:space="preserve"> XXXVI de 2012 relative à l’Assemblée nationale une procédure pénale ou, en cas de refus de levée volontaire de l’immunité dans le cadre de l’affaire en question, une procédure pour </w:t>
      </w:r>
      <w:r w:rsidR="000A1A4A">
        <w:rPr>
          <w:color w:val="000000"/>
          <w:shd w:val="clear" w:color="auto" w:fill="FFFFFF"/>
          <w:lang w:val="fr-FR"/>
        </w:rPr>
        <w:t>infraction</w:t>
      </w:r>
      <w:r w:rsidR="000A1A4A" w:rsidRPr="008D5088">
        <w:rPr>
          <w:color w:val="000000"/>
          <w:shd w:val="clear" w:color="auto" w:fill="FFFFFF"/>
          <w:lang w:val="fr-FR"/>
        </w:rPr>
        <w:t xml:space="preserve"> </w:t>
      </w:r>
      <w:r w:rsidRPr="008D5088">
        <w:rPr>
          <w:color w:val="000000"/>
          <w:shd w:val="clear" w:color="auto" w:fill="FFFFFF"/>
          <w:lang w:val="fr-FR"/>
        </w:rPr>
        <w:t>ne peut être engagée ou poursuivie, et un député ne peut faire l’objet de mesures pénales contraignantes, sans l’accord préalable de l’Assemblée nationale;</w:t>
      </w:r>
    </w:p>
    <w:p w14:paraId="3DCF3863" w14:textId="7761B124" w:rsidR="00AA7E61" w:rsidRPr="008D5088" w:rsidRDefault="00AA7E61" w:rsidP="00AA7E61">
      <w:pPr>
        <w:pStyle w:val="NormalHanging12a"/>
        <w:widowControl/>
        <w:rPr>
          <w:lang w:val="fr-FR"/>
        </w:rPr>
      </w:pPr>
      <w:r>
        <w:rPr>
          <w:lang w:val="fr-FR"/>
        </w:rPr>
        <w:t>G</w:t>
      </w:r>
      <w:r w:rsidRPr="008D5088">
        <w:rPr>
          <w:lang w:val="fr-FR"/>
        </w:rPr>
        <w:t>.</w:t>
      </w:r>
      <w:r w:rsidRPr="008D5088">
        <w:rPr>
          <w:lang w:val="fr-FR"/>
        </w:rPr>
        <w:tab/>
        <w:t xml:space="preserve">considérant que, conformément à l’article 5, paragraphe 2, </w:t>
      </w:r>
      <w:r>
        <w:rPr>
          <w:lang w:val="fr-FR"/>
        </w:rPr>
        <w:t>du</w:t>
      </w:r>
      <w:r w:rsidRPr="008D5088">
        <w:rPr>
          <w:lang w:val="fr-FR"/>
        </w:rPr>
        <w:t xml:space="preserve"> règlement intérieur, l’immunité parlementaire n’est pas un privilège personnel du député, mais une garantie d’indépendance du Parlement </w:t>
      </w:r>
      <w:r w:rsidR="00BD5BB3">
        <w:rPr>
          <w:lang w:val="fr-FR"/>
        </w:rPr>
        <w:t xml:space="preserve">européen </w:t>
      </w:r>
      <w:r w:rsidRPr="008D5088">
        <w:rPr>
          <w:lang w:val="fr-FR"/>
        </w:rPr>
        <w:t>dans son ensemble et de ses députés;</w:t>
      </w:r>
    </w:p>
    <w:p w14:paraId="61B473AC" w14:textId="07C40379" w:rsidR="00D5650A" w:rsidRPr="008D5088" w:rsidRDefault="00AA7E61" w:rsidP="00D5650A">
      <w:pPr>
        <w:pStyle w:val="NormalHanging12a"/>
        <w:widowControl/>
        <w:rPr>
          <w:lang w:val="fr-FR"/>
        </w:rPr>
      </w:pPr>
      <w:r>
        <w:rPr>
          <w:lang w:val="fr-FR"/>
        </w:rPr>
        <w:t>H</w:t>
      </w:r>
      <w:r w:rsidR="00D5650A" w:rsidRPr="008D5088">
        <w:rPr>
          <w:lang w:val="fr-FR"/>
        </w:rPr>
        <w:t>.</w:t>
      </w:r>
      <w:r w:rsidR="00D5650A" w:rsidRPr="008D5088">
        <w:rPr>
          <w:lang w:val="fr-FR"/>
        </w:rPr>
        <w:tab/>
        <w:t xml:space="preserve">considérant que l’immunité </w:t>
      </w:r>
      <w:r w:rsidRPr="0005674D">
        <w:rPr>
          <w:lang w:val="fr-BE"/>
        </w:rPr>
        <w:t>prévue au protocole nº 7 sur les privilèges et immunités de l’Union européenne</w:t>
      </w:r>
      <w:r w:rsidR="00D5650A" w:rsidRPr="008D5088">
        <w:rPr>
          <w:lang w:val="fr-FR"/>
        </w:rPr>
        <w:t xml:space="preserve"> a pour objet de protéger le Parlement et ses députés contre des procédures judiciaires visant des activités menées dans l’exercice des fonctions parlementaires et indissociables de celles-ci;</w:t>
      </w:r>
    </w:p>
    <w:p w14:paraId="729BB41F" w14:textId="2666C120" w:rsidR="00D5650A" w:rsidRPr="008D5088" w:rsidRDefault="00D5650A" w:rsidP="00D5650A">
      <w:pPr>
        <w:pStyle w:val="NormalHanging12a"/>
        <w:rPr>
          <w:lang w:val="fr-FR"/>
        </w:rPr>
      </w:pPr>
      <w:r w:rsidRPr="008D5088">
        <w:rPr>
          <w:lang w:val="fr-FR"/>
        </w:rPr>
        <w:t>I.</w:t>
      </w:r>
      <w:r w:rsidRPr="008D5088">
        <w:rPr>
          <w:lang w:val="fr-FR"/>
        </w:rPr>
        <w:tab/>
        <w:t xml:space="preserve">considérant qu’il ressort de la jurisprudence de la Cour de justice de l’Union européenne </w:t>
      </w:r>
      <w:r w:rsidRPr="008D5088">
        <w:rPr>
          <w:lang w:val="fr-FR"/>
        </w:rPr>
        <w:lastRenderedPageBreak/>
        <w:t xml:space="preserve">que le Parlement dispose d’un «très large pouvoir d’appréciation quant à l’orientation qu’il entend donner à une décision faisant suite à une demande de levée d’immunité </w:t>
      </w:r>
      <w:r w:rsidR="00AA7E61" w:rsidRPr="0005674D">
        <w:rPr>
          <w:lang w:val="fr-BE"/>
        </w:rPr>
        <w:t>ou de défense de l’immunité</w:t>
      </w:r>
      <w:r w:rsidRPr="008D5088">
        <w:rPr>
          <w:lang w:val="fr-FR"/>
        </w:rPr>
        <w:t>, en raison du caractère politique que revêt une telle décision»</w:t>
      </w:r>
      <w:r w:rsidRPr="008D5088">
        <w:rPr>
          <w:vertAlign w:val="superscript"/>
          <w:lang w:val="fr-FR"/>
        </w:rPr>
        <w:footnoteReference w:id="2"/>
      </w:r>
      <w:r w:rsidRPr="008D5088">
        <w:rPr>
          <w:lang w:val="fr-FR"/>
        </w:rPr>
        <w:t>;</w:t>
      </w:r>
    </w:p>
    <w:p w14:paraId="5A59F528" w14:textId="33568417" w:rsidR="00D5650A" w:rsidRPr="008D5088" w:rsidRDefault="00D5650A" w:rsidP="00D5650A">
      <w:pPr>
        <w:pStyle w:val="NormalHanging12a"/>
        <w:widowControl/>
        <w:rPr>
          <w:lang w:val="fr-FR"/>
        </w:rPr>
      </w:pPr>
      <w:r w:rsidRPr="008D5088">
        <w:rPr>
          <w:lang w:val="fr-FR"/>
        </w:rPr>
        <w:t>J.</w:t>
      </w:r>
      <w:r w:rsidRPr="008D5088">
        <w:rPr>
          <w:lang w:val="fr-FR"/>
        </w:rPr>
        <w:tab/>
      </w:r>
      <w:r w:rsidRPr="008D5088">
        <w:rPr>
          <w:rStyle w:val="doceo-font-family-base"/>
          <w:color w:val="1E1E1F"/>
          <w:lang w:val="fr-FR"/>
        </w:rPr>
        <w:t xml:space="preserve">considérant que Péter Magyar </w:t>
      </w:r>
      <w:r w:rsidRPr="008D5088">
        <w:rPr>
          <w:lang w:val="fr-FR"/>
        </w:rPr>
        <w:t>est président du parti TISZA (</w:t>
      </w:r>
      <w:proofErr w:type="spellStart"/>
      <w:r w:rsidRPr="0005674D">
        <w:rPr>
          <w:i/>
          <w:lang w:val="fr-FR"/>
        </w:rPr>
        <w:t>Tisztelet</w:t>
      </w:r>
      <w:proofErr w:type="spellEnd"/>
      <w:r w:rsidRPr="0005674D">
        <w:rPr>
          <w:i/>
          <w:lang w:val="fr-FR"/>
        </w:rPr>
        <w:t xml:space="preserve"> </w:t>
      </w:r>
      <w:proofErr w:type="spellStart"/>
      <w:r w:rsidRPr="0005674D">
        <w:rPr>
          <w:i/>
          <w:lang w:val="fr-FR"/>
        </w:rPr>
        <w:t>és</w:t>
      </w:r>
      <w:proofErr w:type="spellEnd"/>
      <w:r w:rsidRPr="0005674D">
        <w:rPr>
          <w:i/>
          <w:lang w:val="fr-FR"/>
        </w:rPr>
        <w:t xml:space="preserve"> </w:t>
      </w:r>
      <w:proofErr w:type="spellStart"/>
      <w:r w:rsidRPr="0005674D">
        <w:rPr>
          <w:i/>
          <w:lang w:val="fr-FR"/>
        </w:rPr>
        <w:t>Szabadság</w:t>
      </w:r>
      <w:proofErr w:type="spellEnd"/>
      <w:r w:rsidRPr="0005674D">
        <w:rPr>
          <w:i/>
          <w:lang w:val="fr-FR"/>
        </w:rPr>
        <w:t xml:space="preserve"> </w:t>
      </w:r>
      <w:proofErr w:type="spellStart"/>
      <w:r w:rsidRPr="0005674D">
        <w:rPr>
          <w:i/>
          <w:lang w:val="fr-FR"/>
        </w:rPr>
        <w:t>Párt</w:t>
      </w:r>
      <w:proofErr w:type="spellEnd"/>
      <w:r w:rsidRPr="008D5088">
        <w:rPr>
          <w:lang w:val="fr-FR"/>
        </w:rPr>
        <w:t xml:space="preserve">) et qu’il était tête de liste </w:t>
      </w:r>
      <w:r w:rsidR="00AA7E61">
        <w:rPr>
          <w:lang w:val="fr-FR"/>
        </w:rPr>
        <w:t xml:space="preserve">des candidats </w:t>
      </w:r>
      <w:r w:rsidRPr="008D5088">
        <w:rPr>
          <w:lang w:val="fr-FR"/>
        </w:rPr>
        <w:t>de ce parti aux élections européennes de 2024</w:t>
      </w:r>
      <w:r w:rsidRPr="008D5088">
        <w:rPr>
          <w:rStyle w:val="doceo-font-family-base"/>
          <w:color w:val="1E1E1F"/>
          <w:lang w:val="fr-FR"/>
        </w:rPr>
        <w:t xml:space="preserve">; </w:t>
      </w:r>
      <w:r w:rsidRPr="008D5088">
        <w:rPr>
          <w:lang w:val="fr-FR"/>
        </w:rPr>
        <w:t xml:space="preserve">considérant que </w:t>
      </w:r>
      <w:r w:rsidRPr="0005674D">
        <w:rPr>
          <w:i/>
          <w:iCs/>
          <w:lang w:val="fr-FR"/>
        </w:rPr>
        <w:t xml:space="preserve">Mi </w:t>
      </w:r>
      <w:proofErr w:type="spellStart"/>
      <w:r w:rsidRPr="0005674D">
        <w:rPr>
          <w:i/>
          <w:iCs/>
          <w:lang w:val="fr-FR"/>
        </w:rPr>
        <w:t>Hazánk</w:t>
      </w:r>
      <w:proofErr w:type="spellEnd"/>
      <w:r w:rsidRPr="0005674D">
        <w:rPr>
          <w:i/>
          <w:iCs/>
          <w:lang w:val="fr-FR"/>
        </w:rPr>
        <w:t xml:space="preserve"> </w:t>
      </w:r>
      <w:proofErr w:type="spellStart"/>
      <w:r w:rsidRPr="0005674D">
        <w:rPr>
          <w:i/>
          <w:iCs/>
          <w:lang w:val="fr-FR"/>
        </w:rPr>
        <w:t>Mozgalom</w:t>
      </w:r>
      <w:proofErr w:type="spellEnd"/>
      <w:r w:rsidRPr="008D5088">
        <w:rPr>
          <w:lang w:val="fr-FR"/>
        </w:rPr>
        <w:t xml:space="preserve"> a aussi participé aux élections européennes de 2024 et peut donc être considéré comme un concurrent politique direct de </w:t>
      </w:r>
      <w:r w:rsidRPr="008D5088">
        <w:rPr>
          <w:rStyle w:val="doceo-font-family-base"/>
          <w:color w:val="1E1E1F"/>
          <w:lang w:val="fr-FR"/>
        </w:rPr>
        <w:t>Péter Magyar</w:t>
      </w:r>
      <w:r w:rsidRPr="008D5088">
        <w:rPr>
          <w:lang w:val="fr-FR"/>
        </w:rPr>
        <w:t>; considérant que les concurrents politiques sont normalement soumis à des critiques et des polémiques accrues dans le débat politique par rapport à tout citoyen qui n’est pas politiquement actif</w:t>
      </w:r>
      <w:r w:rsidRPr="008D5088">
        <w:rPr>
          <w:rStyle w:val="doceo-font-family-base"/>
          <w:color w:val="1E1E1F"/>
          <w:lang w:val="fr-FR"/>
        </w:rPr>
        <w:t xml:space="preserve">; considérant qu’il apparaît que, selon le droit hongrois, les </w:t>
      </w:r>
      <w:r w:rsidR="00BD5BB3">
        <w:rPr>
          <w:rStyle w:val="doceo-font-family-base"/>
          <w:color w:val="1E1E1F"/>
          <w:lang w:val="fr-FR"/>
        </w:rPr>
        <w:t>poursuites</w:t>
      </w:r>
      <w:r w:rsidRPr="008D5088">
        <w:rPr>
          <w:rStyle w:val="doceo-font-family-base"/>
          <w:color w:val="1E1E1F"/>
          <w:lang w:val="fr-FR"/>
        </w:rPr>
        <w:t xml:space="preserve"> en diffamation peuvent être intentées </w:t>
      </w:r>
      <w:r w:rsidR="00AA7E61">
        <w:rPr>
          <w:rStyle w:val="doceo-font-family-base"/>
          <w:color w:val="1E1E1F"/>
          <w:lang w:val="fr-FR"/>
        </w:rPr>
        <w:t>sur la base tant du droit</w:t>
      </w:r>
      <w:r w:rsidR="00AA7E61" w:rsidRPr="008D5088">
        <w:rPr>
          <w:rStyle w:val="doceo-font-family-base"/>
          <w:color w:val="1E1E1F"/>
          <w:lang w:val="fr-FR"/>
        </w:rPr>
        <w:t xml:space="preserve"> </w:t>
      </w:r>
      <w:r w:rsidRPr="008D5088">
        <w:rPr>
          <w:rStyle w:val="doceo-font-family-base"/>
          <w:color w:val="1E1E1F"/>
          <w:lang w:val="fr-FR"/>
        </w:rPr>
        <w:t xml:space="preserve">pénal </w:t>
      </w:r>
      <w:r w:rsidR="00AA7E61">
        <w:rPr>
          <w:rStyle w:val="doceo-font-family-base"/>
          <w:color w:val="1E1E1F"/>
          <w:lang w:val="fr-FR"/>
        </w:rPr>
        <w:t>que du droit</w:t>
      </w:r>
      <w:r w:rsidR="00AA7E61" w:rsidRPr="008D5088">
        <w:rPr>
          <w:rStyle w:val="doceo-font-family-base"/>
          <w:color w:val="1E1E1F"/>
          <w:lang w:val="fr-FR"/>
        </w:rPr>
        <w:t xml:space="preserve"> </w:t>
      </w:r>
      <w:r w:rsidRPr="008D5088">
        <w:rPr>
          <w:rStyle w:val="doceo-font-family-base"/>
          <w:color w:val="1E1E1F"/>
          <w:lang w:val="fr-FR"/>
        </w:rPr>
        <w:t xml:space="preserve">civil, avec des </w:t>
      </w:r>
      <w:r w:rsidR="00AA7E61" w:rsidRPr="0005674D">
        <w:rPr>
          <w:lang w:val="fr-BE"/>
        </w:rPr>
        <w:t>différences importantes quant aux conséquences juridiques qui sont susceptibles d’en découler</w:t>
      </w:r>
      <w:r w:rsidRPr="008D5088">
        <w:rPr>
          <w:rStyle w:val="doceo-font-family-base"/>
          <w:color w:val="1E1E1F"/>
          <w:lang w:val="fr-FR"/>
        </w:rPr>
        <w:t>, y compris l’emprisonnement; considérant que, dans le cas présent, le choix d’</w:t>
      </w:r>
      <w:r w:rsidR="00AA7E61">
        <w:rPr>
          <w:rStyle w:val="doceo-font-family-base"/>
          <w:color w:val="1E1E1F"/>
          <w:lang w:val="fr-FR"/>
        </w:rPr>
        <w:t xml:space="preserve">intenter </w:t>
      </w:r>
      <w:r w:rsidRPr="008D5088">
        <w:rPr>
          <w:rStyle w:val="doceo-font-family-base"/>
          <w:color w:val="1E1E1F"/>
          <w:lang w:val="fr-FR"/>
        </w:rPr>
        <w:t xml:space="preserve">une action pénale suscite des doutes quant </w:t>
      </w:r>
      <w:r w:rsidR="00150A38" w:rsidRPr="0005674D">
        <w:rPr>
          <w:lang w:val="fr-BE"/>
        </w:rPr>
        <w:t xml:space="preserve">à </w:t>
      </w:r>
      <w:r w:rsidR="00150A38">
        <w:rPr>
          <w:lang w:val="fr-BE"/>
        </w:rPr>
        <w:t>son objectif, qui peut dépasser l’objectif légitime</w:t>
      </w:r>
      <w:r w:rsidR="00150A38" w:rsidRPr="0005674D">
        <w:rPr>
          <w:lang w:val="fr-BE"/>
        </w:rPr>
        <w:t xml:space="preserve"> de réparation </w:t>
      </w:r>
      <w:r w:rsidR="00150A38">
        <w:rPr>
          <w:lang w:val="fr-BE"/>
        </w:rPr>
        <w:t>du préjudice prétendument subi</w:t>
      </w:r>
      <w:r w:rsidR="00150A38" w:rsidRPr="0005674D">
        <w:rPr>
          <w:lang w:val="fr-BE"/>
        </w:rPr>
        <w:t xml:space="preserve"> </w:t>
      </w:r>
      <w:r w:rsidRPr="008D5088">
        <w:rPr>
          <w:rStyle w:val="doceo-font-family-base"/>
          <w:color w:val="1E1E1F"/>
          <w:lang w:val="fr-FR"/>
        </w:rPr>
        <w:t xml:space="preserve">et laisse supposer que le but poursuivi dépasse cet objectif légitime et vise en fait à </w:t>
      </w:r>
      <w:r w:rsidR="00150A38">
        <w:rPr>
          <w:rStyle w:val="doceo-font-family-base"/>
          <w:color w:val="1E1E1F"/>
          <w:lang w:val="fr-FR"/>
        </w:rPr>
        <w:t>porter atteinte à</w:t>
      </w:r>
      <w:r w:rsidR="00150A38" w:rsidRPr="008D5088">
        <w:rPr>
          <w:rStyle w:val="doceo-font-family-base"/>
          <w:color w:val="1E1E1F"/>
          <w:lang w:val="fr-FR"/>
        </w:rPr>
        <w:t xml:space="preserve"> </w:t>
      </w:r>
      <w:r w:rsidRPr="008D5088">
        <w:rPr>
          <w:rStyle w:val="doceo-font-family-base"/>
          <w:color w:val="1E1E1F"/>
          <w:lang w:val="fr-FR"/>
        </w:rPr>
        <w:t xml:space="preserve">la réputation de Péter Magyar en sa qualité de député </w:t>
      </w:r>
      <w:r w:rsidR="00150A38">
        <w:rPr>
          <w:rStyle w:val="doceo-font-family-base"/>
          <w:color w:val="1E1E1F"/>
          <w:lang w:val="fr-FR"/>
        </w:rPr>
        <w:t xml:space="preserve">au Parlement </w:t>
      </w:r>
      <w:r w:rsidRPr="008D5088">
        <w:rPr>
          <w:rStyle w:val="doceo-font-family-base"/>
          <w:color w:val="1E1E1F"/>
          <w:lang w:val="fr-FR"/>
        </w:rPr>
        <w:t>européen</w:t>
      </w:r>
      <w:r w:rsidRPr="008D5088">
        <w:rPr>
          <w:lang w:val="fr-FR"/>
        </w:rPr>
        <w:t>;</w:t>
      </w:r>
    </w:p>
    <w:p w14:paraId="481EEEF3" w14:textId="4A089535" w:rsidR="00D5650A" w:rsidRPr="008D5088" w:rsidRDefault="00D5650A" w:rsidP="00D5650A">
      <w:pPr>
        <w:pStyle w:val="doceo-line-height-base"/>
        <w:shd w:val="clear" w:color="auto" w:fill="FFFFFF"/>
        <w:spacing w:before="0" w:beforeAutospacing="0" w:after="240" w:afterAutospacing="0"/>
        <w:ind w:left="567" w:hanging="567"/>
        <w:rPr>
          <w:rFonts w:ascii="Helvetica" w:hAnsi="Helvetica"/>
          <w:color w:val="1E1E1F"/>
          <w:lang w:val="fr-FR"/>
        </w:rPr>
      </w:pPr>
      <w:r w:rsidRPr="008D5088">
        <w:rPr>
          <w:rStyle w:val="doceo-font-family-base"/>
          <w:color w:val="1E1E1F"/>
          <w:lang w:val="fr-FR"/>
        </w:rPr>
        <w:t>K.</w:t>
      </w:r>
      <w:r w:rsidRPr="008D5088">
        <w:rPr>
          <w:rStyle w:val="doceo-font-family-base"/>
          <w:color w:val="1E1E1F"/>
          <w:lang w:val="fr-FR"/>
        </w:rPr>
        <w:tab/>
        <w:t xml:space="preserve">considérant que les éléments exposés ci-dessus </w:t>
      </w:r>
      <w:r w:rsidR="00BD5BB3">
        <w:rPr>
          <w:rStyle w:val="doceo-font-family-base"/>
          <w:color w:val="1E1E1F"/>
          <w:lang w:val="fr-FR"/>
        </w:rPr>
        <w:t>suscitent de sérieuses craintes</w:t>
      </w:r>
      <w:r w:rsidRPr="008D5088">
        <w:rPr>
          <w:rStyle w:val="doceo-font-family-base"/>
          <w:color w:val="1E1E1F"/>
          <w:lang w:val="fr-FR"/>
        </w:rPr>
        <w:t xml:space="preserve"> sur une éventuelle intention de nuire à l’activité politique de </w:t>
      </w:r>
      <w:r w:rsidRPr="008D5088">
        <w:rPr>
          <w:lang w:val="fr-FR"/>
        </w:rPr>
        <w:t>Péter Magyar</w:t>
      </w:r>
      <w:r w:rsidRPr="008D5088">
        <w:rPr>
          <w:rStyle w:val="doceo-font-family-base"/>
          <w:color w:val="1E1E1F"/>
          <w:lang w:val="fr-FR"/>
        </w:rPr>
        <w:t xml:space="preserve">, et notamment à son activité en tant que député au Parlement </w:t>
      </w:r>
      <w:proofErr w:type="gramStart"/>
      <w:r w:rsidRPr="008D5088">
        <w:rPr>
          <w:rStyle w:val="doceo-font-family-base"/>
          <w:color w:val="1E1E1F"/>
          <w:lang w:val="fr-FR"/>
        </w:rPr>
        <w:t>européen;</w:t>
      </w:r>
      <w:proofErr w:type="gramEnd"/>
    </w:p>
    <w:p w14:paraId="65C1BDF0" w14:textId="609FA482" w:rsidR="00D5650A" w:rsidRPr="008D5088" w:rsidRDefault="00D5650A" w:rsidP="00D5650A">
      <w:pPr>
        <w:pStyle w:val="doceo-line-height-base"/>
        <w:shd w:val="clear" w:color="auto" w:fill="FFFFFF"/>
        <w:spacing w:before="0" w:beforeAutospacing="0" w:after="240" w:afterAutospacing="0"/>
        <w:ind w:left="567" w:hanging="567"/>
        <w:rPr>
          <w:rFonts w:ascii="Helvetica" w:hAnsi="Helvetica"/>
          <w:color w:val="1E1E1F"/>
          <w:lang w:val="fr-FR"/>
        </w:rPr>
      </w:pPr>
      <w:r w:rsidRPr="008D5088">
        <w:rPr>
          <w:rStyle w:val="doceo-font-family-base"/>
          <w:color w:val="1E1E1F"/>
          <w:lang w:val="fr-FR"/>
        </w:rPr>
        <w:t>L.</w:t>
      </w:r>
      <w:r w:rsidRPr="008D5088">
        <w:rPr>
          <w:rStyle w:val="doceo-font-family-base"/>
          <w:rFonts w:ascii="Helvetica" w:hAnsi="Helvetica"/>
          <w:color w:val="1E1E1F"/>
          <w:lang w:val="fr-FR"/>
        </w:rPr>
        <w:tab/>
      </w:r>
      <w:r w:rsidRPr="008D5088">
        <w:rPr>
          <w:rStyle w:val="doceo-font-family-base"/>
          <w:color w:val="1E1E1F"/>
          <w:lang w:val="fr-FR"/>
        </w:rPr>
        <w:t xml:space="preserve">considérant qu’il apparaît dès lors </w:t>
      </w:r>
      <w:r w:rsidR="00150A38">
        <w:rPr>
          <w:rStyle w:val="doceo-font-family-base"/>
          <w:color w:val="1E1E1F"/>
          <w:lang w:val="fr-FR"/>
        </w:rPr>
        <w:t>qu’en l’espèce,</w:t>
      </w:r>
      <w:r w:rsidRPr="008D5088">
        <w:rPr>
          <w:rStyle w:val="doceo-font-family-base"/>
          <w:color w:val="1E1E1F"/>
          <w:lang w:val="fr-FR"/>
        </w:rPr>
        <w:t xml:space="preserve"> on peut supposer l’existence d’un cas de </w:t>
      </w:r>
      <w:proofErr w:type="spellStart"/>
      <w:r w:rsidRPr="008D5088">
        <w:rPr>
          <w:rStyle w:val="doceo-font-family-base"/>
          <w:i/>
          <w:color w:val="1E1E1F"/>
          <w:lang w:val="fr-FR"/>
        </w:rPr>
        <w:t>fumus</w:t>
      </w:r>
      <w:proofErr w:type="spellEnd"/>
      <w:r w:rsidRPr="008D5088">
        <w:rPr>
          <w:rStyle w:val="doceo-font-family-base"/>
          <w:i/>
          <w:iCs/>
          <w:color w:val="1E1E1F"/>
          <w:lang w:val="fr-FR"/>
        </w:rPr>
        <w:t xml:space="preserve"> </w:t>
      </w:r>
      <w:proofErr w:type="spellStart"/>
      <w:r w:rsidRPr="008D5088">
        <w:rPr>
          <w:rStyle w:val="doceo-font-family-base"/>
          <w:i/>
          <w:color w:val="1E1E1F"/>
          <w:lang w:val="fr-FR"/>
        </w:rPr>
        <w:t>persecutionis</w:t>
      </w:r>
      <w:proofErr w:type="spellEnd"/>
      <w:r w:rsidRPr="008D5088">
        <w:rPr>
          <w:rStyle w:val="doceo-font-family-base"/>
          <w:color w:val="1E1E1F"/>
          <w:lang w:val="fr-FR"/>
        </w:rPr>
        <w:t xml:space="preserve">, c’est-à-dire </w:t>
      </w:r>
      <w:r w:rsidR="00150A38">
        <w:rPr>
          <w:rStyle w:val="doceo-font-family-base"/>
          <w:color w:val="1E1E1F"/>
          <w:lang w:val="fr-FR"/>
        </w:rPr>
        <w:t xml:space="preserve">qu’il y a des </w:t>
      </w:r>
      <w:r w:rsidRPr="008D5088">
        <w:rPr>
          <w:rStyle w:val="doceo-font-family-base"/>
          <w:color w:val="1E1E1F"/>
          <w:lang w:val="fr-FR"/>
        </w:rPr>
        <w:t>«éléments concrets»</w:t>
      </w:r>
      <w:r w:rsidRPr="008D5088">
        <w:rPr>
          <w:rStyle w:val="FootnoteReference"/>
          <w:color w:val="1E1E1F"/>
          <w:lang w:val="fr-FR"/>
        </w:rPr>
        <w:footnoteReference w:id="3"/>
      </w:r>
      <w:r w:rsidRPr="008D5088">
        <w:rPr>
          <w:rStyle w:val="doceo-font-family-base"/>
          <w:color w:val="3C77BD"/>
          <w:u w:val="single"/>
          <w:lang w:val="fr-FR"/>
        </w:rPr>
        <w:t xml:space="preserve"> </w:t>
      </w:r>
      <w:r w:rsidRPr="008D5088">
        <w:rPr>
          <w:rStyle w:val="doceo-font-family-base"/>
          <w:color w:val="1E1E1F"/>
          <w:lang w:val="fr-FR"/>
        </w:rPr>
        <w:t xml:space="preserve">indiquant que les poursuites judiciaires en question ont été engagées dans l’intention de nuire à l’activité politique de </w:t>
      </w:r>
      <w:r w:rsidRPr="008D5088">
        <w:rPr>
          <w:lang w:val="fr-FR"/>
        </w:rPr>
        <w:t>Péter Magyar</w:t>
      </w:r>
      <w:r w:rsidRPr="008D5088">
        <w:rPr>
          <w:rStyle w:val="doceo-font-family-base"/>
          <w:color w:val="1E1E1F"/>
          <w:lang w:val="fr-FR"/>
        </w:rPr>
        <w:t xml:space="preserve"> par la demande de levée de son immunité, </w:t>
      </w:r>
      <w:r w:rsidR="00BC1D7B">
        <w:rPr>
          <w:rStyle w:val="doceo-font-family-base"/>
          <w:color w:val="1E1E1F"/>
          <w:lang w:val="fr-FR"/>
        </w:rPr>
        <w:t>au moment où il se présentait</w:t>
      </w:r>
      <w:r w:rsidRPr="008D5088">
        <w:rPr>
          <w:rStyle w:val="doceo-font-family-base"/>
          <w:color w:val="1E1E1F"/>
          <w:lang w:val="fr-FR"/>
        </w:rPr>
        <w:t xml:space="preserve"> aux élections européennes de 2024 en tête de liste de son parti politique;</w:t>
      </w:r>
    </w:p>
    <w:p w14:paraId="54A07BF9" w14:textId="77777777" w:rsidR="00D5650A" w:rsidRPr="008D5088" w:rsidRDefault="00D5650A" w:rsidP="00D5650A">
      <w:pPr>
        <w:pStyle w:val="NormalHanging12a"/>
        <w:widowControl/>
        <w:rPr>
          <w:lang w:val="fr-FR"/>
        </w:rPr>
      </w:pPr>
      <w:r w:rsidRPr="008D5088">
        <w:rPr>
          <w:lang w:val="fr-FR"/>
        </w:rPr>
        <w:t>M.</w:t>
      </w:r>
      <w:r w:rsidRPr="008D5088">
        <w:rPr>
          <w:lang w:val="fr-FR"/>
        </w:rPr>
        <w:tab/>
        <w:t>considérant, d’une part, que le Parlement ne saurait être assimilé à un tribunal et, d’autre part, que le député ne saurait, dans le contexte d’une procédure de levée d’immunité, être considéré comme un «accusé»</w:t>
      </w:r>
      <w:r w:rsidRPr="008D5088">
        <w:rPr>
          <w:vertAlign w:val="superscript"/>
          <w:lang w:val="fr-FR"/>
        </w:rPr>
        <w:footnoteReference w:id="4"/>
      </w:r>
      <w:r w:rsidRPr="008D5088">
        <w:rPr>
          <w:lang w:val="fr-FR"/>
        </w:rPr>
        <w:t>;</w:t>
      </w:r>
    </w:p>
    <w:p w14:paraId="2BC0ECDB" w14:textId="77777777" w:rsidR="00D5650A" w:rsidRPr="008D5088" w:rsidRDefault="00D5650A" w:rsidP="00D5650A">
      <w:pPr>
        <w:pStyle w:val="NormalHanging12a"/>
        <w:rPr>
          <w:lang w:val="fr-FR"/>
        </w:rPr>
      </w:pPr>
      <w:r w:rsidRPr="008D5088">
        <w:rPr>
          <w:lang w:val="fr-FR"/>
        </w:rPr>
        <w:t>1.</w:t>
      </w:r>
      <w:r w:rsidRPr="008D5088">
        <w:rPr>
          <w:lang w:val="fr-FR"/>
        </w:rPr>
        <w:tab/>
        <w:t>décide de ne pas lever l’immunité de Péter Magyar;</w:t>
      </w:r>
    </w:p>
    <w:p w14:paraId="234B4887" w14:textId="7ABAA8A2" w:rsidR="008D5088" w:rsidRPr="00E2782C" w:rsidRDefault="00D5650A" w:rsidP="008D5088">
      <w:pPr>
        <w:pStyle w:val="NormalHanging12a"/>
        <w:rPr>
          <w:lang w:val="fr-BE"/>
        </w:rPr>
      </w:pPr>
      <w:r w:rsidRPr="008D5088">
        <w:rPr>
          <w:lang w:val="fr-FR"/>
        </w:rPr>
        <w:t>2.</w:t>
      </w:r>
      <w:r w:rsidRPr="008D5088">
        <w:rPr>
          <w:lang w:val="fr-FR"/>
        </w:rPr>
        <w:tab/>
        <w:t>charge sa Présidente de transmettre immédiatement la présente décision et le rapport de sa commission compétente aux autorités compétentes de la Hongrie et à Péter Magyar.</w:t>
      </w:r>
    </w:p>
    <w:p w14:paraId="0446BFBA" w14:textId="5CE0F41A" w:rsidR="00E365E1" w:rsidRPr="008D5088" w:rsidRDefault="00E365E1" w:rsidP="000D79B3"/>
    <w:sectPr w:rsidR="00E365E1" w:rsidRPr="008D5088" w:rsidSect="008D508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D96798" w14:textId="77777777" w:rsidR="000D79B3" w:rsidRPr="008D5088" w:rsidRDefault="000D79B3">
      <w:r w:rsidRPr="008D5088">
        <w:separator/>
      </w:r>
    </w:p>
  </w:endnote>
  <w:endnote w:type="continuationSeparator" w:id="0">
    <w:p w14:paraId="73E55EA2" w14:textId="77777777" w:rsidR="000D79B3" w:rsidRPr="008D5088" w:rsidRDefault="000D79B3">
      <w:r w:rsidRPr="008D508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E4A66" w14:textId="77777777" w:rsidR="00064002" w:rsidRPr="008D508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ACDB2" w14:textId="77777777" w:rsidR="00064002" w:rsidRPr="008D508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B4292" w14:textId="77777777" w:rsidR="00064002" w:rsidRPr="008D508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1FA56D" w14:textId="77777777" w:rsidR="000D79B3" w:rsidRPr="008D5088" w:rsidRDefault="000D79B3">
      <w:r w:rsidRPr="008D5088">
        <w:separator/>
      </w:r>
    </w:p>
  </w:footnote>
  <w:footnote w:type="continuationSeparator" w:id="0">
    <w:p w14:paraId="1A718B4A" w14:textId="77777777" w:rsidR="000D79B3" w:rsidRPr="008D5088" w:rsidRDefault="000D79B3">
      <w:r w:rsidRPr="008D5088">
        <w:continuationSeparator/>
      </w:r>
    </w:p>
  </w:footnote>
  <w:footnote w:id="1">
    <w:p w14:paraId="61269F01" w14:textId="277C1E18" w:rsidR="00D5650A" w:rsidRPr="008D5088" w:rsidRDefault="00D5650A" w:rsidP="008D5088">
      <w:pPr>
        <w:pStyle w:val="FootnoteText"/>
        <w:ind w:left="567" w:hanging="567"/>
        <w:rPr>
          <w:sz w:val="24"/>
        </w:rPr>
      </w:pPr>
      <w:r w:rsidRPr="008D5088">
        <w:rPr>
          <w:rStyle w:val="FootnoteReference"/>
          <w:sz w:val="24"/>
        </w:rPr>
        <w:footnoteRef/>
      </w:r>
      <w:r w:rsidR="008D5088" w:rsidRPr="008D5088">
        <w:rPr>
          <w:sz w:val="24"/>
        </w:rPr>
        <w:t xml:space="preserve"> </w:t>
      </w:r>
      <w:r w:rsidR="008D5088" w:rsidRPr="008D5088">
        <w:rPr>
          <w:sz w:val="24"/>
        </w:rPr>
        <w:tab/>
      </w:r>
      <w:r w:rsidRPr="008D5088">
        <w:rPr>
          <w:sz w:val="24"/>
        </w:rPr>
        <w:t>Arrêt de la Cour de justice du 21 octobre 2008, Marra</w:t>
      </w:r>
      <w:r w:rsidR="00E44E8B" w:rsidRPr="0005674D">
        <w:rPr>
          <w:sz w:val="24"/>
          <w:szCs w:val="24"/>
        </w:rPr>
        <w:t xml:space="preserve">/De Gregorio et </w:t>
      </w:r>
      <w:proofErr w:type="spellStart"/>
      <w:r w:rsidR="00E44E8B" w:rsidRPr="0005674D">
        <w:rPr>
          <w:sz w:val="24"/>
          <w:szCs w:val="24"/>
        </w:rPr>
        <w:t>Clemente</w:t>
      </w:r>
      <w:proofErr w:type="spellEnd"/>
      <w:r w:rsidRPr="008D5088">
        <w:rPr>
          <w:sz w:val="24"/>
        </w:rPr>
        <w:t xml:space="preserve">, C-200/07 et C-201/07, ECLI:EU:C:2008:579; arrêt du Tribunal du 19 mars 2010, </w:t>
      </w:r>
      <w:proofErr w:type="spellStart"/>
      <w:r w:rsidRPr="008D5088">
        <w:rPr>
          <w:sz w:val="24"/>
        </w:rPr>
        <w:t>Gollnisch</w:t>
      </w:r>
      <w:proofErr w:type="spellEnd"/>
      <w:r w:rsidRPr="008D5088">
        <w:rPr>
          <w:sz w:val="24"/>
        </w:rPr>
        <w:t xml:space="preserve">/Parlement, T-42/06, ECLI:EU:T:2010:102; arrêt de la Cour de justice du 6 septembre 2011, </w:t>
      </w:r>
      <w:proofErr w:type="spellStart"/>
      <w:r w:rsidRPr="008D5088">
        <w:rPr>
          <w:sz w:val="24"/>
        </w:rPr>
        <w:t>Patriciello</w:t>
      </w:r>
      <w:proofErr w:type="spellEnd"/>
      <w:r w:rsidRPr="008D5088">
        <w:rPr>
          <w:sz w:val="24"/>
        </w:rPr>
        <w:t xml:space="preserve">, C-163/10, ECLI:EU:C:2011:543; arrêt du Tribunal du 17 janvier 2013, </w:t>
      </w:r>
      <w:proofErr w:type="spellStart"/>
      <w:r w:rsidRPr="008D5088">
        <w:rPr>
          <w:sz w:val="24"/>
        </w:rPr>
        <w:t>Gollnisch</w:t>
      </w:r>
      <w:proofErr w:type="spellEnd"/>
      <w:r w:rsidRPr="008D5088">
        <w:rPr>
          <w:sz w:val="24"/>
        </w:rPr>
        <w:t xml:space="preserve">/Parlement, T-346/11 et T-347/11, ECLI:EU:T:2013:23; arrêt de la Cour de justice du 19 décembre 2019, </w:t>
      </w:r>
      <w:proofErr w:type="spellStart"/>
      <w:r w:rsidRPr="008D5088">
        <w:rPr>
          <w:sz w:val="24"/>
        </w:rPr>
        <w:t>Junqueras</w:t>
      </w:r>
      <w:proofErr w:type="spellEnd"/>
      <w:r w:rsidRPr="008D5088">
        <w:rPr>
          <w:sz w:val="24"/>
        </w:rPr>
        <w:t xml:space="preserve"> Vies, C-502/19, ECLI:EU:C:2019:1115; arrêt du Tribunal du 5 juillet 2023, </w:t>
      </w:r>
      <w:proofErr w:type="spellStart"/>
      <w:r w:rsidRPr="008D5088">
        <w:rPr>
          <w:iCs/>
          <w:sz w:val="24"/>
        </w:rPr>
        <w:t>Puigdemont</w:t>
      </w:r>
      <w:proofErr w:type="spellEnd"/>
      <w:r w:rsidRPr="008D5088">
        <w:rPr>
          <w:iCs/>
          <w:sz w:val="24"/>
        </w:rPr>
        <w:t xml:space="preserve"> i </w:t>
      </w:r>
      <w:proofErr w:type="spellStart"/>
      <w:r w:rsidRPr="008D5088">
        <w:rPr>
          <w:iCs/>
          <w:sz w:val="24"/>
        </w:rPr>
        <w:t>Casamajó</w:t>
      </w:r>
      <w:proofErr w:type="spellEnd"/>
      <w:r w:rsidRPr="008D5088">
        <w:rPr>
          <w:iCs/>
          <w:sz w:val="24"/>
        </w:rPr>
        <w:t xml:space="preserve"> e.a./Parlement</w:t>
      </w:r>
      <w:r w:rsidRPr="008D5088">
        <w:rPr>
          <w:sz w:val="24"/>
        </w:rPr>
        <w:t>, T-272/21, ECLI:EU:T:2023:373.</w:t>
      </w:r>
    </w:p>
  </w:footnote>
  <w:footnote w:id="2">
    <w:p w14:paraId="21AEDD0E" w14:textId="1D4B0756" w:rsidR="00D5650A" w:rsidRPr="008D5088" w:rsidRDefault="00D5650A" w:rsidP="008D5088">
      <w:pPr>
        <w:pStyle w:val="FootnoteText"/>
        <w:ind w:left="567" w:hanging="567"/>
        <w:rPr>
          <w:sz w:val="24"/>
        </w:rPr>
      </w:pPr>
      <w:r w:rsidRPr="008D5088">
        <w:rPr>
          <w:rStyle w:val="FootnoteReference"/>
          <w:sz w:val="24"/>
        </w:rPr>
        <w:footnoteRef/>
      </w:r>
      <w:r w:rsidR="008D5088" w:rsidRPr="008D5088">
        <w:rPr>
          <w:sz w:val="24"/>
        </w:rPr>
        <w:t xml:space="preserve"> </w:t>
      </w:r>
      <w:r w:rsidR="008D5088" w:rsidRPr="008D5088">
        <w:rPr>
          <w:sz w:val="24"/>
        </w:rPr>
        <w:tab/>
      </w:r>
      <w:r w:rsidRPr="008D5088">
        <w:rPr>
          <w:sz w:val="24"/>
        </w:rPr>
        <w:t xml:space="preserve">Arrêt du Tribunal du 17 janvier 2013, </w:t>
      </w:r>
      <w:proofErr w:type="spellStart"/>
      <w:r w:rsidRPr="008D5088">
        <w:rPr>
          <w:sz w:val="24"/>
        </w:rPr>
        <w:t>Gollnisch</w:t>
      </w:r>
      <w:proofErr w:type="spellEnd"/>
      <w:r w:rsidRPr="008D5088">
        <w:rPr>
          <w:sz w:val="24"/>
        </w:rPr>
        <w:t>/Parlement, T-346/11 et T-347/11, ECLI:EU:T:2013:23, point 59 et jurisprudence citée.</w:t>
      </w:r>
    </w:p>
  </w:footnote>
  <w:footnote w:id="3">
    <w:p w14:paraId="4C6326F2" w14:textId="5D83593D" w:rsidR="00D5650A" w:rsidRPr="008D5088" w:rsidRDefault="00D5650A" w:rsidP="008D5088">
      <w:pPr>
        <w:pStyle w:val="FootnoteText"/>
        <w:ind w:left="567" w:hanging="567"/>
        <w:rPr>
          <w:sz w:val="24"/>
        </w:rPr>
      </w:pPr>
      <w:r w:rsidRPr="008D5088">
        <w:rPr>
          <w:rStyle w:val="FootnoteReference"/>
          <w:sz w:val="24"/>
        </w:rPr>
        <w:footnoteRef/>
      </w:r>
      <w:r w:rsidR="008D5088" w:rsidRPr="008D5088">
        <w:rPr>
          <w:sz w:val="24"/>
        </w:rPr>
        <w:t xml:space="preserve"> </w:t>
      </w:r>
      <w:r w:rsidR="008D5088" w:rsidRPr="008D5088">
        <w:rPr>
          <w:sz w:val="24"/>
        </w:rPr>
        <w:tab/>
      </w:r>
      <w:r w:rsidRPr="008D5088">
        <w:rPr>
          <w:sz w:val="24"/>
        </w:rPr>
        <w:t xml:space="preserve">Arrêt de la Cour de justice du 17 septembre 2020, </w:t>
      </w:r>
      <w:proofErr w:type="spellStart"/>
      <w:r w:rsidRPr="008D5088">
        <w:rPr>
          <w:sz w:val="24"/>
        </w:rPr>
        <w:t>Troszczynski</w:t>
      </w:r>
      <w:proofErr w:type="spellEnd"/>
      <w:r w:rsidRPr="008D5088">
        <w:rPr>
          <w:sz w:val="24"/>
        </w:rPr>
        <w:t>/Parlement, C-12/19, ECLI:EU:C:2020:725, point 26.</w:t>
      </w:r>
    </w:p>
  </w:footnote>
  <w:footnote w:id="4">
    <w:p w14:paraId="12D9E8FC" w14:textId="023AB12D" w:rsidR="00D5650A" w:rsidRPr="008D5088" w:rsidRDefault="00D5650A" w:rsidP="008D5088">
      <w:pPr>
        <w:pStyle w:val="FootnoteText"/>
        <w:ind w:left="567" w:hanging="567"/>
        <w:rPr>
          <w:sz w:val="24"/>
        </w:rPr>
      </w:pPr>
      <w:r w:rsidRPr="008D5088">
        <w:rPr>
          <w:rStyle w:val="FootnoteReference"/>
          <w:sz w:val="24"/>
        </w:rPr>
        <w:footnoteRef/>
      </w:r>
      <w:r w:rsidR="008D5088" w:rsidRPr="008D5088">
        <w:rPr>
          <w:sz w:val="24"/>
        </w:rPr>
        <w:t xml:space="preserve"> </w:t>
      </w:r>
      <w:r w:rsidR="008D5088" w:rsidRPr="008D5088">
        <w:rPr>
          <w:sz w:val="24"/>
        </w:rPr>
        <w:tab/>
      </w:r>
      <w:r w:rsidRPr="008D5088">
        <w:rPr>
          <w:sz w:val="24"/>
        </w:rPr>
        <w:t>Arrêt du Tribunal du 30 avril 2019, Briois/Parlement,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146AD" w14:textId="77777777" w:rsidR="00064002" w:rsidRPr="008D508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FD24F" w14:textId="77777777" w:rsidR="00064002" w:rsidRPr="008D508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7662E" w14:textId="77777777" w:rsidR="00064002" w:rsidRPr="008D508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53135399">
    <w:abstractNumId w:val="9"/>
  </w:num>
  <w:num w:numId="2" w16cid:durableId="1713068159">
    <w:abstractNumId w:val="9"/>
  </w:num>
  <w:num w:numId="3" w16cid:durableId="806780844">
    <w:abstractNumId w:val="7"/>
  </w:num>
  <w:num w:numId="4" w16cid:durableId="1855459475">
    <w:abstractNumId w:val="7"/>
  </w:num>
  <w:num w:numId="5" w16cid:durableId="1439907152">
    <w:abstractNumId w:val="6"/>
  </w:num>
  <w:num w:numId="6" w16cid:durableId="1686053558">
    <w:abstractNumId w:val="6"/>
  </w:num>
  <w:num w:numId="7" w16cid:durableId="1341008291">
    <w:abstractNumId w:val="5"/>
  </w:num>
  <w:num w:numId="8" w16cid:durableId="1324695794">
    <w:abstractNumId w:val="5"/>
  </w:num>
  <w:num w:numId="9" w16cid:durableId="1255744189">
    <w:abstractNumId w:val="4"/>
  </w:num>
  <w:num w:numId="10" w16cid:durableId="118451676">
    <w:abstractNumId w:val="4"/>
  </w:num>
  <w:num w:numId="11" w16cid:durableId="90862854">
    <w:abstractNumId w:val="8"/>
  </w:num>
  <w:num w:numId="12" w16cid:durableId="1055548840">
    <w:abstractNumId w:val="8"/>
  </w:num>
  <w:num w:numId="13" w16cid:durableId="1631132517">
    <w:abstractNumId w:val="3"/>
  </w:num>
  <w:num w:numId="14" w16cid:durableId="486551307">
    <w:abstractNumId w:val="3"/>
  </w:num>
  <w:num w:numId="15" w16cid:durableId="1430076674">
    <w:abstractNumId w:val="2"/>
  </w:num>
  <w:num w:numId="16" w16cid:durableId="1833831368">
    <w:abstractNumId w:val="2"/>
  </w:num>
  <w:num w:numId="17" w16cid:durableId="728966537">
    <w:abstractNumId w:val="1"/>
  </w:num>
  <w:num w:numId="18" w16cid:durableId="452210610">
    <w:abstractNumId w:val="1"/>
  </w:num>
  <w:num w:numId="19" w16cid:durableId="1676761422">
    <w:abstractNumId w:val="0"/>
  </w:num>
  <w:num w:numId="20" w16cid:durableId="607585279">
    <w:abstractNumId w:val="0"/>
  </w:num>
  <w:num w:numId="21" w16cid:durableId="825587142">
    <w:abstractNumId w:val="9"/>
  </w:num>
  <w:num w:numId="22" w16cid:durableId="1761684541">
    <w:abstractNumId w:val="7"/>
  </w:num>
  <w:num w:numId="23" w16cid:durableId="252398338">
    <w:abstractNumId w:val="6"/>
  </w:num>
  <w:num w:numId="24" w16cid:durableId="571045774">
    <w:abstractNumId w:val="5"/>
  </w:num>
  <w:num w:numId="25" w16cid:durableId="1205945483">
    <w:abstractNumId w:val="4"/>
  </w:num>
  <w:num w:numId="26" w16cid:durableId="271474830">
    <w:abstractNumId w:val="8"/>
  </w:num>
  <w:num w:numId="27" w16cid:durableId="439182013">
    <w:abstractNumId w:val="3"/>
  </w:num>
  <w:num w:numId="28" w16cid:durableId="1063219276">
    <w:abstractNumId w:val="2"/>
  </w:num>
  <w:num w:numId="29" w16cid:durableId="442001058">
    <w:abstractNumId w:val="1"/>
  </w:num>
  <w:num w:numId="30" w16cid:durableId="1742950295">
    <w:abstractNumId w:val="0"/>
  </w:num>
  <w:num w:numId="31" w16cid:durableId="615792990">
    <w:abstractNumId w:val="9"/>
  </w:num>
  <w:num w:numId="32" w16cid:durableId="1927686205">
    <w:abstractNumId w:val="7"/>
  </w:num>
  <w:num w:numId="33" w16cid:durableId="1765690290">
    <w:abstractNumId w:val="6"/>
  </w:num>
  <w:num w:numId="34" w16cid:durableId="1197041674">
    <w:abstractNumId w:val="5"/>
  </w:num>
  <w:num w:numId="35" w16cid:durableId="1309480261">
    <w:abstractNumId w:val="4"/>
  </w:num>
  <w:num w:numId="36" w16cid:durableId="1091319234">
    <w:abstractNumId w:val="8"/>
  </w:num>
  <w:num w:numId="37" w16cid:durableId="266079722">
    <w:abstractNumId w:val="3"/>
  </w:num>
  <w:num w:numId="38" w16cid:durableId="1554392138">
    <w:abstractNumId w:val="2"/>
  </w:num>
  <w:num w:numId="39" w16cid:durableId="1860045624">
    <w:abstractNumId w:val="1"/>
  </w:num>
  <w:num w:numId="40" w16cid:durableId="246883628">
    <w:abstractNumId w:val="0"/>
  </w:num>
  <w:num w:numId="41" w16cid:durableId="462701291">
    <w:abstractNumId w:val="10"/>
  </w:num>
  <w:num w:numId="42" w16cid:durableId="1047685332">
    <w:abstractNumId w:val="10"/>
  </w:num>
  <w:num w:numId="43" w16cid:durableId="92896643">
    <w:abstractNumId w:val="10"/>
  </w:num>
  <w:num w:numId="44" w16cid:durableId="21039094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2/2025"/>
    <w:docVar w:name="dvlangue" w:val="FR"/>
    <w:docVar w:name="dvnumam" w:val="0"/>
    <w:docVar w:name="dvpe" w:val="775.580"/>
    <w:docVar w:name="dvrapporteur" w:val="Rapporteur: "/>
    <w:docVar w:name="dvtitre" w:val="Décision du Parlement européen du ... 2025 sur la demande de levée de l’immunité de Péter Magyar(2025/2096(IMM))"/>
  </w:docVars>
  <w:rsids>
    <w:rsidRoot w:val="000D79B3"/>
    <w:rsid w:val="00002272"/>
    <w:rsid w:val="0005674D"/>
    <w:rsid w:val="00064002"/>
    <w:rsid w:val="000677B9"/>
    <w:rsid w:val="000831BA"/>
    <w:rsid w:val="000A1A4A"/>
    <w:rsid w:val="000A42CC"/>
    <w:rsid w:val="000D79B3"/>
    <w:rsid w:val="000E7DD9"/>
    <w:rsid w:val="0010095E"/>
    <w:rsid w:val="00125B37"/>
    <w:rsid w:val="00150A38"/>
    <w:rsid w:val="00187494"/>
    <w:rsid w:val="001F32AE"/>
    <w:rsid w:val="00244F1A"/>
    <w:rsid w:val="002767FF"/>
    <w:rsid w:val="002B18FE"/>
    <w:rsid w:val="002B5493"/>
    <w:rsid w:val="0032530C"/>
    <w:rsid w:val="00343214"/>
    <w:rsid w:val="00361C00"/>
    <w:rsid w:val="00395FA1"/>
    <w:rsid w:val="003E15D4"/>
    <w:rsid w:val="00411CCE"/>
    <w:rsid w:val="0041666E"/>
    <w:rsid w:val="00421060"/>
    <w:rsid w:val="00423F9F"/>
    <w:rsid w:val="00471C19"/>
    <w:rsid w:val="004867E3"/>
    <w:rsid w:val="00494A28"/>
    <w:rsid w:val="004C0004"/>
    <w:rsid w:val="004C5D52"/>
    <w:rsid w:val="0050519A"/>
    <w:rsid w:val="005072A1"/>
    <w:rsid w:val="00514517"/>
    <w:rsid w:val="00545827"/>
    <w:rsid w:val="005576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5088"/>
    <w:rsid w:val="00930C23"/>
    <w:rsid w:val="0093193B"/>
    <w:rsid w:val="00942B0C"/>
    <w:rsid w:val="009509D8"/>
    <w:rsid w:val="00950B64"/>
    <w:rsid w:val="00981893"/>
    <w:rsid w:val="00A1687D"/>
    <w:rsid w:val="00A43E52"/>
    <w:rsid w:val="00A4678D"/>
    <w:rsid w:val="00A778C7"/>
    <w:rsid w:val="00AA7E61"/>
    <w:rsid w:val="00AB441E"/>
    <w:rsid w:val="00AB6293"/>
    <w:rsid w:val="00AE0928"/>
    <w:rsid w:val="00AF3B82"/>
    <w:rsid w:val="00B12E95"/>
    <w:rsid w:val="00B22876"/>
    <w:rsid w:val="00B558F0"/>
    <w:rsid w:val="00BB00D7"/>
    <w:rsid w:val="00BC1D7B"/>
    <w:rsid w:val="00BD48FE"/>
    <w:rsid w:val="00BD5BB3"/>
    <w:rsid w:val="00BD7BD8"/>
    <w:rsid w:val="00BE6ADC"/>
    <w:rsid w:val="00C05BFE"/>
    <w:rsid w:val="00C172AB"/>
    <w:rsid w:val="00C23CD4"/>
    <w:rsid w:val="00C335A3"/>
    <w:rsid w:val="00C61C0C"/>
    <w:rsid w:val="00C941CB"/>
    <w:rsid w:val="00CC2357"/>
    <w:rsid w:val="00CF071A"/>
    <w:rsid w:val="00D058B8"/>
    <w:rsid w:val="00D5650A"/>
    <w:rsid w:val="00D56C11"/>
    <w:rsid w:val="00D834A0"/>
    <w:rsid w:val="00D872DF"/>
    <w:rsid w:val="00D91E21"/>
    <w:rsid w:val="00DA21AD"/>
    <w:rsid w:val="00DA7FCD"/>
    <w:rsid w:val="00E2782C"/>
    <w:rsid w:val="00E365E1"/>
    <w:rsid w:val="00E44E8B"/>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D7EE14"/>
  <w15:chartTrackingRefBased/>
  <w15:docId w15:val="{F962E4D3-A6AA-4B82-9D93-4CD7BCD1A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D5650A"/>
    <w:pPr>
      <w:spacing w:after="240"/>
      <w:ind w:left="567" w:hanging="567"/>
    </w:pPr>
    <w:rPr>
      <w:lang w:val="en-GB"/>
    </w:rPr>
  </w:style>
  <w:style w:type="paragraph" w:customStyle="1" w:styleId="EPComma">
    <w:name w:val="EPComma"/>
    <w:basedOn w:val="Normal"/>
    <w:rsid w:val="00D5650A"/>
    <w:pPr>
      <w:spacing w:before="480" w:after="240"/>
    </w:pPr>
    <w:rPr>
      <w:lang w:val="en-GB"/>
    </w:rPr>
  </w:style>
  <w:style w:type="character" w:customStyle="1" w:styleId="doceo-font-family-base">
    <w:name w:val="doceo-font-family-base"/>
    <w:basedOn w:val="DefaultParagraphFont"/>
    <w:rsid w:val="00D5650A"/>
  </w:style>
  <w:style w:type="paragraph" w:customStyle="1" w:styleId="doceo-line-height-base">
    <w:name w:val="doceo-line-height-base"/>
    <w:basedOn w:val="Normal"/>
    <w:rsid w:val="00D5650A"/>
    <w:pPr>
      <w:widowControl/>
      <w:spacing w:before="100" w:beforeAutospacing="1" w:after="100" w:afterAutospacing="1"/>
    </w:pPr>
    <w:rPr>
      <w:szCs w:val="24"/>
      <w:lang w:val="en-GB"/>
    </w:rPr>
  </w:style>
  <w:style w:type="paragraph" w:styleId="Revision">
    <w:name w:val="Revision"/>
    <w:hidden/>
    <w:uiPriority w:val="99"/>
    <w:semiHidden/>
    <w:rsid w:val="00E2782C"/>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1189</Words>
  <Characters>6424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dc:creator>
  <cp:keywords/>
  <cp:lastModifiedBy>MAGHOUZ Yousra</cp:lastModifiedBy>
  <cp:revision>3</cp:revision>
  <cp:lastPrinted>2004-11-19T15:42:00Z</cp:lastPrinted>
  <dcterms:created xsi:type="dcterms:W3CDTF">2025-10-07T12:41:00Z</dcterms:created>
  <dcterms:modified xsi:type="dcterms:W3CDTF">2025-10-07T12:57:00Z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A10-0182/2025</vt:lpwstr>
  </property>
  <property fmtid="{D5CDD505-2E9C-101B-9397-08002B2CF9AE}" pid="4" name="&lt;Type&gt;">
    <vt:lpwstr>RR</vt:lpwstr>
  </property>
</Properties>
</file>