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4B18" w14:paraId="10BCCA36" w14:textId="77777777" w:rsidTr="0010095E">
        <w:trPr>
          <w:trHeight w:hRule="exact" w:val="1418"/>
        </w:trPr>
        <w:tc>
          <w:tcPr>
            <w:tcW w:w="6804" w:type="dxa"/>
            <w:shd w:val="clear" w:color="auto" w:fill="auto"/>
            <w:vAlign w:val="center"/>
          </w:tcPr>
          <w:p w14:paraId="6521B2C4" w14:textId="77777777" w:rsidR="00751A4A" w:rsidRPr="00514B18" w:rsidRDefault="001E6D21" w:rsidP="0010095E">
            <w:pPr>
              <w:pStyle w:val="EPName"/>
            </w:pPr>
            <w:r w:rsidRPr="00514B18">
              <w:t>Európai Parlament</w:t>
            </w:r>
          </w:p>
          <w:p w14:paraId="58D3F71F" w14:textId="77777777" w:rsidR="00751A4A" w:rsidRPr="00514B18" w:rsidRDefault="005F1B17" w:rsidP="005F1B17">
            <w:pPr>
              <w:pStyle w:val="EPTerm"/>
              <w:rPr>
                <w:rStyle w:val="HideTWBExt"/>
                <w:noProof w:val="0"/>
                <w:vanish w:val="0"/>
                <w:color w:val="auto"/>
              </w:rPr>
            </w:pPr>
            <w:r w:rsidRPr="00514B18">
              <w:t>2024</w:t>
            </w:r>
            <w:r w:rsidR="00817416" w:rsidRPr="00514B18">
              <w:t>-202</w:t>
            </w:r>
            <w:r w:rsidRPr="00514B18">
              <w:t>9</w:t>
            </w:r>
          </w:p>
        </w:tc>
        <w:tc>
          <w:tcPr>
            <w:tcW w:w="2268" w:type="dxa"/>
            <w:shd w:val="clear" w:color="auto" w:fill="auto"/>
          </w:tcPr>
          <w:p w14:paraId="56BC4C02" w14:textId="77777777" w:rsidR="00751A4A" w:rsidRPr="00514B18" w:rsidRDefault="00187494" w:rsidP="0010095E">
            <w:pPr>
              <w:pStyle w:val="EPLogo"/>
            </w:pPr>
            <w:r w:rsidRPr="00514B18">
              <w:rPr>
                <w:noProof/>
                <w:lang w:eastAsia="ja-JP"/>
              </w:rPr>
              <w:drawing>
                <wp:inline distT="0" distB="0" distL="0" distR="0" wp14:anchorId="70A2CEE4" wp14:editId="30E804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A63928" w14:textId="77777777" w:rsidR="00D058B8" w:rsidRPr="00514B18" w:rsidRDefault="00D058B8" w:rsidP="004C5D52">
      <w:pPr>
        <w:pStyle w:val="LineTop"/>
      </w:pPr>
    </w:p>
    <w:p w14:paraId="44EB8E92" w14:textId="77777777" w:rsidR="00680577" w:rsidRPr="00514B18" w:rsidRDefault="001E6D21" w:rsidP="00680577">
      <w:pPr>
        <w:pStyle w:val="EPBodyTA1"/>
      </w:pPr>
      <w:r w:rsidRPr="00514B18">
        <w:t>ELFOGADOTT SZÖVEGEK</w:t>
      </w:r>
    </w:p>
    <w:p w14:paraId="1BC9451E" w14:textId="77777777" w:rsidR="00D058B8" w:rsidRPr="00514B18" w:rsidRDefault="00D058B8" w:rsidP="00D058B8">
      <w:pPr>
        <w:pStyle w:val="LineBottom"/>
      </w:pPr>
    </w:p>
    <w:p w14:paraId="136D4DB8" w14:textId="4D4E034E" w:rsidR="001E6D21" w:rsidRPr="00514B18" w:rsidRDefault="001E6D21" w:rsidP="001E6D21">
      <w:pPr>
        <w:pStyle w:val="ATHeading1"/>
      </w:pPr>
      <w:bookmarkStart w:id="0" w:name="TANumber"/>
      <w:r w:rsidRPr="00514B18">
        <w:t>P10_</w:t>
      </w:r>
      <w:proofErr w:type="gramStart"/>
      <w:r w:rsidRPr="00514B18">
        <w:t>TA(</w:t>
      </w:r>
      <w:proofErr w:type="gramEnd"/>
      <w:r w:rsidRPr="00514B18">
        <w:t>2025)</w:t>
      </w:r>
      <w:bookmarkEnd w:id="0"/>
      <w:r w:rsidR="00514B18" w:rsidRPr="00514B18">
        <w:t>0</w:t>
      </w:r>
      <w:r w:rsidR="00514B18" w:rsidRPr="00514B18">
        <w:t>205</w:t>
      </w:r>
    </w:p>
    <w:p w14:paraId="634B39B3" w14:textId="77777777" w:rsidR="001E6D21" w:rsidRPr="00514B18" w:rsidRDefault="001E6D21" w:rsidP="001E6D21">
      <w:pPr>
        <w:pStyle w:val="ATHeading2"/>
      </w:pPr>
      <w:bookmarkStart w:id="1" w:name="title"/>
      <w:r w:rsidRPr="00514B18">
        <w:t>Magyar Péter mentelmi jogának felfüggesztésére irányuló kérelem</w:t>
      </w:r>
      <w:bookmarkEnd w:id="1"/>
    </w:p>
    <w:p w14:paraId="57F16829" w14:textId="77777777" w:rsidR="001E6D21" w:rsidRPr="00514B18" w:rsidRDefault="001E6D21" w:rsidP="001E6D21">
      <w:pPr>
        <w:rPr>
          <w:i/>
          <w:vanish/>
        </w:rPr>
      </w:pPr>
      <w:r w:rsidRPr="00514B18">
        <w:rPr>
          <w:i/>
        </w:rPr>
        <w:fldChar w:fldCharType="begin"/>
      </w:r>
      <w:r w:rsidRPr="00514B18">
        <w:rPr>
          <w:i/>
        </w:rPr>
        <w:instrText xml:space="preserve"> TC"(</w:instrText>
      </w:r>
      <w:bookmarkStart w:id="2" w:name="DocNumber"/>
      <w:r w:rsidRPr="00514B18">
        <w:rPr>
          <w:i/>
        </w:rPr>
        <w:instrText>A10-0182/2025</w:instrText>
      </w:r>
      <w:bookmarkEnd w:id="2"/>
      <w:r w:rsidRPr="00514B18">
        <w:rPr>
          <w:i/>
        </w:rPr>
        <w:instrText xml:space="preserve"> - Előadó: Ilhan Kyuchyuk )"\l3 \n&gt; \* MERGEFORMAT </w:instrText>
      </w:r>
      <w:r w:rsidRPr="00514B18">
        <w:rPr>
          <w:i/>
        </w:rPr>
        <w:fldChar w:fldCharType="end"/>
      </w:r>
    </w:p>
    <w:p w14:paraId="6335C875" w14:textId="77777777" w:rsidR="001E6D21" w:rsidRPr="00514B18" w:rsidRDefault="001E6D21" w:rsidP="001E6D21">
      <w:pPr>
        <w:rPr>
          <w:vanish/>
        </w:rPr>
      </w:pPr>
      <w:bookmarkStart w:id="3" w:name="Commission"/>
      <w:r w:rsidRPr="00514B18">
        <w:rPr>
          <w:vanish/>
        </w:rPr>
        <w:t>Jogi Bizottság</w:t>
      </w:r>
      <w:bookmarkEnd w:id="3"/>
    </w:p>
    <w:p w14:paraId="215808FF" w14:textId="77777777" w:rsidR="001E6D21" w:rsidRPr="00514B18" w:rsidRDefault="001E6D21" w:rsidP="001E6D21">
      <w:pPr>
        <w:rPr>
          <w:vanish/>
        </w:rPr>
      </w:pPr>
      <w:bookmarkStart w:id="4" w:name="PE"/>
      <w:r w:rsidRPr="00514B18">
        <w:rPr>
          <w:vanish/>
        </w:rPr>
        <w:t>PE775.580</w:t>
      </w:r>
      <w:bookmarkEnd w:id="4"/>
    </w:p>
    <w:p w14:paraId="495DE5F8" w14:textId="77777777" w:rsidR="001E6D21" w:rsidRPr="00514B18" w:rsidRDefault="001E6D21" w:rsidP="001E6D21">
      <w:pPr>
        <w:pStyle w:val="ATHeading3"/>
      </w:pPr>
      <w:bookmarkStart w:id="5" w:name="Sujet"/>
      <w:r w:rsidRPr="00514B18">
        <w:t>Az Európai Parlament 2025. október 7-i határozata a Magyar Péter mentelmi jogának felfüggesztésére irányuló kérelemről</w:t>
      </w:r>
      <w:bookmarkEnd w:id="5"/>
      <w:r w:rsidRPr="00514B18">
        <w:t xml:space="preserve"> </w:t>
      </w:r>
      <w:bookmarkStart w:id="6" w:name="References"/>
      <w:r w:rsidRPr="00514B18">
        <w:t>(2025/2096(IMM))</w:t>
      </w:r>
      <w:bookmarkEnd w:id="6"/>
    </w:p>
    <w:p w14:paraId="0E32C05F" w14:textId="77777777" w:rsidR="001332F2" w:rsidRPr="00514B18" w:rsidRDefault="001332F2" w:rsidP="001332F2">
      <w:pPr>
        <w:pStyle w:val="EPComma"/>
      </w:pPr>
      <w:bookmarkStart w:id="7" w:name="TextBodyBegin"/>
      <w:bookmarkEnd w:id="7"/>
      <w:r w:rsidRPr="00514B18">
        <w:rPr>
          <w:i/>
        </w:rPr>
        <w:t>Az Európai Parlament</w:t>
      </w:r>
      <w:r w:rsidRPr="00514B18">
        <w:t>,</w:t>
      </w:r>
    </w:p>
    <w:p w14:paraId="4C0AC09F" w14:textId="2C731F05" w:rsidR="001332F2" w:rsidRPr="00514B18" w:rsidRDefault="001332F2" w:rsidP="004244F2">
      <w:pPr>
        <w:pStyle w:val="NormalHanging12a"/>
        <w:widowControl/>
      </w:pPr>
      <w:r w:rsidRPr="00514B18">
        <w:t>–</w:t>
      </w:r>
      <w:r w:rsidRPr="00514B18">
        <w:tab/>
        <w:t xml:space="preserve">tekintettel a </w:t>
      </w:r>
      <w:r w:rsidR="005A489C" w:rsidRPr="00514B18">
        <w:t xml:space="preserve">magyarországi </w:t>
      </w:r>
      <w:r w:rsidRPr="00514B18">
        <w:t>Pesti Központi Kerületi Bíróságnak a Magyar Péter ellen indított büntetőeljárással összefüggésben Magyar Péter mentelmi jogának felfüggesztésére irányuló, 2025. május 5-</w:t>
      </w:r>
      <w:r w:rsidR="005F59B9" w:rsidRPr="00514B18">
        <w:t>é</w:t>
      </w:r>
      <w:r w:rsidR="00E23F12" w:rsidRPr="00514B18">
        <w:t>n</w:t>
      </w:r>
      <w:r w:rsidR="005F59B9" w:rsidRPr="00514B18">
        <w:t>,</w:t>
      </w:r>
      <w:r w:rsidR="00E23F12" w:rsidRPr="00514B18">
        <w:t xml:space="preserve"> a</w:t>
      </w:r>
      <w:r w:rsidRPr="00514B18">
        <w:t xml:space="preserve"> plenáris ülésen bejelentett, 2025. március 21-i kérelmére,</w:t>
      </w:r>
    </w:p>
    <w:p w14:paraId="538C71DF" w14:textId="77777777" w:rsidR="001332F2" w:rsidRPr="00514B18" w:rsidRDefault="001332F2" w:rsidP="004244F2">
      <w:pPr>
        <w:pStyle w:val="NormalHanging12a"/>
        <w:widowControl/>
      </w:pPr>
      <w:r w:rsidRPr="00514B18">
        <w:t>–</w:t>
      </w:r>
      <w:r w:rsidRPr="00514B18">
        <w:tab/>
        <w:t>tekintettel arra, hogy Magyar Péter a Parlament eljárási szabályzata 9. cikkének (6) bekezdése alapján lemondott a meghallgatáshoz való jogáról,</w:t>
      </w:r>
    </w:p>
    <w:p w14:paraId="4DF9573F" w14:textId="77777777" w:rsidR="001332F2" w:rsidRPr="00514B18" w:rsidRDefault="001332F2" w:rsidP="004244F2">
      <w:pPr>
        <w:pStyle w:val="NormalHanging12a"/>
        <w:widowControl/>
      </w:pPr>
      <w:r w:rsidRPr="00514B18">
        <w:t>–</w:t>
      </w:r>
      <w:r w:rsidRPr="00514B18">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14:paraId="7194E08E" w14:textId="77777777" w:rsidR="001332F2" w:rsidRPr="00514B18" w:rsidRDefault="001332F2" w:rsidP="004244F2">
      <w:pPr>
        <w:pStyle w:val="NormalHanging12a"/>
        <w:widowControl/>
      </w:pPr>
      <w:r w:rsidRPr="00514B18">
        <w:t>–</w:t>
      </w:r>
      <w:r w:rsidRPr="00514B18">
        <w:tab/>
        <w:t xml:space="preserve">tekintettel </w:t>
      </w:r>
      <w:r w:rsidRPr="00514B18">
        <w:rPr>
          <w:color w:val="000000"/>
          <w:shd w:val="clear" w:color="auto" w:fill="FFFFFF"/>
        </w:rPr>
        <w:t>Magyarország Alaptörvénye 4. cikkének (2) bekezdésére</w:t>
      </w:r>
      <w:r w:rsidRPr="00514B18">
        <w:t>,</w:t>
      </w:r>
    </w:p>
    <w:p w14:paraId="77778B2A" w14:textId="77777777" w:rsidR="001332F2" w:rsidRPr="00514B18" w:rsidRDefault="001332F2" w:rsidP="004244F2">
      <w:pPr>
        <w:pStyle w:val="NormalHanging12a"/>
        <w:widowControl/>
      </w:pPr>
      <w:r w:rsidRPr="00514B18">
        <w:t>–</w:t>
      </w:r>
      <w:r w:rsidRPr="00514B18">
        <w:tab/>
        <w:t>tekintettel az Európai Unió Bírósága által 2008. október 21-én, 2010. március 19-én, 2011. szeptember 6-án, 2013. január 17-én, 2019. december 19-én és 2023. július 5-én hozott ítéletekre</w:t>
      </w:r>
      <w:r w:rsidRPr="00514B18">
        <w:rPr>
          <w:rStyle w:val="FootnoteReference"/>
        </w:rPr>
        <w:footnoteReference w:id="1"/>
      </w:r>
      <w:r w:rsidRPr="00514B18">
        <w:t>,</w:t>
      </w:r>
    </w:p>
    <w:p w14:paraId="4022B388" w14:textId="77777777" w:rsidR="001332F2" w:rsidRPr="00514B18" w:rsidRDefault="001332F2" w:rsidP="004244F2">
      <w:pPr>
        <w:pStyle w:val="NormalHanging12a"/>
        <w:widowControl/>
      </w:pPr>
      <w:r w:rsidRPr="00514B18">
        <w:lastRenderedPageBreak/>
        <w:t>–</w:t>
      </w:r>
      <w:r w:rsidRPr="00514B18">
        <w:tab/>
        <w:t>tekintettel eljárási szabályzata 5. cikkének (2) bekezdésére, 6. cikkének (1) bekezdésére és 9. cikkére,</w:t>
      </w:r>
    </w:p>
    <w:p w14:paraId="0E4E4A31" w14:textId="77777777" w:rsidR="001332F2" w:rsidRPr="00514B18" w:rsidRDefault="001332F2" w:rsidP="004244F2">
      <w:pPr>
        <w:pStyle w:val="NormalHanging12a"/>
        <w:widowControl/>
      </w:pPr>
      <w:r w:rsidRPr="00514B18">
        <w:t>–</w:t>
      </w:r>
      <w:r w:rsidRPr="00514B18">
        <w:tab/>
        <w:t>tekintettel a Jogi Bizottság jelentésére (A10-0182/2025),</w:t>
      </w:r>
    </w:p>
    <w:p w14:paraId="6C80EED9" w14:textId="7F4E0F73" w:rsidR="001332F2" w:rsidRPr="00514B18" w:rsidRDefault="001332F2" w:rsidP="004244F2">
      <w:pPr>
        <w:pStyle w:val="NormalHanging12a"/>
        <w:widowControl/>
      </w:pPr>
      <w:r w:rsidRPr="00514B18">
        <w:t>A.</w:t>
      </w:r>
      <w:r w:rsidRPr="00514B18">
        <w:tab/>
        <w:t>mivel a Pesti Központi Kerületi Bíróság 2025. március 21-én kérelmet nyújtott be Magyar Péter</w:t>
      </w:r>
      <w:r w:rsidR="00E23F12" w:rsidRPr="00514B18">
        <w:t>,</w:t>
      </w:r>
      <w:r w:rsidR="0005415D" w:rsidRPr="00514B18">
        <w:t xml:space="preserve"> </w:t>
      </w:r>
      <w:r w:rsidR="00E23F12" w:rsidRPr="00514B18">
        <w:t xml:space="preserve">Magyarországon megválasztott </w:t>
      </w:r>
      <w:r w:rsidR="0005415D" w:rsidRPr="00514B18">
        <w:t xml:space="preserve">európai parlamenti </w:t>
      </w:r>
      <w:r w:rsidR="00E23F12" w:rsidRPr="00514B18">
        <w:t xml:space="preserve">képviselő </w:t>
      </w:r>
      <w:r w:rsidRPr="00514B18">
        <w:t>mentelmi jogának felfüggesztése iránt egy, a magyar Büntető Törvénykönyvről szóló 2012. évi C. törvény 226. §-</w:t>
      </w:r>
      <w:proofErr w:type="spellStart"/>
      <w:r w:rsidRPr="00514B18">
        <w:t>ának</w:t>
      </w:r>
      <w:proofErr w:type="spellEnd"/>
      <w:r w:rsidRPr="00514B18">
        <w:t xml:space="preserve"> (1) bekezdése szerinti, </w:t>
      </w:r>
      <w:r w:rsidRPr="00514B18">
        <w:rPr>
          <w:color w:val="000000"/>
          <w:shd w:val="clear" w:color="auto" w:fill="FFFFFF"/>
        </w:rPr>
        <w:t>2024 áprilisában történt eseményekhez kapcsolódó</w:t>
      </w:r>
      <w:r w:rsidRPr="00514B18">
        <w:t xml:space="preserve"> állítólagos bűncselekménnyel összefüggésben, egy magánvádló által rágalmazás miatt </w:t>
      </w:r>
      <w:r w:rsidR="00E23F12" w:rsidRPr="00514B18">
        <w:t xml:space="preserve">ellene </w:t>
      </w:r>
      <w:r w:rsidRPr="00514B18">
        <w:t>kezdeményezett büntetőügy keretében;</w:t>
      </w:r>
    </w:p>
    <w:p w14:paraId="2957EBC0" w14:textId="70B3A995" w:rsidR="001332F2" w:rsidRPr="00514B18" w:rsidRDefault="001332F2" w:rsidP="004244F2">
      <w:pPr>
        <w:pStyle w:val="NormalHanging12a"/>
        <w:widowControl/>
      </w:pPr>
      <w:r w:rsidRPr="00514B18">
        <w:rPr>
          <w:shd w:val="clear" w:color="auto" w:fill="FFFFFF"/>
        </w:rPr>
        <w:t>B.</w:t>
      </w:r>
      <w:r w:rsidRPr="00514B18">
        <w:rPr>
          <w:shd w:val="clear" w:color="auto" w:fill="FFFFFF"/>
        </w:rPr>
        <w:tab/>
      </w:r>
      <w:r w:rsidRPr="00514B18">
        <w:t xml:space="preserve">mivel a mentelmi jog felfüggesztésére irányuló kérelem szerint Magyar Pétert azzal vádolják, hogy egy tüntetésen nyilvánosan </w:t>
      </w:r>
      <w:r w:rsidR="005C63AA" w:rsidRPr="00514B18">
        <w:t xml:space="preserve">olyan </w:t>
      </w:r>
      <w:r w:rsidRPr="00514B18">
        <w:t>kijelentéseket tett</w:t>
      </w:r>
      <w:r w:rsidR="005C63AA" w:rsidRPr="00514B18">
        <w:t>, amelyek valótlan állításokat tartalmaztak</w:t>
      </w:r>
      <w:r w:rsidRPr="00514B18">
        <w:t xml:space="preserve"> és olyan híreszteléseket terjesztett, amelyek ronthatják a „Mi Hazánk Mozgalom” nevű politikai mozgalom és annak egyik alelnöke, a magyar Országgyűlés egyik képviselője hírnevét; mivel 2024. május 13-án Magyar Péter ellen magánvádas eljárást indítottak egy rágalmazás miatti feljelentés alapján;</w:t>
      </w:r>
    </w:p>
    <w:p w14:paraId="2CFBF466" w14:textId="377DAE3E" w:rsidR="001332F2" w:rsidRPr="00514B18" w:rsidRDefault="001332F2" w:rsidP="004244F2">
      <w:pPr>
        <w:pStyle w:val="NormalHanging12a"/>
        <w:widowControl/>
      </w:pPr>
      <w:r w:rsidRPr="00514B18">
        <w:t>C.</w:t>
      </w:r>
      <w:r w:rsidRPr="00514B18">
        <w:tab/>
        <w:t xml:space="preserve">mivel </w:t>
      </w:r>
      <w:r w:rsidRPr="00514B18">
        <w:rPr>
          <w:shd w:val="clear" w:color="auto" w:fill="FFFFFF"/>
        </w:rPr>
        <w:t>Magyar Pétert a 2024. júniusi európai választásokon az Európai Parlament képviselőjévé választották</w:t>
      </w:r>
      <w:r w:rsidRPr="00514B18">
        <w:t xml:space="preserve">, és </w:t>
      </w:r>
      <w:r w:rsidRPr="00514B18">
        <w:rPr>
          <w:shd w:val="clear" w:color="auto" w:fill="FFFFFF"/>
        </w:rPr>
        <w:t>az európai parlamenti választásokkal kapcsolatos kampányt folytatott, amikor feljelentést tettek ellene</w:t>
      </w:r>
      <w:r w:rsidRPr="00514B18">
        <w:t>;</w:t>
      </w:r>
    </w:p>
    <w:p w14:paraId="58DBCA1D" w14:textId="25AFF1B2" w:rsidR="001332F2" w:rsidRPr="00514B18" w:rsidRDefault="001332F2" w:rsidP="004244F2">
      <w:pPr>
        <w:pStyle w:val="NormalHanging12a"/>
        <w:widowControl/>
      </w:pPr>
      <w:r w:rsidRPr="00514B18">
        <w:t>D.</w:t>
      </w:r>
      <w:r w:rsidRPr="00514B18">
        <w:tab/>
        <w:t>mivel az állítólagos bűncselekmény</w:t>
      </w:r>
      <w:r w:rsidR="0005415D" w:rsidRPr="00514B18">
        <w:t xml:space="preserve"> nem minősül</w:t>
      </w:r>
      <w:r w:rsidRPr="00514B18">
        <w:t xml:space="preserve"> az Európai Unió kiváltságairól és mentességeiről szóló 7. jegyzőkönyv 8. cikke értelmében </w:t>
      </w:r>
      <w:r w:rsidR="0005415D" w:rsidRPr="00514B18">
        <w:t xml:space="preserve">vett feladatai ellátása során </w:t>
      </w:r>
      <w:r w:rsidRPr="00514B18">
        <w:t>Magyar Péter által kifejtett vélemény</w:t>
      </w:r>
      <w:r w:rsidR="0005415D" w:rsidRPr="00514B18">
        <w:t>nek</w:t>
      </w:r>
      <w:r w:rsidRPr="00514B18">
        <w:t xml:space="preserve"> vagy leadott szavazat</w:t>
      </w:r>
      <w:r w:rsidR="0005415D" w:rsidRPr="00514B18">
        <w:t>nak, és a Magyar Péter mentelmi jogának felfüggesztésére irányuló kérelem nem kapcsolódik ilyen véleményhez vagy szavazathoz</w:t>
      </w:r>
      <w:r w:rsidRPr="00514B18">
        <w:t>;</w:t>
      </w:r>
    </w:p>
    <w:p w14:paraId="02E5AB4E" w14:textId="77777777" w:rsidR="001332F2" w:rsidRPr="00514B18" w:rsidRDefault="001332F2" w:rsidP="004244F2">
      <w:pPr>
        <w:pStyle w:val="NormalHanging12a"/>
        <w:widowControl/>
      </w:pPr>
      <w:r w:rsidRPr="00514B18">
        <w:t>E.</w:t>
      </w:r>
      <w:r w:rsidRPr="00514B18">
        <w:tab/>
        <w:t>mivel az Európai Unió kiváltságairól és mentességeiről szóló 7. jegyzőkönyv 9. cikke első bekezdésének a) pontja szerint az európai parlamenti képviselők saját államuk területén az adott állam parlamenti képviselőire vonatkozó mentességeket élvezik;</w:t>
      </w:r>
    </w:p>
    <w:p w14:paraId="3FE990F9" w14:textId="77777777" w:rsidR="001332F2" w:rsidRPr="00514B18" w:rsidRDefault="001332F2" w:rsidP="004244F2">
      <w:pPr>
        <w:pStyle w:val="NormalHanging12a"/>
        <w:widowControl/>
      </w:pPr>
      <w:r w:rsidRPr="00514B18">
        <w:t>F.</w:t>
      </w:r>
      <w:r w:rsidRPr="00514B18">
        <w:tab/>
        <w:t xml:space="preserve">mivel </w:t>
      </w:r>
      <w:r w:rsidRPr="00514B18">
        <w:rPr>
          <w:color w:val="000000"/>
          <w:shd w:val="clear" w:color="auto" w:fill="FFFFFF"/>
        </w:rPr>
        <w:t>Magyarország Alaptörvénye 4. cikkének (2) bekezdése értelmében a magyar országgyűlési képviselőket mentelmi jog illeti meg</w:t>
      </w:r>
      <w:r w:rsidRPr="00514B18">
        <w:t>;</w:t>
      </w:r>
      <w:r w:rsidRPr="00514B18">
        <w:rPr>
          <w:color w:val="000000"/>
          <w:shd w:val="clear" w:color="auto" w:fill="FFFFFF"/>
        </w:rPr>
        <w:t xml:space="preserve"> mivel az Országgyűlésről szóló 2012. évi XXXVI. törvény 79. §-</w:t>
      </w:r>
      <w:proofErr w:type="spellStart"/>
      <w:r w:rsidRPr="00514B18">
        <w:rPr>
          <w:color w:val="000000"/>
          <w:shd w:val="clear" w:color="auto" w:fill="FFFFFF"/>
        </w:rPr>
        <w:t>ának</w:t>
      </w:r>
      <w:proofErr w:type="spellEnd"/>
      <w:r w:rsidRPr="00514B18">
        <w:rPr>
          <w:color w:val="000000"/>
          <w:shd w:val="clear" w:color="auto" w:fill="FFFFFF"/>
        </w:rPr>
        <w:t xml:space="preserve"> (2) bekezdése értelmében a jelöltként jogerősen nyilvántartásba vett személyt a választás eredményének jogerőre emelkedéséig a magyar országgyűlési képviselőkkel azonos mentelmi jog illeti meg, és mivel minden esetben az említett törvény 79. §-</w:t>
      </w:r>
      <w:proofErr w:type="spellStart"/>
      <w:r w:rsidRPr="00514B18">
        <w:rPr>
          <w:color w:val="000000"/>
          <w:shd w:val="clear" w:color="auto" w:fill="FFFFFF"/>
        </w:rPr>
        <w:t>ának</w:t>
      </w:r>
      <w:proofErr w:type="spellEnd"/>
      <w:r w:rsidRPr="00514B18">
        <w:rPr>
          <w:color w:val="000000"/>
          <w:shd w:val="clear" w:color="auto" w:fill="FFFFFF"/>
        </w:rPr>
        <w:t xml:space="preserve"> (1) bekezdése értelmében a mentelmi jog a képviselőt a megválasztása napjától illeti meg;</w:t>
      </w:r>
      <w:r w:rsidRPr="00514B18">
        <w:t xml:space="preserve"> </w:t>
      </w:r>
      <w:r w:rsidRPr="00514B18">
        <w:rPr>
          <w:color w:val="000000"/>
          <w:shd w:val="clear" w:color="auto" w:fill="FFFFFF"/>
        </w:rPr>
        <w:t>mivel az Országgyűlésről szóló 2012. évi XXXVI. törvény 74. §-</w:t>
      </w:r>
      <w:proofErr w:type="spellStart"/>
      <w:r w:rsidRPr="00514B18">
        <w:rPr>
          <w:color w:val="000000"/>
          <w:shd w:val="clear" w:color="auto" w:fill="FFFFFF"/>
        </w:rPr>
        <w:t>ának</w:t>
      </w:r>
      <w:proofErr w:type="spellEnd"/>
      <w:r w:rsidRPr="00514B18">
        <w:rPr>
          <w:color w:val="000000"/>
          <w:shd w:val="clear" w:color="auto" w:fill="FFFFFF"/>
        </w:rPr>
        <w:t xml:space="preserve"> (1) bekezdése szerint a képviselő ellen csak az Országgyűlés előzetes hozzájárulásával lehet büntetőeljárást, valamint – a mentelmi jogról az adott ügyre vonatkozó önkéntes lemondás hiányában – szabálysértési eljárást indítani vagy folytatni, továbbá büntető eljárásjogi kényszerintézkedést alkalmazni;</w:t>
      </w:r>
    </w:p>
    <w:p w14:paraId="387EF6AC" w14:textId="1E3AF286" w:rsidR="004A2008" w:rsidRPr="00514B18" w:rsidRDefault="001332F2" w:rsidP="004A2008">
      <w:pPr>
        <w:pStyle w:val="NormalHanging12a"/>
        <w:widowControl/>
      </w:pPr>
      <w:r w:rsidRPr="00514B18">
        <w:t>G.</w:t>
      </w:r>
      <w:r w:rsidRPr="00514B18">
        <w:tab/>
      </w:r>
      <w:r w:rsidR="004A2008" w:rsidRPr="00514B18">
        <w:t xml:space="preserve">mivel az Európai Parlament eljárási szabályzata 5. cikkének (2) bekezdésével összhangban a mentelmi jog nem a képviselők személyes kiváltsága, hanem a teljes </w:t>
      </w:r>
      <w:r w:rsidR="00514B18" w:rsidRPr="00514B18">
        <w:t xml:space="preserve">Európai </w:t>
      </w:r>
      <w:r w:rsidR="004A2008" w:rsidRPr="00514B18">
        <w:t>Parlament és az egyes képviselők függetlenségének biztosítéka;</w:t>
      </w:r>
    </w:p>
    <w:p w14:paraId="7E6B7ECA" w14:textId="26B3CB21" w:rsidR="001332F2" w:rsidRPr="00514B18" w:rsidRDefault="004A2008" w:rsidP="004244F2">
      <w:pPr>
        <w:pStyle w:val="NormalHanging12a"/>
        <w:widowControl/>
      </w:pPr>
      <w:r w:rsidRPr="00514B18">
        <w:t>H.</w:t>
      </w:r>
      <w:r w:rsidRPr="00514B18">
        <w:tab/>
      </w:r>
      <w:r w:rsidR="001332F2" w:rsidRPr="00514B18">
        <w:t xml:space="preserve">mivel </w:t>
      </w:r>
      <w:r w:rsidR="00715B3C" w:rsidRPr="00514B18">
        <w:t xml:space="preserve">az Európai Unió kiváltságairól és mentességeiről szóló 7. jegyzőkönyvben foglalt </w:t>
      </w:r>
      <w:r w:rsidR="001332F2" w:rsidRPr="00514B18">
        <w:t xml:space="preserve">mentelmi jog célja a Parlament és képviselői megóvása a parlamenti megbízatás </w:t>
      </w:r>
      <w:r w:rsidR="001332F2" w:rsidRPr="00514B18">
        <w:lastRenderedPageBreak/>
        <w:t>teljesítése során végzett és e megbízatástól elválaszthatatlan tevékenységekkel összefüggésben velük szemben kezdeményezett bírósági eljárásoktól;</w:t>
      </w:r>
    </w:p>
    <w:p w14:paraId="0828F85C" w14:textId="5A84867B" w:rsidR="001332F2" w:rsidRPr="00514B18" w:rsidRDefault="001332F2" w:rsidP="004244F2">
      <w:pPr>
        <w:pStyle w:val="NormalHanging12a"/>
        <w:widowControl/>
      </w:pPr>
      <w:r w:rsidRPr="00514B18">
        <w:t>I.</w:t>
      </w:r>
      <w:r w:rsidRPr="00514B18">
        <w:tab/>
        <w:t>mivel az Európai Unió Bíróságának ítélkezési gyakorlata szerint „a Parlament igen széles körű mérlegelési jogkörrel bír a mentelmi jog felfüggesztésére vagy fenntartására irányuló kérelmet követő határozat tartalmát illetően, azon politikai jelleg folytán, amellyel az ilyen határozat rendelkezik”</w:t>
      </w:r>
      <w:r w:rsidRPr="00514B18">
        <w:rPr>
          <w:vertAlign w:val="superscript"/>
        </w:rPr>
        <w:footnoteReference w:id="2"/>
      </w:r>
      <w:r w:rsidRPr="00514B18">
        <w:t>;</w:t>
      </w:r>
    </w:p>
    <w:p w14:paraId="26CCA7A2" w14:textId="5EDB65CA" w:rsidR="001332F2" w:rsidRPr="00514B18" w:rsidRDefault="001332F2" w:rsidP="004244F2">
      <w:pPr>
        <w:pStyle w:val="NormalHanging12a"/>
        <w:widowControl/>
      </w:pPr>
      <w:r w:rsidRPr="00514B18">
        <w:t>J.</w:t>
      </w:r>
      <w:r w:rsidRPr="00514B18">
        <w:tab/>
        <w:t>mivel Magyar Péter a Tisza Párt (Tisztelet és Szabadság Párt) elnöke, és a 2024-es európai választásokon a párt listavezetője volt;</w:t>
      </w:r>
      <w:r w:rsidRPr="00514B18">
        <w:rPr>
          <w:rStyle w:val="doceo-font-family-base"/>
          <w:color w:val="1E1E1F"/>
        </w:rPr>
        <w:t xml:space="preserve"> </w:t>
      </w:r>
      <w:r w:rsidRPr="00514B18">
        <w:t xml:space="preserve">mivel a „Mi Hazánk Mozgalom” nevű politikai mozgalom szintén részt vett a 2024-es európai választásokon, és ezért </w:t>
      </w:r>
      <w:r w:rsidRPr="00514B18">
        <w:rPr>
          <w:rStyle w:val="doceo-font-family-base"/>
          <w:color w:val="1E1E1F"/>
        </w:rPr>
        <w:t>Magyar Péter</w:t>
      </w:r>
      <w:r w:rsidRPr="00514B18">
        <w:t xml:space="preserve"> közvetlen politikai ellenfelének tekinthető; mivel a politikai ellenfelek a politikai vitában általában fokozottabb kritikáknak és polémiáknak vannak kitéve, mint bármely olyan polgár, aki politikailag nem aktív;</w:t>
      </w:r>
      <w:r w:rsidRPr="00514B18">
        <w:rPr>
          <w:rStyle w:val="doceo-font-family-base"/>
          <w:color w:val="1E1E1F"/>
        </w:rPr>
        <w:t xml:space="preserve"> mivel úgy tűnik, hogy a magyar jog szerint a rágalmazással kapcsolatos követelések mind </w:t>
      </w:r>
      <w:r w:rsidR="00715B3C" w:rsidRPr="00514B18">
        <w:rPr>
          <w:rStyle w:val="doceo-font-family-base"/>
          <w:color w:val="1E1E1F"/>
        </w:rPr>
        <w:t>a büntetőjog</w:t>
      </w:r>
      <w:r w:rsidRPr="00514B18">
        <w:rPr>
          <w:rStyle w:val="doceo-font-family-base"/>
          <w:color w:val="1E1E1F"/>
        </w:rPr>
        <w:t xml:space="preserve">, mind </w:t>
      </w:r>
      <w:r w:rsidR="00715B3C" w:rsidRPr="00514B18">
        <w:rPr>
          <w:rStyle w:val="doceo-font-family-base"/>
          <w:color w:val="1E1E1F"/>
        </w:rPr>
        <w:t xml:space="preserve">a </w:t>
      </w:r>
      <w:r w:rsidRPr="00514B18">
        <w:rPr>
          <w:rStyle w:val="doceo-font-family-base"/>
          <w:color w:val="1E1E1F"/>
        </w:rPr>
        <w:t xml:space="preserve">polgári </w:t>
      </w:r>
      <w:r w:rsidR="00715B3C" w:rsidRPr="00514B18">
        <w:rPr>
          <w:rStyle w:val="doceo-font-family-base"/>
          <w:color w:val="1E1E1F"/>
        </w:rPr>
        <w:t>jo</w:t>
      </w:r>
      <w:r w:rsidR="00000AA5" w:rsidRPr="00514B18">
        <w:rPr>
          <w:rStyle w:val="doceo-font-family-base"/>
          <w:color w:val="1E1E1F"/>
        </w:rPr>
        <w:t>g</w:t>
      </w:r>
      <w:r w:rsidR="00715B3C" w:rsidRPr="00514B18">
        <w:rPr>
          <w:rStyle w:val="doceo-font-family-base"/>
          <w:color w:val="1E1E1F"/>
        </w:rPr>
        <w:t xml:space="preserve"> alapján</w:t>
      </w:r>
      <w:r w:rsidRPr="00514B18">
        <w:rPr>
          <w:rStyle w:val="doceo-font-family-base"/>
          <w:color w:val="1E1E1F"/>
        </w:rPr>
        <w:t xml:space="preserve"> érvényesíthetők, jelentős különbségekkel a lehetséges jogkövetkezmények tekintetében, beleértve a szabadságvesztés büntetést is; mivel az, hogy a jelen ügyben büntetőeljárás megindítása mellett döntöttek, kétséget ébreszt az eljárás célja tekintetében, amely túlmutathat az állítólagos sérelem orvoslásának jogos célján, és felveti annak lehetőségét, hogy e jogos célon túlmutatva az eljárás valójában Magyar Péter mint európai parlamenti képviselő hírnevének megsértésére irányul</w:t>
      </w:r>
      <w:r w:rsidRPr="00514B18">
        <w:t>;</w:t>
      </w:r>
    </w:p>
    <w:p w14:paraId="1447ACE6" w14:textId="21DCE820" w:rsidR="001332F2" w:rsidRPr="00514B18" w:rsidRDefault="001332F2" w:rsidP="004244F2">
      <w:pPr>
        <w:pStyle w:val="doceo-line-height-base"/>
        <w:shd w:val="clear" w:color="auto" w:fill="FFFFFF"/>
        <w:spacing w:before="0" w:beforeAutospacing="0" w:after="240" w:afterAutospacing="0"/>
        <w:ind w:left="567" w:hanging="567"/>
        <w:rPr>
          <w:rFonts w:ascii="Helvetica" w:hAnsi="Helvetica"/>
          <w:color w:val="1E1E1F"/>
        </w:rPr>
      </w:pPr>
      <w:r w:rsidRPr="00514B18">
        <w:rPr>
          <w:rStyle w:val="doceo-font-family-base"/>
          <w:color w:val="1E1E1F"/>
        </w:rPr>
        <w:t>K.</w:t>
      </w:r>
      <w:r w:rsidRPr="00514B18">
        <w:rPr>
          <w:rStyle w:val="doceo-font-family-base"/>
          <w:color w:val="1E1E1F"/>
        </w:rPr>
        <w:tab/>
        <w:t xml:space="preserve">mivel a fentiekben ismertetett tényezők komoly </w:t>
      </w:r>
      <w:r w:rsidR="00514B18" w:rsidRPr="00514B18">
        <w:rPr>
          <w:rStyle w:val="doceo-font-family-base"/>
          <w:color w:val="1E1E1F"/>
        </w:rPr>
        <w:t>aggodalmat</w:t>
      </w:r>
      <w:r w:rsidR="00514B18" w:rsidRPr="00514B18">
        <w:rPr>
          <w:rStyle w:val="doceo-font-family-base"/>
          <w:color w:val="1E1E1F"/>
        </w:rPr>
        <w:t xml:space="preserve"> </w:t>
      </w:r>
      <w:r w:rsidRPr="00514B18">
        <w:rPr>
          <w:rStyle w:val="doceo-font-family-base"/>
          <w:color w:val="1E1E1F"/>
        </w:rPr>
        <w:t>ébresztenek Magyar Péter politikai tevékenységének</w:t>
      </w:r>
      <w:r w:rsidRPr="00514B18">
        <w:t xml:space="preserve">, </w:t>
      </w:r>
      <w:r w:rsidRPr="00514B18">
        <w:rPr>
          <w:rStyle w:val="doceo-font-family-base"/>
          <w:color w:val="1E1E1F"/>
        </w:rPr>
        <w:t>és így többek között európai parlamenti képviselői tevékenységének aláásására irányuló esetleges szándékot illetően;</w:t>
      </w:r>
    </w:p>
    <w:p w14:paraId="1CC0AC21" w14:textId="32C1E320" w:rsidR="001332F2" w:rsidRPr="00514B18" w:rsidRDefault="001332F2" w:rsidP="004244F2">
      <w:pPr>
        <w:pStyle w:val="doceo-line-height-base"/>
        <w:shd w:val="clear" w:color="auto" w:fill="FFFFFF"/>
        <w:spacing w:before="0" w:beforeAutospacing="0" w:after="240" w:afterAutospacing="0"/>
        <w:ind w:left="567" w:hanging="567"/>
        <w:rPr>
          <w:rFonts w:ascii="Helvetica" w:hAnsi="Helvetica"/>
          <w:color w:val="1E1E1F"/>
        </w:rPr>
      </w:pPr>
      <w:r w:rsidRPr="00514B18">
        <w:rPr>
          <w:rStyle w:val="doceo-font-family-base"/>
          <w:color w:val="1E1E1F"/>
        </w:rPr>
        <w:t>L.</w:t>
      </w:r>
      <w:r w:rsidRPr="00514B18">
        <w:rPr>
          <w:rStyle w:val="doceo-font-family-base"/>
          <w:rFonts w:ascii="Helvetica" w:hAnsi="Helvetica"/>
          <w:color w:val="1E1E1F"/>
        </w:rPr>
        <w:tab/>
      </w:r>
      <w:r w:rsidRPr="00514B18">
        <w:t xml:space="preserve">mivel ezért a jelek szerint olyan ügyről van szó, amelyben feltételezhető, hogy </w:t>
      </w:r>
      <w:proofErr w:type="spellStart"/>
      <w:r w:rsidRPr="00514B18">
        <w:rPr>
          <w:i/>
          <w:iCs/>
        </w:rPr>
        <w:t>fumus</w:t>
      </w:r>
      <w:proofErr w:type="spellEnd"/>
      <w:r w:rsidRPr="00514B18">
        <w:rPr>
          <w:i/>
          <w:iCs/>
        </w:rPr>
        <w:t xml:space="preserve"> </w:t>
      </w:r>
      <w:proofErr w:type="spellStart"/>
      <w:r w:rsidRPr="00514B18">
        <w:rPr>
          <w:i/>
          <w:iCs/>
        </w:rPr>
        <w:t>persecutionis</w:t>
      </w:r>
      <w:proofErr w:type="spellEnd"/>
      <w:r w:rsidRPr="00514B18">
        <w:t xml:space="preserve"> áll fenn, vagyis „konkrét bizonyítékok”</w:t>
      </w:r>
      <w:r w:rsidRPr="00514B18">
        <w:rPr>
          <w:rStyle w:val="FootnoteReference"/>
          <w:color w:val="1E1E1F"/>
        </w:rPr>
        <w:footnoteReference w:id="3"/>
      </w:r>
      <w:r w:rsidRPr="00514B18">
        <w:t xml:space="preserve"> utalnak arra, hogy a szóban forgó bírósági eljárást azzal a szándékkal indították, hogy a mentelmi jog felfüggesztésére irányuló kérelemmel aláássák Magyar Péter politikai tevékenységét akkor, amikor a 2024</w:t>
      </w:r>
      <w:r w:rsidR="00E847A8" w:rsidRPr="00514B18">
        <w:t>-es</w:t>
      </w:r>
      <w:r w:rsidRPr="00514B18">
        <w:t xml:space="preserve"> európai választásokon politikai pártjának listavezetőjeként indul;</w:t>
      </w:r>
    </w:p>
    <w:p w14:paraId="269826C9" w14:textId="77777777" w:rsidR="001332F2" w:rsidRPr="00514B18" w:rsidRDefault="001332F2" w:rsidP="004244F2">
      <w:pPr>
        <w:pStyle w:val="NormalHanging12a"/>
        <w:widowControl/>
      </w:pPr>
      <w:r w:rsidRPr="00514B18">
        <w:t>M.</w:t>
      </w:r>
      <w:r w:rsidRPr="00514B18">
        <w:tab/>
        <w:t>mivel egyrészről a Parlament nem töltheti be bíróság szerepét, másrészről pedig a mentelmi jog felfüggesztésére irányuló eljárásban az érintett képviselő nem tekinthető vádlottnak</w:t>
      </w:r>
      <w:r w:rsidRPr="00514B18">
        <w:rPr>
          <w:vertAlign w:val="superscript"/>
        </w:rPr>
        <w:footnoteReference w:id="4"/>
      </w:r>
      <w:r w:rsidRPr="00514B18">
        <w:t>;</w:t>
      </w:r>
    </w:p>
    <w:p w14:paraId="3614BAB9" w14:textId="77777777" w:rsidR="001332F2" w:rsidRPr="00514B18" w:rsidRDefault="001332F2" w:rsidP="004244F2">
      <w:pPr>
        <w:pStyle w:val="NormalHanging12a"/>
        <w:widowControl/>
      </w:pPr>
      <w:r w:rsidRPr="00514B18">
        <w:t>1.</w:t>
      </w:r>
      <w:r w:rsidRPr="00514B18">
        <w:tab/>
        <w:t>úgy határoz, hogy nem függeszti fel Magyar Péter mentelmi jogát;</w:t>
      </w:r>
    </w:p>
    <w:p w14:paraId="050F03E7" w14:textId="533311C0" w:rsidR="00E365E1" w:rsidRPr="00514B18" w:rsidRDefault="001332F2" w:rsidP="004244F2">
      <w:pPr>
        <w:widowControl/>
        <w:spacing w:after="240"/>
        <w:ind w:left="567" w:hanging="567"/>
      </w:pPr>
      <w:r w:rsidRPr="00514B18">
        <w:t>2.</w:t>
      </w:r>
      <w:r w:rsidRPr="00514B18">
        <w:tab/>
        <w:t>utasítja elnökét, hogy haladéktalanul továbbítsa ezt a határozatot és az illetékes bizottság jelentését Magyarország illetékes hatóság</w:t>
      </w:r>
      <w:r w:rsidR="00E847A8" w:rsidRPr="00514B18">
        <w:t>á</w:t>
      </w:r>
      <w:r w:rsidRPr="00514B18">
        <w:t>nak és Magyar Péternek.</w:t>
      </w:r>
    </w:p>
    <w:sectPr w:rsidR="00E365E1" w:rsidRPr="00514B18" w:rsidSect="00F26A9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C685D" w14:textId="77777777" w:rsidR="001E6D21" w:rsidRPr="00F26A9C" w:rsidRDefault="001E6D21">
      <w:r w:rsidRPr="00F26A9C">
        <w:separator/>
      </w:r>
    </w:p>
  </w:endnote>
  <w:endnote w:type="continuationSeparator" w:id="0">
    <w:p w14:paraId="2B7AF82B" w14:textId="77777777" w:rsidR="001E6D21" w:rsidRPr="00F26A9C" w:rsidRDefault="001E6D21">
      <w:r w:rsidRPr="00F26A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78337" w14:textId="77777777" w:rsidR="00064002" w:rsidRPr="00F26A9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30EDA" w14:textId="77777777" w:rsidR="00064002" w:rsidRPr="00F26A9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D987D" w14:textId="77777777" w:rsidR="00064002" w:rsidRPr="00F26A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F39AD" w14:textId="77777777" w:rsidR="001E6D21" w:rsidRPr="00F26A9C" w:rsidRDefault="001E6D21">
      <w:r w:rsidRPr="00F26A9C">
        <w:separator/>
      </w:r>
    </w:p>
  </w:footnote>
  <w:footnote w:type="continuationSeparator" w:id="0">
    <w:p w14:paraId="5AE9DC5B" w14:textId="77777777" w:rsidR="001E6D21" w:rsidRPr="00F26A9C" w:rsidRDefault="001E6D21">
      <w:r w:rsidRPr="00F26A9C">
        <w:continuationSeparator/>
      </w:r>
    </w:p>
  </w:footnote>
  <w:footnote w:id="1">
    <w:p w14:paraId="048A1953" w14:textId="4306EDA9" w:rsidR="001332F2" w:rsidRPr="00F26A9C" w:rsidRDefault="001332F2" w:rsidP="00F26A9C">
      <w:pPr>
        <w:pStyle w:val="FootnoteText"/>
        <w:ind w:left="567" w:hanging="567"/>
        <w:rPr>
          <w:sz w:val="24"/>
          <w:lang w:val="hu-HU"/>
        </w:rPr>
      </w:pPr>
      <w:r w:rsidRPr="00F26A9C">
        <w:rPr>
          <w:rStyle w:val="FootnoteReference"/>
          <w:sz w:val="24"/>
          <w:lang w:val="hu-HU"/>
        </w:rPr>
        <w:footnoteRef/>
      </w:r>
      <w:r w:rsidR="00F26A9C" w:rsidRPr="00F26A9C">
        <w:rPr>
          <w:sz w:val="24"/>
          <w:lang w:val="hu-HU"/>
        </w:rPr>
        <w:t xml:space="preserve"> </w:t>
      </w:r>
      <w:r w:rsidR="00F26A9C" w:rsidRPr="00F26A9C">
        <w:rPr>
          <w:sz w:val="24"/>
          <w:lang w:val="hu-HU"/>
        </w:rPr>
        <w:tab/>
      </w:r>
      <w:r w:rsidRPr="00F26A9C">
        <w:rPr>
          <w:sz w:val="24"/>
          <w:lang w:val="hu-HU"/>
        </w:rPr>
        <w:t xml:space="preserve">A Bíróság 2008. október 21-i ítélete, Marra kontra De </w:t>
      </w:r>
      <w:proofErr w:type="spellStart"/>
      <w:r w:rsidRPr="00F26A9C">
        <w:rPr>
          <w:sz w:val="24"/>
          <w:lang w:val="hu-HU"/>
        </w:rPr>
        <w:t>Gregorio</w:t>
      </w:r>
      <w:proofErr w:type="spellEnd"/>
      <w:r w:rsidRPr="00F26A9C">
        <w:rPr>
          <w:sz w:val="24"/>
          <w:lang w:val="hu-HU"/>
        </w:rPr>
        <w:t xml:space="preserve"> és </w:t>
      </w:r>
      <w:proofErr w:type="spellStart"/>
      <w:r w:rsidRPr="00F26A9C">
        <w:rPr>
          <w:sz w:val="24"/>
          <w:lang w:val="hu-HU"/>
        </w:rPr>
        <w:t>Clemente</w:t>
      </w:r>
      <w:proofErr w:type="spellEnd"/>
      <w:r w:rsidRPr="00F26A9C">
        <w:rPr>
          <w:sz w:val="24"/>
          <w:lang w:val="hu-HU"/>
        </w:rPr>
        <w:t xml:space="preserve">, C 200/07 és C-201/07, ECLI:EU:C:2008:579; a Törvényszék 2010. március 19-i ítélete, </w:t>
      </w:r>
      <w:proofErr w:type="spellStart"/>
      <w:r w:rsidRPr="00F26A9C">
        <w:rPr>
          <w:sz w:val="24"/>
          <w:lang w:val="hu-HU"/>
        </w:rPr>
        <w:t>Gollnisch</w:t>
      </w:r>
      <w:proofErr w:type="spellEnd"/>
      <w:r w:rsidRPr="00F26A9C">
        <w:rPr>
          <w:sz w:val="24"/>
          <w:lang w:val="hu-HU"/>
        </w:rPr>
        <w:t xml:space="preserve"> kontra Európai Parlament, T-42/06, ECLI:EU:T:2010:102; a Bíróság 2011. szeptember 6-i ítélete, </w:t>
      </w:r>
      <w:proofErr w:type="spellStart"/>
      <w:r w:rsidRPr="00F26A9C">
        <w:rPr>
          <w:sz w:val="24"/>
          <w:lang w:val="hu-HU"/>
        </w:rPr>
        <w:t>Patriciello</w:t>
      </w:r>
      <w:proofErr w:type="spellEnd"/>
      <w:r w:rsidRPr="00F26A9C">
        <w:rPr>
          <w:sz w:val="24"/>
          <w:lang w:val="hu-HU"/>
        </w:rPr>
        <w:t xml:space="preserve">, C 163/10, ECLI:EU:C:2011:543; a Törvényszék 2013. január 17-i ítélete, </w:t>
      </w:r>
      <w:proofErr w:type="spellStart"/>
      <w:r w:rsidRPr="00F26A9C">
        <w:rPr>
          <w:sz w:val="24"/>
          <w:lang w:val="hu-HU"/>
        </w:rPr>
        <w:t>Gollnisch</w:t>
      </w:r>
      <w:proofErr w:type="spellEnd"/>
      <w:r w:rsidRPr="00F26A9C">
        <w:rPr>
          <w:sz w:val="24"/>
          <w:lang w:val="hu-HU"/>
        </w:rPr>
        <w:t xml:space="preserve"> kontra Parlament, T-346/11 és T-347/11, ECLI:EU:T:2013:23; a Bíróság 2019. december 19-i ítélete, </w:t>
      </w:r>
      <w:proofErr w:type="spellStart"/>
      <w:r w:rsidRPr="00F26A9C">
        <w:rPr>
          <w:sz w:val="24"/>
          <w:lang w:val="hu-HU"/>
        </w:rPr>
        <w:t>Junqueras</w:t>
      </w:r>
      <w:proofErr w:type="spellEnd"/>
      <w:r w:rsidRPr="00F26A9C">
        <w:rPr>
          <w:sz w:val="24"/>
          <w:lang w:val="hu-HU"/>
        </w:rPr>
        <w:t xml:space="preserve"> </w:t>
      </w:r>
      <w:proofErr w:type="spellStart"/>
      <w:r w:rsidRPr="00F26A9C">
        <w:rPr>
          <w:sz w:val="24"/>
          <w:lang w:val="hu-HU"/>
        </w:rPr>
        <w:t>Vies</w:t>
      </w:r>
      <w:proofErr w:type="spellEnd"/>
      <w:r w:rsidRPr="00F26A9C">
        <w:rPr>
          <w:sz w:val="24"/>
          <w:lang w:val="hu-HU"/>
        </w:rPr>
        <w:t xml:space="preserve">, C-502/19, ECLI:EU:C:2019:1115; a Törvényszék 2023. július 5-i ítélete, </w:t>
      </w:r>
      <w:proofErr w:type="spellStart"/>
      <w:r w:rsidRPr="00F26A9C">
        <w:rPr>
          <w:sz w:val="24"/>
          <w:lang w:val="hu-HU"/>
        </w:rPr>
        <w:t>Puigdemont</w:t>
      </w:r>
      <w:proofErr w:type="spellEnd"/>
      <w:r w:rsidRPr="00F26A9C">
        <w:rPr>
          <w:sz w:val="24"/>
          <w:lang w:val="hu-HU"/>
        </w:rPr>
        <w:t xml:space="preserve"> i </w:t>
      </w:r>
      <w:proofErr w:type="spellStart"/>
      <w:r w:rsidRPr="00F26A9C">
        <w:rPr>
          <w:sz w:val="24"/>
          <w:lang w:val="hu-HU"/>
        </w:rPr>
        <w:t>Casamajó</w:t>
      </w:r>
      <w:proofErr w:type="spellEnd"/>
      <w:r w:rsidRPr="00F26A9C">
        <w:rPr>
          <w:sz w:val="24"/>
          <w:lang w:val="hu-HU"/>
        </w:rPr>
        <w:t xml:space="preserve"> és társai kontra Parlament, T-272/21, ECLI:EU:T:2023:373.</w:t>
      </w:r>
    </w:p>
  </w:footnote>
  <w:footnote w:id="2">
    <w:p w14:paraId="40FA3D0D" w14:textId="31565121" w:rsidR="001332F2" w:rsidRPr="00F26A9C" w:rsidRDefault="001332F2" w:rsidP="00F26A9C">
      <w:pPr>
        <w:pStyle w:val="FootnoteText"/>
        <w:ind w:left="567" w:hanging="567"/>
        <w:rPr>
          <w:sz w:val="24"/>
          <w:lang w:val="hu-HU"/>
        </w:rPr>
      </w:pPr>
      <w:r w:rsidRPr="00F26A9C">
        <w:rPr>
          <w:rStyle w:val="FootnoteReference"/>
          <w:sz w:val="24"/>
          <w:lang w:val="hu-HU"/>
        </w:rPr>
        <w:footnoteRef/>
      </w:r>
      <w:r w:rsidR="00F26A9C" w:rsidRPr="00F26A9C">
        <w:rPr>
          <w:sz w:val="24"/>
          <w:lang w:val="hu-HU"/>
        </w:rPr>
        <w:t xml:space="preserve"> </w:t>
      </w:r>
      <w:r w:rsidR="00F26A9C" w:rsidRPr="00F26A9C">
        <w:rPr>
          <w:sz w:val="24"/>
          <w:lang w:val="hu-HU"/>
        </w:rPr>
        <w:tab/>
      </w:r>
      <w:r w:rsidRPr="00F26A9C">
        <w:rPr>
          <w:sz w:val="24"/>
          <w:lang w:val="hu-HU"/>
        </w:rPr>
        <w:t xml:space="preserve">A Törvényszék 2013. január 17-i </w:t>
      </w:r>
      <w:proofErr w:type="spellStart"/>
      <w:r w:rsidRPr="00F26A9C">
        <w:rPr>
          <w:sz w:val="24"/>
          <w:lang w:val="hu-HU"/>
        </w:rPr>
        <w:t>Gollnisch</w:t>
      </w:r>
      <w:proofErr w:type="spellEnd"/>
      <w:r w:rsidRPr="00F26A9C">
        <w:rPr>
          <w:sz w:val="24"/>
          <w:lang w:val="hu-HU"/>
        </w:rPr>
        <w:t xml:space="preserve"> kontra Európai Parlament ítélete, T-346/11 és T-347/11, ECLI:</w:t>
      </w:r>
      <w:proofErr w:type="gramStart"/>
      <w:r w:rsidRPr="00F26A9C">
        <w:rPr>
          <w:sz w:val="24"/>
          <w:lang w:val="hu-HU"/>
        </w:rPr>
        <w:t>EU:T</w:t>
      </w:r>
      <w:proofErr w:type="gramEnd"/>
      <w:r w:rsidRPr="00F26A9C">
        <w:rPr>
          <w:sz w:val="24"/>
          <w:lang w:val="hu-HU"/>
        </w:rPr>
        <w:t>:2013:23, 59. pont és az ott hivatkozott ítélkezési gyakorlat.</w:t>
      </w:r>
    </w:p>
  </w:footnote>
  <w:footnote w:id="3">
    <w:p w14:paraId="5B04E287" w14:textId="766F9BB1" w:rsidR="001332F2" w:rsidRPr="00F26A9C" w:rsidRDefault="001332F2" w:rsidP="00F26A9C">
      <w:pPr>
        <w:pStyle w:val="FootnoteText"/>
        <w:ind w:left="567" w:hanging="567"/>
        <w:rPr>
          <w:sz w:val="24"/>
          <w:lang w:val="hu-HU"/>
        </w:rPr>
      </w:pPr>
      <w:r w:rsidRPr="00F26A9C">
        <w:rPr>
          <w:rStyle w:val="FootnoteReference"/>
          <w:sz w:val="24"/>
          <w:lang w:val="hu-HU"/>
        </w:rPr>
        <w:footnoteRef/>
      </w:r>
      <w:r w:rsidR="00F26A9C" w:rsidRPr="00F26A9C">
        <w:rPr>
          <w:sz w:val="24"/>
          <w:lang w:val="hu-HU"/>
        </w:rPr>
        <w:t xml:space="preserve"> </w:t>
      </w:r>
      <w:r w:rsidR="00F26A9C" w:rsidRPr="00F26A9C">
        <w:rPr>
          <w:sz w:val="24"/>
          <w:lang w:val="hu-HU"/>
        </w:rPr>
        <w:tab/>
      </w:r>
      <w:r w:rsidRPr="00F26A9C">
        <w:rPr>
          <w:sz w:val="24"/>
          <w:lang w:val="hu-HU"/>
        </w:rPr>
        <w:t xml:space="preserve">A Bíróság 2020. szeptember 17-i </w:t>
      </w:r>
      <w:proofErr w:type="spellStart"/>
      <w:r w:rsidRPr="00F26A9C">
        <w:rPr>
          <w:sz w:val="24"/>
          <w:lang w:val="hu-HU"/>
        </w:rPr>
        <w:t>Troszczynski</w:t>
      </w:r>
      <w:proofErr w:type="spellEnd"/>
      <w:r w:rsidRPr="00F26A9C">
        <w:rPr>
          <w:sz w:val="24"/>
          <w:lang w:val="hu-HU"/>
        </w:rPr>
        <w:t xml:space="preserve"> kontra Európai Parlament ítélete, C-12/19, ECLI:EU:C:2020:725, 26. pont.</w:t>
      </w:r>
    </w:p>
  </w:footnote>
  <w:footnote w:id="4">
    <w:p w14:paraId="657347D5" w14:textId="5AD1F140" w:rsidR="001332F2" w:rsidRPr="00F26A9C" w:rsidRDefault="001332F2" w:rsidP="00F26A9C">
      <w:pPr>
        <w:pStyle w:val="FootnoteText"/>
        <w:ind w:left="567" w:hanging="567"/>
        <w:rPr>
          <w:sz w:val="24"/>
          <w:lang w:val="hu-HU"/>
        </w:rPr>
      </w:pPr>
      <w:r w:rsidRPr="00F26A9C">
        <w:rPr>
          <w:rStyle w:val="FootnoteReference"/>
          <w:sz w:val="24"/>
          <w:lang w:val="hu-HU"/>
        </w:rPr>
        <w:footnoteRef/>
      </w:r>
      <w:r w:rsidR="00F26A9C" w:rsidRPr="00F26A9C">
        <w:rPr>
          <w:sz w:val="24"/>
          <w:lang w:val="hu-HU"/>
        </w:rPr>
        <w:t xml:space="preserve"> </w:t>
      </w:r>
      <w:r w:rsidR="00F26A9C" w:rsidRPr="00F26A9C">
        <w:rPr>
          <w:sz w:val="24"/>
          <w:lang w:val="hu-HU"/>
        </w:rPr>
        <w:tab/>
      </w:r>
      <w:r w:rsidRPr="00F26A9C">
        <w:rPr>
          <w:sz w:val="24"/>
          <w:lang w:val="hu-HU"/>
        </w:rPr>
        <w:t xml:space="preserve">A Törvényszék 2019. április 30-i ítélete, </w:t>
      </w:r>
      <w:proofErr w:type="spellStart"/>
      <w:r w:rsidRPr="00F26A9C">
        <w:rPr>
          <w:sz w:val="24"/>
          <w:lang w:val="hu-HU"/>
        </w:rPr>
        <w:t>Briois</w:t>
      </w:r>
      <w:proofErr w:type="spellEnd"/>
      <w:r w:rsidRPr="00F26A9C">
        <w:rPr>
          <w:sz w:val="24"/>
          <w:lang w:val="hu-HU"/>
        </w:rPr>
        <w:t xml:space="preserve"> kontra Európai Parlament, T-214/18, ECLI:</w:t>
      </w:r>
      <w:proofErr w:type="gramStart"/>
      <w:r w:rsidRPr="00F26A9C">
        <w:rPr>
          <w:sz w:val="24"/>
          <w:lang w:val="hu-HU"/>
        </w:rPr>
        <w:t>EU:T</w:t>
      </w:r>
      <w:proofErr w:type="gramEnd"/>
      <w:r w:rsidRPr="00F26A9C">
        <w:rPr>
          <w:sz w:val="24"/>
          <w:lang w:val="hu-HU"/>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F905F" w14:textId="77777777" w:rsidR="00064002" w:rsidRPr="00F26A9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435FA" w14:textId="77777777" w:rsidR="00064002" w:rsidRPr="00F26A9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89A03" w14:textId="77777777" w:rsidR="00064002" w:rsidRPr="00F26A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5974791">
    <w:abstractNumId w:val="9"/>
  </w:num>
  <w:num w:numId="2" w16cid:durableId="1466192346">
    <w:abstractNumId w:val="9"/>
  </w:num>
  <w:num w:numId="3" w16cid:durableId="912735478">
    <w:abstractNumId w:val="7"/>
  </w:num>
  <w:num w:numId="4" w16cid:durableId="1036277092">
    <w:abstractNumId w:val="7"/>
  </w:num>
  <w:num w:numId="5" w16cid:durableId="1955358538">
    <w:abstractNumId w:val="6"/>
  </w:num>
  <w:num w:numId="6" w16cid:durableId="1313368740">
    <w:abstractNumId w:val="6"/>
  </w:num>
  <w:num w:numId="7" w16cid:durableId="1100681938">
    <w:abstractNumId w:val="5"/>
  </w:num>
  <w:num w:numId="8" w16cid:durableId="1965118444">
    <w:abstractNumId w:val="5"/>
  </w:num>
  <w:num w:numId="9" w16cid:durableId="1093431982">
    <w:abstractNumId w:val="4"/>
  </w:num>
  <w:num w:numId="10" w16cid:durableId="1216427094">
    <w:abstractNumId w:val="4"/>
  </w:num>
  <w:num w:numId="11" w16cid:durableId="2028216090">
    <w:abstractNumId w:val="8"/>
  </w:num>
  <w:num w:numId="12" w16cid:durableId="1021123380">
    <w:abstractNumId w:val="8"/>
  </w:num>
  <w:num w:numId="13" w16cid:durableId="1318533507">
    <w:abstractNumId w:val="3"/>
  </w:num>
  <w:num w:numId="14" w16cid:durableId="1544370253">
    <w:abstractNumId w:val="3"/>
  </w:num>
  <w:num w:numId="15" w16cid:durableId="219751354">
    <w:abstractNumId w:val="2"/>
  </w:num>
  <w:num w:numId="16" w16cid:durableId="77217267">
    <w:abstractNumId w:val="2"/>
  </w:num>
  <w:num w:numId="17" w16cid:durableId="646590819">
    <w:abstractNumId w:val="1"/>
  </w:num>
  <w:num w:numId="18" w16cid:durableId="1172069882">
    <w:abstractNumId w:val="1"/>
  </w:num>
  <w:num w:numId="19" w16cid:durableId="1638416768">
    <w:abstractNumId w:val="0"/>
  </w:num>
  <w:num w:numId="20" w16cid:durableId="458913346">
    <w:abstractNumId w:val="0"/>
  </w:num>
  <w:num w:numId="21" w16cid:durableId="116722175">
    <w:abstractNumId w:val="9"/>
  </w:num>
  <w:num w:numId="22" w16cid:durableId="443428620">
    <w:abstractNumId w:val="7"/>
  </w:num>
  <w:num w:numId="23" w16cid:durableId="1926844509">
    <w:abstractNumId w:val="6"/>
  </w:num>
  <w:num w:numId="24" w16cid:durableId="596062643">
    <w:abstractNumId w:val="5"/>
  </w:num>
  <w:num w:numId="25" w16cid:durableId="905800856">
    <w:abstractNumId w:val="4"/>
  </w:num>
  <w:num w:numId="26" w16cid:durableId="1539199068">
    <w:abstractNumId w:val="8"/>
  </w:num>
  <w:num w:numId="27" w16cid:durableId="122038158">
    <w:abstractNumId w:val="3"/>
  </w:num>
  <w:num w:numId="28" w16cid:durableId="304822493">
    <w:abstractNumId w:val="2"/>
  </w:num>
  <w:num w:numId="29" w16cid:durableId="498237261">
    <w:abstractNumId w:val="1"/>
  </w:num>
  <w:num w:numId="30" w16cid:durableId="1246839007">
    <w:abstractNumId w:val="0"/>
  </w:num>
  <w:num w:numId="31" w16cid:durableId="293678530">
    <w:abstractNumId w:val="9"/>
  </w:num>
  <w:num w:numId="32" w16cid:durableId="1799450845">
    <w:abstractNumId w:val="7"/>
  </w:num>
  <w:num w:numId="33" w16cid:durableId="449478403">
    <w:abstractNumId w:val="6"/>
  </w:num>
  <w:num w:numId="34" w16cid:durableId="1607812868">
    <w:abstractNumId w:val="5"/>
  </w:num>
  <w:num w:numId="35" w16cid:durableId="1626892210">
    <w:abstractNumId w:val="4"/>
  </w:num>
  <w:num w:numId="36" w16cid:durableId="797262836">
    <w:abstractNumId w:val="8"/>
  </w:num>
  <w:num w:numId="37" w16cid:durableId="1053508508">
    <w:abstractNumId w:val="3"/>
  </w:num>
  <w:num w:numId="38" w16cid:durableId="1107969054">
    <w:abstractNumId w:val="2"/>
  </w:num>
  <w:num w:numId="39" w16cid:durableId="319121460">
    <w:abstractNumId w:val="1"/>
  </w:num>
  <w:num w:numId="40" w16cid:durableId="1531648513">
    <w:abstractNumId w:val="0"/>
  </w:num>
  <w:num w:numId="41" w16cid:durableId="1296369227">
    <w:abstractNumId w:val="10"/>
  </w:num>
  <w:num w:numId="42" w16cid:durableId="474220956">
    <w:abstractNumId w:val="10"/>
  </w:num>
  <w:num w:numId="43" w16cid:durableId="741487722">
    <w:abstractNumId w:val="10"/>
  </w:num>
  <w:num w:numId="44" w16cid:durableId="9599212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2/2025"/>
    <w:docVar w:name="dvlangue" w:val="HU"/>
    <w:docVar w:name="dvnumam" w:val="0"/>
    <w:docVar w:name="dvpe" w:val="775.580"/>
    <w:docVar w:name="dvrapporteur" w:val="Előadó: "/>
    <w:docVar w:name="dvtitre" w:val="Az Európai Parlament 2025. október 7-i határozata a Magyar Péter mentelmi jogának felfüggesztésére irányuló kérelemről(2025/2096(IMM))"/>
  </w:docVars>
  <w:rsids>
    <w:rsidRoot w:val="001E6D21"/>
    <w:rsid w:val="00000AA5"/>
    <w:rsid w:val="00002272"/>
    <w:rsid w:val="0005415D"/>
    <w:rsid w:val="00064002"/>
    <w:rsid w:val="000677B9"/>
    <w:rsid w:val="000831BA"/>
    <w:rsid w:val="000A42CC"/>
    <w:rsid w:val="000E7DD9"/>
    <w:rsid w:val="0010095E"/>
    <w:rsid w:val="00125B37"/>
    <w:rsid w:val="001332F2"/>
    <w:rsid w:val="00187494"/>
    <w:rsid w:val="001E6D21"/>
    <w:rsid w:val="001F32AE"/>
    <w:rsid w:val="002767FF"/>
    <w:rsid w:val="0028727C"/>
    <w:rsid w:val="00291884"/>
    <w:rsid w:val="002B18FE"/>
    <w:rsid w:val="002B5493"/>
    <w:rsid w:val="00343214"/>
    <w:rsid w:val="00361C00"/>
    <w:rsid w:val="003804C8"/>
    <w:rsid w:val="00395FA1"/>
    <w:rsid w:val="003E15D4"/>
    <w:rsid w:val="00411CCE"/>
    <w:rsid w:val="0041666E"/>
    <w:rsid w:val="00421060"/>
    <w:rsid w:val="004244F2"/>
    <w:rsid w:val="00471C19"/>
    <w:rsid w:val="004867E3"/>
    <w:rsid w:val="00494A28"/>
    <w:rsid w:val="004A2008"/>
    <w:rsid w:val="004C0004"/>
    <w:rsid w:val="004C5D52"/>
    <w:rsid w:val="0050519A"/>
    <w:rsid w:val="005072A1"/>
    <w:rsid w:val="00514517"/>
    <w:rsid w:val="00514B18"/>
    <w:rsid w:val="00545827"/>
    <w:rsid w:val="00560270"/>
    <w:rsid w:val="005A489C"/>
    <w:rsid w:val="005C2568"/>
    <w:rsid w:val="005C63AA"/>
    <w:rsid w:val="005D5D05"/>
    <w:rsid w:val="005F1B17"/>
    <w:rsid w:val="005F59B9"/>
    <w:rsid w:val="006037C0"/>
    <w:rsid w:val="006631B6"/>
    <w:rsid w:val="00680577"/>
    <w:rsid w:val="006F74FA"/>
    <w:rsid w:val="0071018A"/>
    <w:rsid w:val="00715B3C"/>
    <w:rsid w:val="00731ADD"/>
    <w:rsid w:val="00734777"/>
    <w:rsid w:val="00746906"/>
    <w:rsid w:val="00747932"/>
    <w:rsid w:val="00751A4A"/>
    <w:rsid w:val="00756632"/>
    <w:rsid w:val="00762C74"/>
    <w:rsid w:val="00786EC0"/>
    <w:rsid w:val="007D1690"/>
    <w:rsid w:val="007E22AD"/>
    <w:rsid w:val="007F7DF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42E0"/>
    <w:rsid w:val="00C61C0C"/>
    <w:rsid w:val="00C941CB"/>
    <w:rsid w:val="00C95E90"/>
    <w:rsid w:val="00CC2357"/>
    <w:rsid w:val="00CF071A"/>
    <w:rsid w:val="00D058B8"/>
    <w:rsid w:val="00D56C11"/>
    <w:rsid w:val="00D834A0"/>
    <w:rsid w:val="00D872DF"/>
    <w:rsid w:val="00D91E21"/>
    <w:rsid w:val="00DA7FCD"/>
    <w:rsid w:val="00E23F12"/>
    <w:rsid w:val="00E365E1"/>
    <w:rsid w:val="00E820A4"/>
    <w:rsid w:val="00E847A8"/>
    <w:rsid w:val="00E92A46"/>
    <w:rsid w:val="00EB006A"/>
    <w:rsid w:val="00EB4772"/>
    <w:rsid w:val="00ED169E"/>
    <w:rsid w:val="00ED4235"/>
    <w:rsid w:val="00F04346"/>
    <w:rsid w:val="00F075DC"/>
    <w:rsid w:val="00F149E9"/>
    <w:rsid w:val="00F26A9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478F80"/>
  <w15:chartTrackingRefBased/>
  <w15:docId w15:val="{7A764C96-3940-4557-AF22-D86350416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332F2"/>
    <w:pPr>
      <w:spacing w:after="240"/>
      <w:ind w:left="567" w:hanging="567"/>
    </w:pPr>
  </w:style>
  <w:style w:type="paragraph" w:customStyle="1" w:styleId="EPComma">
    <w:name w:val="EPComma"/>
    <w:basedOn w:val="Normal"/>
    <w:rsid w:val="001332F2"/>
    <w:pPr>
      <w:spacing w:before="480" w:after="240"/>
    </w:pPr>
  </w:style>
  <w:style w:type="character" w:customStyle="1" w:styleId="doceo-font-family-base">
    <w:name w:val="doceo-font-family-base"/>
    <w:basedOn w:val="DefaultParagraphFont"/>
    <w:rsid w:val="001332F2"/>
  </w:style>
  <w:style w:type="paragraph" w:customStyle="1" w:styleId="doceo-line-height-base">
    <w:name w:val="doceo-line-height-base"/>
    <w:basedOn w:val="Normal"/>
    <w:rsid w:val="001332F2"/>
    <w:pPr>
      <w:widowControl/>
      <w:spacing w:before="100" w:beforeAutospacing="1" w:after="100" w:afterAutospacing="1"/>
    </w:pPr>
    <w:rPr>
      <w:szCs w:val="24"/>
    </w:rPr>
  </w:style>
  <w:style w:type="paragraph" w:styleId="Revision">
    <w:name w:val="Revision"/>
    <w:hidden/>
    <w:uiPriority w:val="99"/>
    <w:semiHidden/>
    <w:rsid w:val="004244F2"/>
    <w:rPr>
      <w:sz w:val="24"/>
      <w:lang w:val="hu-HU"/>
    </w:rPr>
  </w:style>
  <w:style w:type="character" w:styleId="CommentReference">
    <w:name w:val="annotation reference"/>
    <w:basedOn w:val="DefaultParagraphFont"/>
    <w:rsid w:val="00E23F12"/>
    <w:rPr>
      <w:sz w:val="16"/>
      <w:szCs w:val="16"/>
    </w:rPr>
  </w:style>
  <w:style w:type="paragraph" w:styleId="CommentText">
    <w:name w:val="annotation text"/>
    <w:basedOn w:val="Normal"/>
    <w:link w:val="CommentTextChar"/>
    <w:rsid w:val="00E23F12"/>
    <w:rPr>
      <w:sz w:val="20"/>
    </w:rPr>
  </w:style>
  <w:style w:type="character" w:customStyle="1" w:styleId="CommentTextChar">
    <w:name w:val="Comment Text Char"/>
    <w:basedOn w:val="DefaultParagraphFont"/>
    <w:link w:val="CommentText"/>
    <w:rsid w:val="00E23F12"/>
    <w:rPr>
      <w:lang w:val="hu-HU"/>
    </w:rPr>
  </w:style>
  <w:style w:type="paragraph" w:styleId="CommentSubject">
    <w:name w:val="annotation subject"/>
    <w:basedOn w:val="CommentText"/>
    <w:next w:val="CommentText"/>
    <w:link w:val="CommentSubjectChar"/>
    <w:rsid w:val="00E23F12"/>
    <w:rPr>
      <w:b/>
      <w:bCs/>
    </w:rPr>
  </w:style>
  <w:style w:type="character" w:customStyle="1" w:styleId="CommentSubjectChar">
    <w:name w:val="Comment Subject Char"/>
    <w:basedOn w:val="CommentTextChar"/>
    <w:link w:val="CommentSubject"/>
    <w:rsid w:val="00E23F12"/>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897</Words>
  <Characters>6311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2025-10-07T12:07:00Z</dcterms:created>
  <dcterms:modified xsi:type="dcterms:W3CDTF">2025-10-07T12:07:00Z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A10-0182/2025</vt:lpwstr>
  </property>
  <property fmtid="{D5CDD505-2E9C-101B-9397-08002B2CF9AE}" pid="4" name="&lt;Type&gt;">
    <vt:lpwstr>RR</vt:lpwstr>
  </property>
</Properties>
</file>