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305EE" w14:paraId="2298329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AE40DC" w14:textId="77777777" w:rsidR="00751A4A" w:rsidRPr="00A305EE" w:rsidRDefault="0065131C" w:rsidP="0010095E">
            <w:pPr>
              <w:pStyle w:val="EPName"/>
            </w:pPr>
            <w:r w:rsidRPr="00A305EE">
              <w:t>Parlamento europeo</w:t>
            </w:r>
          </w:p>
          <w:p w14:paraId="2AFAFB6F" w14:textId="77777777" w:rsidR="00751A4A" w:rsidRPr="00A305E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05EE">
              <w:t>2024</w:t>
            </w:r>
            <w:r w:rsidR="00817416" w:rsidRPr="00A305EE">
              <w:t>-202</w:t>
            </w:r>
            <w:r w:rsidRPr="00A305EE">
              <w:t>9</w:t>
            </w:r>
          </w:p>
        </w:tc>
        <w:tc>
          <w:tcPr>
            <w:tcW w:w="2268" w:type="dxa"/>
            <w:shd w:val="clear" w:color="auto" w:fill="auto"/>
          </w:tcPr>
          <w:p w14:paraId="798C9E0C" w14:textId="77777777" w:rsidR="00751A4A" w:rsidRPr="00A305EE" w:rsidRDefault="00187494" w:rsidP="0010095E">
            <w:pPr>
              <w:pStyle w:val="EPLogo"/>
            </w:pPr>
            <w:r w:rsidRPr="00A305EE">
              <w:rPr>
                <w:noProof/>
                <w:lang w:eastAsia="ja-JP"/>
              </w:rPr>
              <w:drawing>
                <wp:inline distT="0" distB="0" distL="0" distR="0" wp14:anchorId="6CA91EA4" wp14:editId="2F09663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D8900F" w14:textId="77777777" w:rsidR="00D058B8" w:rsidRPr="00A305EE" w:rsidRDefault="00D058B8" w:rsidP="004C5D52">
      <w:pPr>
        <w:pStyle w:val="LineTop"/>
      </w:pPr>
    </w:p>
    <w:p w14:paraId="661B6FCE" w14:textId="77777777" w:rsidR="00680577" w:rsidRPr="00A305EE" w:rsidRDefault="0065131C" w:rsidP="00680577">
      <w:pPr>
        <w:pStyle w:val="EPBodyTA1"/>
      </w:pPr>
      <w:r w:rsidRPr="00A305EE">
        <w:t>TESTI APPROVATI</w:t>
      </w:r>
    </w:p>
    <w:p w14:paraId="459D224E" w14:textId="77777777" w:rsidR="00D058B8" w:rsidRPr="00A305EE" w:rsidRDefault="00D058B8" w:rsidP="00D058B8">
      <w:pPr>
        <w:pStyle w:val="LineBottom"/>
      </w:pPr>
    </w:p>
    <w:p w14:paraId="3839D677" w14:textId="05FC8D07" w:rsidR="0065131C" w:rsidRPr="00A305EE" w:rsidRDefault="0065131C" w:rsidP="0065131C">
      <w:pPr>
        <w:pStyle w:val="ATHeading1"/>
      </w:pPr>
      <w:bookmarkStart w:id="0" w:name="TANumber"/>
      <w:r w:rsidRPr="00A305EE">
        <w:t>P10_</w:t>
      </w:r>
      <w:proofErr w:type="gramStart"/>
      <w:r w:rsidRPr="00A305EE">
        <w:t>TA(</w:t>
      </w:r>
      <w:proofErr w:type="gramEnd"/>
      <w:r w:rsidRPr="00A305EE">
        <w:t>2025)0</w:t>
      </w:r>
      <w:bookmarkEnd w:id="0"/>
      <w:r w:rsidR="00A305EE" w:rsidRPr="00A305EE">
        <w:t>205</w:t>
      </w:r>
    </w:p>
    <w:p w14:paraId="1DE55BB0" w14:textId="77777777" w:rsidR="0065131C" w:rsidRPr="00A305EE" w:rsidRDefault="0065131C" w:rsidP="0065131C">
      <w:pPr>
        <w:pStyle w:val="ATHeading2"/>
      </w:pPr>
      <w:bookmarkStart w:id="1" w:name="title"/>
      <w:r w:rsidRPr="00A305EE">
        <w:t>Richiesta di revoca dell'immunità di Péter Magyar</w:t>
      </w:r>
      <w:bookmarkEnd w:id="1"/>
    </w:p>
    <w:p w14:paraId="02FB3B38" w14:textId="77777777" w:rsidR="0065131C" w:rsidRPr="00A305EE" w:rsidRDefault="0065131C" w:rsidP="0065131C">
      <w:pPr>
        <w:rPr>
          <w:i/>
          <w:vanish/>
        </w:rPr>
      </w:pPr>
      <w:r w:rsidRPr="00A305EE">
        <w:rPr>
          <w:i/>
        </w:rPr>
        <w:fldChar w:fldCharType="begin"/>
      </w:r>
      <w:r w:rsidRPr="00A305EE">
        <w:rPr>
          <w:i/>
        </w:rPr>
        <w:instrText xml:space="preserve"> TC"(</w:instrText>
      </w:r>
      <w:bookmarkStart w:id="2" w:name="DocNumber"/>
      <w:r w:rsidRPr="00A305EE">
        <w:rPr>
          <w:i/>
        </w:rPr>
        <w:instrText>A10-0182/2025</w:instrText>
      </w:r>
      <w:bookmarkEnd w:id="2"/>
      <w:r w:rsidRPr="00A305EE">
        <w:rPr>
          <w:i/>
        </w:rPr>
        <w:instrText xml:space="preserve"> - Relatrice: Pascale Piera)"\l3 \n&gt; \* MERGEFORMAT </w:instrText>
      </w:r>
      <w:r w:rsidRPr="00A305EE">
        <w:rPr>
          <w:i/>
        </w:rPr>
        <w:fldChar w:fldCharType="end"/>
      </w:r>
    </w:p>
    <w:p w14:paraId="7B1B835F" w14:textId="77777777" w:rsidR="0065131C" w:rsidRPr="00A305EE" w:rsidRDefault="0065131C" w:rsidP="0065131C">
      <w:pPr>
        <w:rPr>
          <w:vanish/>
        </w:rPr>
      </w:pPr>
      <w:bookmarkStart w:id="3" w:name="Commission"/>
      <w:r w:rsidRPr="00A305EE">
        <w:rPr>
          <w:vanish/>
        </w:rPr>
        <w:t>Commissione giuridica</w:t>
      </w:r>
      <w:bookmarkEnd w:id="3"/>
    </w:p>
    <w:p w14:paraId="698BBDE9" w14:textId="77777777" w:rsidR="0065131C" w:rsidRPr="00A305EE" w:rsidRDefault="0065131C" w:rsidP="0065131C">
      <w:pPr>
        <w:rPr>
          <w:vanish/>
        </w:rPr>
      </w:pPr>
      <w:bookmarkStart w:id="4" w:name="PE"/>
      <w:r w:rsidRPr="00A305EE">
        <w:rPr>
          <w:vanish/>
        </w:rPr>
        <w:t>PE775.580</w:t>
      </w:r>
      <w:bookmarkEnd w:id="4"/>
    </w:p>
    <w:p w14:paraId="21DFDC8B" w14:textId="4D308BFD" w:rsidR="0065131C" w:rsidRPr="00A305EE" w:rsidRDefault="0065131C" w:rsidP="00BA4571">
      <w:pPr>
        <w:pStyle w:val="ATHeading3"/>
      </w:pPr>
      <w:bookmarkStart w:id="5" w:name="Sujet"/>
      <w:r w:rsidRPr="00A305EE">
        <w:t>Decisione del Parlamento europeo del 7 ottobre 2025 sulla richiesta di revoca dell'immunità di Péter Magyar</w:t>
      </w:r>
      <w:bookmarkEnd w:id="5"/>
      <w:r w:rsidRPr="00A305EE">
        <w:t xml:space="preserve"> </w:t>
      </w:r>
      <w:bookmarkStart w:id="6" w:name="References"/>
      <w:r w:rsidRPr="00A305EE">
        <w:t>(2025/2096(IMM))</w:t>
      </w:r>
      <w:bookmarkEnd w:id="6"/>
    </w:p>
    <w:p w14:paraId="214892B7" w14:textId="77777777" w:rsidR="00424FF4" w:rsidRPr="00A305EE" w:rsidRDefault="00424FF4" w:rsidP="00424FF4">
      <w:pPr>
        <w:pStyle w:val="EPComma"/>
      </w:pPr>
      <w:bookmarkStart w:id="7" w:name="TextBodyBegin"/>
      <w:bookmarkEnd w:id="7"/>
      <w:r w:rsidRPr="00A305EE">
        <w:rPr>
          <w:i/>
        </w:rPr>
        <w:t>Il Parlamento europeo</w:t>
      </w:r>
      <w:r w:rsidRPr="00A305EE">
        <w:t>,</w:t>
      </w:r>
    </w:p>
    <w:p w14:paraId="78314022" w14:textId="52241B2E" w:rsidR="00424FF4" w:rsidRPr="00A305EE" w:rsidRDefault="00424FF4" w:rsidP="00424FF4">
      <w:pPr>
        <w:pStyle w:val="NormalHanging12a"/>
      </w:pPr>
      <w:r w:rsidRPr="00A305EE">
        <w:t>–</w:t>
      </w:r>
      <w:r w:rsidRPr="00A305EE">
        <w:tab/>
        <w:t xml:space="preserve">vista la richiesta di revoca dell'immunità di Péter Magyar, </w:t>
      </w:r>
      <w:r w:rsidR="00BA4571" w:rsidRPr="00A305EE">
        <w:t>del</w:t>
      </w:r>
      <w:r w:rsidRPr="00A305EE">
        <w:t xml:space="preserve"> 21 marzo 2025</w:t>
      </w:r>
      <w:r w:rsidR="00BA4571" w:rsidRPr="00A305EE">
        <w:t>, trasmessa</w:t>
      </w:r>
      <w:r w:rsidRPr="00A305EE">
        <w:t xml:space="preserve"> dal tribunale del distretto centrale di Pest, </w:t>
      </w:r>
      <w:r w:rsidR="003B1EA8" w:rsidRPr="00A305EE">
        <w:t xml:space="preserve">in Ungheria, </w:t>
      </w:r>
      <w:r w:rsidRPr="00A305EE">
        <w:t xml:space="preserve">nel quadro di un procedimento penale </w:t>
      </w:r>
      <w:r w:rsidR="00BA4571" w:rsidRPr="00A305EE">
        <w:t xml:space="preserve">avviato </w:t>
      </w:r>
      <w:r w:rsidRPr="00A305EE">
        <w:t>a suo carico</w:t>
      </w:r>
      <w:r w:rsidR="00BA4571" w:rsidRPr="00A305EE">
        <w:t xml:space="preserve"> </w:t>
      </w:r>
      <w:r w:rsidR="00CD3C89" w:rsidRPr="00A305EE">
        <w:t>su</w:t>
      </w:r>
      <w:r w:rsidR="00BA4571" w:rsidRPr="00A305EE">
        <w:t xml:space="preserve"> querela di parte</w:t>
      </w:r>
      <w:r w:rsidRPr="00A305EE">
        <w:t>, e comunicata in Aula il 5 maggio 2025,</w:t>
      </w:r>
    </w:p>
    <w:p w14:paraId="14764766" w14:textId="6DC403BD" w:rsidR="00424FF4" w:rsidRPr="00A305EE" w:rsidRDefault="00424FF4" w:rsidP="00424FF4">
      <w:pPr>
        <w:pStyle w:val="NormalHanging12a"/>
      </w:pPr>
      <w:r w:rsidRPr="00A305EE">
        <w:t>–</w:t>
      </w:r>
      <w:r w:rsidRPr="00A305EE">
        <w:tab/>
        <w:t xml:space="preserve">visto il diritto ad essere ascoltato </w:t>
      </w:r>
      <w:r w:rsidR="00BA4571" w:rsidRPr="00A305EE">
        <w:t>in conformità</w:t>
      </w:r>
      <w:r w:rsidRPr="00A305EE">
        <w:t xml:space="preserve"> dell'articolo 9, paragrafo 6, del </w:t>
      </w:r>
      <w:r w:rsidR="00BA4571" w:rsidRPr="00A305EE">
        <w:t xml:space="preserve">suo </w:t>
      </w:r>
      <w:r w:rsidRPr="00A305EE">
        <w:t>regolamento</w:t>
      </w:r>
      <w:r w:rsidR="00BA4571" w:rsidRPr="00A305EE">
        <w:t xml:space="preserve">, al </w:t>
      </w:r>
      <w:r w:rsidR="003B1EA8" w:rsidRPr="00A305EE">
        <w:t xml:space="preserve">quale </w:t>
      </w:r>
      <w:r w:rsidR="00BA4571" w:rsidRPr="00A305EE">
        <w:t>Péter Magyar ha rinunciato</w:t>
      </w:r>
      <w:r w:rsidRPr="00A305EE">
        <w:t>,</w:t>
      </w:r>
    </w:p>
    <w:p w14:paraId="189DCF07" w14:textId="77777777" w:rsidR="00424FF4" w:rsidRPr="00A305EE" w:rsidRDefault="00424FF4" w:rsidP="00424FF4">
      <w:pPr>
        <w:pStyle w:val="NormalHanging12a"/>
      </w:pPr>
      <w:r w:rsidRPr="00A305EE">
        <w:t>–</w:t>
      </w:r>
      <w:r w:rsidRPr="00A305EE">
        <w:tab/>
        <w:t>visti gli articoli 8 e 9 del protocollo n. 7 sui privilegi e sulle immunità dell'Unione europea e l'articolo 6, paragrafo 2, dell'atto relativo all'elezione dei membri del Parlamento europeo a suffragio universale diretto, del 20 settembre 1976,</w:t>
      </w:r>
    </w:p>
    <w:p w14:paraId="791BF124" w14:textId="13D0599B" w:rsidR="00424FF4" w:rsidRPr="00A305EE" w:rsidRDefault="00424FF4" w:rsidP="00424FF4">
      <w:pPr>
        <w:pStyle w:val="NormalHanging12a"/>
      </w:pPr>
      <w:r w:rsidRPr="00A305EE">
        <w:t>–</w:t>
      </w:r>
      <w:r w:rsidRPr="00A305EE">
        <w:tab/>
        <w:t xml:space="preserve">visto </w:t>
      </w:r>
      <w:r w:rsidRPr="00A305EE">
        <w:rPr>
          <w:color w:val="000000"/>
          <w:shd w:val="clear" w:color="auto" w:fill="FFFFFF"/>
        </w:rPr>
        <w:t xml:space="preserve">l'articolo 4, paragrafo 2, della </w:t>
      </w:r>
      <w:r w:rsidR="00BA4571" w:rsidRPr="00A305EE">
        <w:rPr>
          <w:color w:val="000000"/>
          <w:shd w:val="clear" w:color="auto" w:fill="FFFFFF"/>
        </w:rPr>
        <w:t>L</w:t>
      </w:r>
      <w:r w:rsidRPr="00A305EE">
        <w:rPr>
          <w:color w:val="000000"/>
          <w:shd w:val="clear" w:color="auto" w:fill="FFFFFF"/>
        </w:rPr>
        <w:t>egge fondamentale dell'Ungheria,</w:t>
      </w:r>
    </w:p>
    <w:p w14:paraId="3FFEFBB9" w14:textId="77777777" w:rsidR="00424FF4" w:rsidRPr="00A305EE" w:rsidRDefault="00424FF4" w:rsidP="00424FF4">
      <w:pPr>
        <w:pStyle w:val="NormalHanging12a"/>
      </w:pPr>
      <w:r w:rsidRPr="00A305EE">
        <w:t>–</w:t>
      </w:r>
      <w:r w:rsidRPr="00A305EE">
        <w:tab/>
        <w:t>viste le sentenze pronunciate dalla Corte di giustizia dell'Unione europea il 21 ottobre 2008, 19 marzo 2010, 6 settembre 2011, 17 gennaio 2013, 19 dicembre 2019 e 5 luglio 2023</w:t>
      </w:r>
      <w:r w:rsidRPr="00A305EE">
        <w:rPr>
          <w:rStyle w:val="FootnoteReference"/>
        </w:rPr>
        <w:footnoteReference w:id="1"/>
      </w:r>
      <w:r w:rsidRPr="00A305EE">
        <w:t>,</w:t>
      </w:r>
    </w:p>
    <w:p w14:paraId="340BB59C" w14:textId="77777777" w:rsidR="00424FF4" w:rsidRPr="00A305EE" w:rsidRDefault="00424FF4" w:rsidP="00424FF4">
      <w:pPr>
        <w:pStyle w:val="NormalHanging12a"/>
      </w:pPr>
      <w:r w:rsidRPr="00A305EE">
        <w:t>–</w:t>
      </w:r>
      <w:r w:rsidRPr="00A305EE">
        <w:tab/>
        <w:t>visti l'articolo 5, paragrafo 2, l'articolo 6, paragrafo 1, e l'articolo 9 del suo regolamento,</w:t>
      </w:r>
    </w:p>
    <w:p w14:paraId="4042ED80" w14:textId="77777777" w:rsidR="00424FF4" w:rsidRPr="00A305EE" w:rsidRDefault="00424FF4" w:rsidP="00424FF4">
      <w:pPr>
        <w:pStyle w:val="NormalHanging12a"/>
      </w:pPr>
      <w:r w:rsidRPr="00A305EE">
        <w:t>–</w:t>
      </w:r>
      <w:r w:rsidRPr="00A305EE">
        <w:tab/>
        <w:t>vista la relazione della commissione giuridica (A10-0182/2025),</w:t>
      </w:r>
    </w:p>
    <w:p w14:paraId="629E1A72" w14:textId="42423F31" w:rsidR="00424FF4" w:rsidRPr="00A305EE" w:rsidRDefault="00424FF4" w:rsidP="00424FF4">
      <w:pPr>
        <w:pStyle w:val="NormalHanging12a"/>
        <w:widowControl/>
      </w:pPr>
      <w:r w:rsidRPr="00A305EE">
        <w:lastRenderedPageBreak/>
        <w:t>A.</w:t>
      </w:r>
      <w:r w:rsidRPr="00A305EE">
        <w:tab/>
        <w:t xml:space="preserve">considerando che </w:t>
      </w:r>
      <w:r w:rsidR="00BA4571" w:rsidRPr="00A305EE">
        <w:t>il</w:t>
      </w:r>
      <w:r w:rsidRPr="00A305EE">
        <w:t xml:space="preserve"> 21 marzo 2025 il tribunale del distretto centrale di Pest ha </w:t>
      </w:r>
      <w:r w:rsidR="00BA4571" w:rsidRPr="00A305EE">
        <w:t xml:space="preserve">trasmesso </w:t>
      </w:r>
      <w:r w:rsidRPr="00A305EE">
        <w:t xml:space="preserve">una richiesta di revoca dell'immunità di Péter Magyar, </w:t>
      </w:r>
      <w:r w:rsidR="00BA4571" w:rsidRPr="00A305EE">
        <w:t xml:space="preserve">deputato al Parlamento europeo eletto in Ungheria, </w:t>
      </w:r>
      <w:r w:rsidRPr="00A305EE">
        <w:t xml:space="preserve">in relazione a un presunto reato ai sensi dell'articolo 226, paragrafo 1, della legge n. C del 2012 sul </w:t>
      </w:r>
      <w:proofErr w:type="gramStart"/>
      <w:r w:rsidRPr="00A305EE">
        <w:t>codice penale</w:t>
      </w:r>
      <w:proofErr w:type="gramEnd"/>
      <w:r w:rsidRPr="00A305EE">
        <w:t xml:space="preserve"> ungherese, </w:t>
      </w:r>
      <w:r w:rsidRPr="00A305EE">
        <w:rPr>
          <w:color w:val="000000"/>
          <w:shd w:val="clear" w:color="auto" w:fill="FFFFFF"/>
        </w:rPr>
        <w:t>per fatti verificatisi nell'aprile 2024</w:t>
      </w:r>
      <w:r w:rsidRPr="00A305EE">
        <w:t xml:space="preserve"> nel quadro di un procedimento penale per diffamazione avviato </w:t>
      </w:r>
      <w:r w:rsidR="00BA4571" w:rsidRPr="00A305EE">
        <w:t xml:space="preserve">a suo carico </w:t>
      </w:r>
      <w:r w:rsidRPr="00A305EE">
        <w:t xml:space="preserve">da un </w:t>
      </w:r>
      <w:r w:rsidR="003B1EA8" w:rsidRPr="00A305EE">
        <w:t>querelante</w:t>
      </w:r>
      <w:r w:rsidRPr="00A305EE">
        <w:t>;</w:t>
      </w:r>
    </w:p>
    <w:p w14:paraId="6669642C" w14:textId="4F83FAD6" w:rsidR="00424FF4" w:rsidRPr="00A305EE" w:rsidRDefault="00424FF4" w:rsidP="00424FF4">
      <w:pPr>
        <w:pStyle w:val="NormalHanging12a"/>
        <w:widowControl/>
      </w:pPr>
      <w:r w:rsidRPr="00A305EE">
        <w:rPr>
          <w:shd w:val="clear" w:color="auto" w:fill="FFFFFF"/>
        </w:rPr>
        <w:t>B.</w:t>
      </w:r>
      <w:r w:rsidRPr="00A305EE">
        <w:rPr>
          <w:shd w:val="clear" w:color="auto" w:fill="FFFFFF"/>
        </w:rPr>
        <w:tab/>
      </w:r>
      <w:r w:rsidRPr="00A305EE">
        <w:t xml:space="preserve">considerando che, secondo quanto indicato nella richiesta di revoca dell'immunità, Péter Magyar è accusato di aver rilasciato dichiarazioni false durante un intervento pubblico nel corso di una manifestazione e di aver diffuso voci suscettibili di nuocere alla reputazione del movimento politico "Mi </w:t>
      </w:r>
      <w:proofErr w:type="spellStart"/>
      <w:r w:rsidRPr="00A305EE">
        <w:t>Hazánk</w:t>
      </w:r>
      <w:proofErr w:type="spellEnd"/>
      <w:r w:rsidRPr="00A305EE">
        <w:t xml:space="preserve"> </w:t>
      </w:r>
      <w:proofErr w:type="spellStart"/>
      <w:r w:rsidRPr="00A305EE">
        <w:t>Mozgalom</w:t>
      </w:r>
      <w:proofErr w:type="spellEnd"/>
      <w:r w:rsidRPr="00A305EE">
        <w:t xml:space="preserve">" (movimento "Patria nostra") e di uno dei suoi vicepresidenti, deputato al parlamento ungherese; che il 13 maggio 2024 è stata avviata un'azione penale </w:t>
      </w:r>
      <w:r w:rsidR="003B1EA8" w:rsidRPr="00A305EE">
        <w:t xml:space="preserve">a querela di parte </w:t>
      </w:r>
      <w:r w:rsidRPr="00A305EE">
        <w:t xml:space="preserve">nei confronti di Péter Magyar sulla base di una </w:t>
      </w:r>
      <w:r w:rsidR="003B1EA8" w:rsidRPr="00A305EE">
        <w:t>querela</w:t>
      </w:r>
      <w:r w:rsidRPr="00A305EE">
        <w:t xml:space="preserve"> per diffamazione;</w:t>
      </w:r>
    </w:p>
    <w:p w14:paraId="7434E73D" w14:textId="7371C111" w:rsidR="00424FF4" w:rsidRPr="00A305EE" w:rsidRDefault="00424FF4" w:rsidP="00424FF4">
      <w:pPr>
        <w:pStyle w:val="NormalHanging12a"/>
        <w:widowControl/>
      </w:pPr>
      <w:r w:rsidRPr="00A305EE">
        <w:t>C.</w:t>
      </w:r>
      <w:r w:rsidRPr="00A305EE">
        <w:tab/>
        <w:t xml:space="preserve">considerando che Péter Magyar </w:t>
      </w:r>
      <w:r w:rsidRPr="00A305EE">
        <w:rPr>
          <w:shd w:val="clear" w:color="auto" w:fill="FFFFFF"/>
        </w:rPr>
        <w:t>è stato eletto alle elezioni europee del giugno 2024</w:t>
      </w:r>
      <w:r w:rsidRPr="00A305EE">
        <w:t xml:space="preserve"> e che </w:t>
      </w:r>
      <w:r w:rsidRPr="00A305EE">
        <w:rPr>
          <w:shd w:val="clear" w:color="auto" w:fill="FFFFFF"/>
        </w:rPr>
        <w:t xml:space="preserve">si trovava in campagna elettorale per </w:t>
      </w:r>
      <w:r w:rsidR="003B1EA8" w:rsidRPr="00A305EE">
        <w:rPr>
          <w:shd w:val="clear" w:color="auto" w:fill="FFFFFF"/>
        </w:rPr>
        <w:t xml:space="preserve">la propria </w:t>
      </w:r>
      <w:r w:rsidRPr="00A305EE">
        <w:rPr>
          <w:shd w:val="clear" w:color="auto" w:fill="FFFFFF"/>
        </w:rPr>
        <w:t>elezion</w:t>
      </w:r>
      <w:r w:rsidR="003B1EA8" w:rsidRPr="00A305EE">
        <w:rPr>
          <w:shd w:val="clear" w:color="auto" w:fill="FFFFFF"/>
        </w:rPr>
        <w:t>e</w:t>
      </w:r>
      <w:r w:rsidRPr="00A305EE">
        <w:rPr>
          <w:shd w:val="clear" w:color="auto" w:fill="FFFFFF"/>
        </w:rPr>
        <w:t xml:space="preserve"> </w:t>
      </w:r>
      <w:r w:rsidR="003B1EA8" w:rsidRPr="00A305EE">
        <w:rPr>
          <w:shd w:val="clear" w:color="auto" w:fill="FFFFFF"/>
        </w:rPr>
        <w:t>a</w:t>
      </w:r>
      <w:r w:rsidRPr="00A305EE">
        <w:rPr>
          <w:shd w:val="clear" w:color="auto" w:fill="FFFFFF"/>
        </w:rPr>
        <w:t xml:space="preserve">l Parlamento europeo quando è stata presentata la </w:t>
      </w:r>
      <w:r w:rsidR="003B1EA8" w:rsidRPr="00A305EE">
        <w:rPr>
          <w:shd w:val="clear" w:color="auto" w:fill="FFFFFF"/>
        </w:rPr>
        <w:t>querela</w:t>
      </w:r>
      <w:r w:rsidR="00BC2EA4" w:rsidRPr="00A305EE">
        <w:rPr>
          <w:shd w:val="clear" w:color="auto" w:fill="FFFFFF"/>
        </w:rPr>
        <w:t xml:space="preserve"> </w:t>
      </w:r>
      <w:r w:rsidRPr="00A305EE">
        <w:rPr>
          <w:shd w:val="clear" w:color="auto" w:fill="FFFFFF"/>
        </w:rPr>
        <w:t>nei suoi confronti;</w:t>
      </w:r>
    </w:p>
    <w:p w14:paraId="2C9807A5" w14:textId="5B069AA0" w:rsidR="00424FF4" w:rsidRPr="00A305EE" w:rsidRDefault="00424FF4" w:rsidP="00424FF4">
      <w:pPr>
        <w:pStyle w:val="NormalHanging12a"/>
        <w:widowControl/>
      </w:pPr>
      <w:r w:rsidRPr="00A305EE">
        <w:t>D.</w:t>
      </w:r>
      <w:r w:rsidRPr="00A305EE">
        <w:tab/>
        <w:t xml:space="preserve">considerando che il presunto reato </w:t>
      </w:r>
      <w:r w:rsidR="003B1EA8" w:rsidRPr="00A305EE">
        <w:t>non costituisce, e</w:t>
      </w:r>
      <w:r w:rsidRPr="00A305EE">
        <w:t xml:space="preserve"> la successiva richiesta di revoca dell'immunità non si riferisc</w:t>
      </w:r>
      <w:r w:rsidR="003B1EA8" w:rsidRPr="00A305EE">
        <w:t>e</w:t>
      </w:r>
      <w:r w:rsidRPr="00A305EE">
        <w:t xml:space="preserve"> a un'opinione o ad un voto espressi da Péter Magyar nell'esercizio delle sue funzioni ai sensi dell'articolo 8 del protocollo n. 7 sui privilegi e sulle immunità dell'Unione europea;</w:t>
      </w:r>
    </w:p>
    <w:p w14:paraId="5F6A21C7" w14:textId="77777777" w:rsidR="00424FF4" w:rsidRPr="00A305EE" w:rsidRDefault="00424FF4" w:rsidP="00424FF4">
      <w:pPr>
        <w:pStyle w:val="NormalHanging12a"/>
        <w:widowControl/>
      </w:pPr>
      <w:r w:rsidRPr="00A305EE">
        <w:t>E.</w:t>
      </w:r>
      <w:r w:rsidRPr="00A305EE">
        <w:tab/>
        <w:t>considerando che l'articolo 9, primo comma, lettera a), del protocollo n. 7 sui privilegi e sulle immunità dell'Unione europea stabilisce che i membri del Parlamento europeo beneficiano, sul territorio nazionale, delle immunità riconosciute ai membri del parlamento del loro paese;</w:t>
      </w:r>
    </w:p>
    <w:p w14:paraId="059EAB29" w14:textId="44FB17E1" w:rsidR="00424FF4" w:rsidRPr="00A305EE" w:rsidRDefault="00424FF4" w:rsidP="00424FF4">
      <w:pPr>
        <w:pStyle w:val="NormalHanging12a"/>
      </w:pPr>
      <w:r w:rsidRPr="00A305EE">
        <w:t>F.</w:t>
      </w:r>
      <w:r w:rsidRPr="00A305EE">
        <w:tab/>
        <w:t>considerando che</w:t>
      </w:r>
      <w:r w:rsidRPr="00A305EE">
        <w:rPr>
          <w:color w:val="000000"/>
          <w:shd w:val="clear" w:color="auto" w:fill="FFFFFF"/>
        </w:rPr>
        <w:t xml:space="preserve">, a norma dell'articolo 4, paragrafo 2, della </w:t>
      </w:r>
      <w:r w:rsidR="00BC2EA4" w:rsidRPr="00A305EE">
        <w:rPr>
          <w:color w:val="000000"/>
          <w:shd w:val="clear" w:color="auto" w:fill="FFFFFF"/>
        </w:rPr>
        <w:t>L</w:t>
      </w:r>
      <w:r w:rsidRPr="00A305EE">
        <w:rPr>
          <w:color w:val="000000"/>
          <w:shd w:val="clear" w:color="auto" w:fill="FFFFFF"/>
        </w:rPr>
        <w:t>egge fondamentale dell'Ungheria, i membri del</w:t>
      </w:r>
      <w:r w:rsidR="00C167F7" w:rsidRPr="00A305EE">
        <w:rPr>
          <w:color w:val="000000"/>
          <w:shd w:val="clear" w:color="auto" w:fill="FFFFFF"/>
        </w:rPr>
        <w:t xml:space="preserve"> Parlamento</w:t>
      </w:r>
      <w:r w:rsidRPr="00A305EE">
        <w:rPr>
          <w:color w:val="000000"/>
          <w:shd w:val="clear" w:color="auto" w:fill="FFFFFF"/>
        </w:rPr>
        <w:t xml:space="preserve"> ungherese beneficiano </w:t>
      </w:r>
      <w:r w:rsidR="00BC2EA4" w:rsidRPr="00A305EE">
        <w:rPr>
          <w:color w:val="000000"/>
          <w:shd w:val="clear" w:color="auto" w:fill="FFFFFF"/>
        </w:rPr>
        <w:t>dell’</w:t>
      </w:r>
      <w:r w:rsidRPr="00A305EE">
        <w:rPr>
          <w:color w:val="000000"/>
          <w:shd w:val="clear" w:color="auto" w:fill="FFFFFF"/>
        </w:rPr>
        <w:t>immunità parlamentare; che, a norma dell'articolo 79, paragrafo 2, della legge n. XXXVI del 2012 relativa all'Assemblea nazionale,</w:t>
      </w:r>
      <w:r w:rsidRPr="00A305EE">
        <w:t xml:space="preserve"> una persona registrata con effetto definitivo e vincolante come candidato gode della stessa immunità </w:t>
      </w:r>
      <w:r w:rsidR="007F11CB" w:rsidRPr="00A305EE">
        <w:t xml:space="preserve">riconosciuta ai </w:t>
      </w:r>
      <w:r w:rsidR="00C167F7" w:rsidRPr="00A305EE">
        <w:t>deputati</w:t>
      </w:r>
      <w:r w:rsidRPr="00A305EE">
        <w:t xml:space="preserve"> fino a quando il risultato delle elezioni non diventa definitivo e vincolante e che, in ogni caso, a norma dell'articolo 79, paragrafo 1, </w:t>
      </w:r>
      <w:r w:rsidR="00BC2EA4" w:rsidRPr="00A305EE">
        <w:t>di tale</w:t>
      </w:r>
      <w:r w:rsidRPr="00A305EE">
        <w:t xml:space="preserve"> legge, i deputati godono dell'immunità a decorrere dal giorno della loro elezione; </w:t>
      </w:r>
      <w:r w:rsidRPr="00A305EE">
        <w:rPr>
          <w:color w:val="000000"/>
          <w:shd w:val="clear" w:color="auto" w:fill="FFFFFF"/>
        </w:rPr>
        <w:t xml:space="preserve">che, a norma dell'articolo 74, paragrafo 1, della legge ungherese n. XXXVI del 2012 relativa all'Assemblea nazionale, possono essere avviati o portati avanti procedimenti penali o, in caso di mancata revoca volontaria dell'immunità in relazione alla questione in esame, procedimenti per reati minori e possono essere applicate misure </w:t>
      </w:r>
      <w:r w:rsidR="00DB7DBC" w:rsidRPr="00A305EE">
        <w:rPr>
          <w:color w:val="000000"/>
          <w:shd w:val="clear" w:color="auto" w:fill="FFFFFF"/>
        </w:rPr>
        <w:t xml:space="preserve">nell’ambito di un procedimento </w:t>
      </w:r>
      <w:r w:rsidR="00BC2EA4" w:rsidRPr="00A305EE">
        <w:rPr>
          <w:color w:val="000000"/>
          <w:shd w:val="clear" w:color="auto" w:fill="FFFFFF"/>
        </w:rPr>
        <w:t xml:space="preserve">penale </w:t>
      </w:r>
      <w:r w:rsidRPr="00A305EE">
        <w:rPr>
          <w:color w:val="000000"/>
          <w:shd w:val="clear" w:color="auto" w:fill="FFFFFF"/>
        </w:rPr>
        <w:t>nei confronti di un deputato solo previo consenso dell'Assemblea nazionale;</w:t>
      </w:r>
    </w:p>
    <w:p w14:paraId="32288C54" w14:textId="6C912F7A" w:rsidR="00BC2EA4" w:rsidRPr="00A305EE" w:rsidRDefault="00424FF4" w:rsidP="00424FF4">
      <w:pPr>
        <w:pStyle w:val="NormalHanging12a"/>
        <w:widowControl/>
      </w:pPr>
      <w:r w:rsidRPr="00A305EE">
        <w:t>G.</w:t>
      </w:r>
      <w:r w:rsidRPr="00A305EE">
        <w:tab/>
      </w:r>
      <w:r w:rsidR="00BC2EA4" w:rsidRPr="00A305EE">
        <w:t>considerando che, conformemente all'articolo 5, paragrafo 2, del suo regolamento, l'immunità parlamentare non è un privilegio personale del deputato ma una garanzia di indipendenza del Parlamento</w:t>
      </w:r>
      <w:r w:rsidR="00C167F7" w:rsidRPr="00A305EE">
        <w:t xml:space="preserve"> europeo</w:t>
      </w:r>
      <w:r w:rsidR="00BC2EA4" w:rsidRPr="00A305EE">
        <w:t xml:space="preserve"> in quanto istituzione e dei suoi membri;</w:t>
      </w:r>
    </w:p>
    <w:p w14:paraId="4405DD66" w14:textId="145E495D" w:rsidR="00BC2EA4" w:rsidRPr="00A305EE" w:rsidRDefault="00424FF4" w:rsidP="00BC2EA4">
      <w:pPr>
        <w:pStyle w:val="NormalHanging12a"/>
        <w:widowControl/>
      </w:pPr>
      <w:r w:rsidRPr="00A305EE">
        <w:t>H.</w:t>
      </w:r>
      <w:r w:rsidRPr="00A305EE">
        <w:tab/>
      </w:r>
      <w:r w:rsidR="00BC2EA4" w:rsidRPr="00A305EE">
        <w:t>considerando che l'immunità prevista dal protocollo n. 7 sui privilegi e sulle immunità dell'Unione europea è intesa a proteggere il Parlamento e i deputati che lo compongono da procedimenti penali relativi ad attività svolte nell'esercizio del mandato parlamentare e che non possono essere disgiunte da esso;</w:t>
      </w:r>
    </w:p>
    <w:p w14:paraId="5E109D9E" w14:textId="6FCFEDC6" w:rsidR="00424FF4" w:rsidRPr="00A305EE" w:rsidRDefault="00424FF4" w:rsidP="00424FF4">
      <w:pPr>
        <w:pStyle w:val="NormalHanging12a"/>
        <w:widowControl/>
      </w:pPr>
    </w:p>
    <w:p w14:paraId="3E7B8EBD" w14:textId="77777777" w:rsidR="00424FF4" w:rsidRPr="00A305EE" w:rsidRDefault="00424FF4" w:rsidP="00424FF4">
      <w:pPr>
        <w:pStyle w:val="NormalHanging12a"/>
      </w:pPr>
      <w:r w:rsidRPr="00A305EE">
        <w:t>I.</w:t>
      </w:r>
      <w:r w:rsidRPr="00A305EE">
        <w:tab/>
        <w:t>considerando che, secondo la giurisprudenza della Corte di giustizia dell'Unione europea, il Parlamento dispone di "un ampio potere discrezionale in ordine all'orientamento che intende attribuire alla decisione che fa seguito a una domanda di revoca dell'immunità [...], in considerazione del carattere politico che riveste una tale decisione"</w:t>
      </w:r>
      <w:r w:rsidRPr="00A305EE">
        <w:rPr>
          <w:vertAlign w:val="superscript"/>
        </w:rPr>
        <w:footnoteReference w:id="2"/>
      </w:r>
      <w:r w:rsidRPr="00A305EE">
        <w:t>;</w:t>
      </w:r>
    </w:p>
    <w:p w14:paraId="251FC86C" w14:textId="6E206F82" w:rsidR="00424FF4" w:rsidRPr="00A305EE" w:rsidRDefault="00424FF4" w:rsidP="00424FF4">
      <w:pPr>
        <w:pStyle w:val="NormalHanging12a"/>
        <w:widowControl/>
      </w:pPr>
      <w:r w:rsidRPr="00A305EE">
        <w:t>J.</w:t>
      </w:r>
      <w:r w:rsidRPr="00A305EE">
        <w:tab/>
      </w:r>
      <w:r w:rsidRPr="00A305EE">
        <w:rPr>
          <w:rStyle w:val="doceo-font-family-base"/>
          <w:color w:val="1E1E1F"/>
        </w:rPr>
        <w:t xml:space="preserve">considerando che Péter Magyar </w:t>
      </w:r>
      <w:r w:rsidRPr="00A305EE">
        <w:t>è presidente del partito TISZA (</w:t>
      </w:r>
      <w:proofErr w:type="spellStart"/>
      <w:r w:rsidRPr="00A305EE">
        <w:rPr>
          <w:i/>
          <w:iCs/>
        </w:rPr>
        <w:t>Tisztelet</w:t>
      </w:r>
      <w:proofErr w:type="spellEnd"/>
      <w:r w:rsidRPr="00A305EE">
        <w:rPr>
          <w:i/>
          <w:iCs/>
        </w:rPr>
        <w:t xml:space="preserve"> </w:t>
      </w:r>
      <w:proofErr w:type="spellStart"/>
      <w:r w:rsidRPr="00A305EE">
        <w:rPr>
          <w:i/>
          <w:iCs/>
        </w:rPr>
        <w:t>és</w:t>
      </w:r>
      <w:proofErr w:type="spellEnd"/>
      <w:r w:rsidRPr="00A305EE">
        <w:rPr>
          <w:i/>
          <w:iCs/>
        </w:rPr>
        <w:t xml:space="preserve"> </w:t>
      </w:r>
      <w:proofErr w:type="spellStart"/>
      <w:r w:rsidRPr="00A305EE">
        <w:rPr>
          <w:i/>
          <w:iCs/>
        </w:rPr>
        <w:t>Szabadság</w:t>
      </w:r>
      <w:proofErr w:type="spellEnd"/>
      <w:r w:rsidRPr="00A305EE">
        <w:rPr>
          <w:i/>
          <w:iCs/>
        </w:rPr>
        <w:t xml:space="preserve"> </w:t>
      </w:r>
      <w:proofErr w:type="spellStart"/>
      <w:r w:rsidRPr="00A305EE">
        <w:rPr>
          <w:i/>
          <w:iCs/>
        </w:rPr>
        <w:t>Párt</w:t>
      </w:r>
      <w:proofErr w:type="spellEnd"/>
      <w:r w:rsidRPr="00A305EE">
        <w:t>) ed era capolista di tale partito alle elezioni europee del 2024</w:t>
      </w:r>
      <w:r w:rsidRPr="00A305EE">
        <w:rPr>
          <w:rStyle w:val="doceo-font-family-base"/>
          <w:color w:val="1E1E1F"/>
        </w:rPr>
        <w:t xml:space="preserve">; </w:t>
      </w:r>
      <w:r w:rsidRPr="00A305EE">
        <w:t xml:space="preserve">che "Mi </w:t>
      </w:r>
      <w:proofErr w:type="spellStart"/>
      <w:r w:rsidRPr="00A305EE">
        <w:t>Hazánk</w:t>
      </w:r>
      <w:proofErr w:type="spellEnd"/>
      <w:r w:rsidRPr="00A305EE">
        <w:t xml:space="preserve"> </w:t>
      </w:r>
      <w:proofErr w:type="spellStart"/>
      <w:r w:rsidRPr="00A305EE">
        <w:t>Mozgalom</w:t>
      </w:r>
      <w:proofErr w:type="spellEnd"/>
      <w:r w:rsidRPr="00A305EE">
        <w:t xml:space="preserve">" ha partecipato anch'esso alle elezioni europee del 2024 e può pertanto essere considerato un concorrente politico diretto di </w:t>
      </w:r>
      <w:r w:rsidRPr="00A305EE">
        <w:rPr>
          <w:rStyle w:val="doceo-font-family-base"/>
          <w:color w:val="1E1E1F"/>
        </w:rPr>
        <w:t>Péter Magyar</w:t>
      </w:r>
      <w:r w:rsidRPr="00A305EE">
        <w:t xml:space="preserve">; che i concorrenti politici sono generalmente </w:t>
      </w:r>
      <w:r w:rsidR="00143A8D" w:rsidRPr="00A305EE">
        <w:t>soggetti a</w:t>
      </w:r>
      <w:r w:rsidRPr="00A305EE">
        <w:t xml:space="preserve"> maggiori critiche e polemiche nel dibattito politico rispetto ai cittadini che non sono politicamente attivi</w:t>
      </w:r>
      <w:r w:rsidRPr="00A305EE">
        <w:rPr>
          <w:rStyle w:val="doceo-font-family-base"/>
          <w:color w:val="1E1E1F"/>
        </w:rPr>
        <w:t xml:space="preserve">; che, apparentemente, </w:t>
      </w:r>
      <w:r w:rsidR="00DB7DBC" w:rsidRPr="00A305EE">
        <w:rPr>
          <w:rStyle w:val="doceo-font-family-base"/>
          <w:color w:val="1E1E1F"/>
        </w:rPr>
        <w:t>sulla base de</w:t>
      </w:r>
      <w:r w:rsidRPr="00A305EE">
        <w:rPr>
          <w:rStyle w:val="doceo-font-family-base"/>
          <w:color w:val="1E1E1F"/>
        </w:rPr>
        <w:t xml:space="preserve">l diritto ungherese </w:t>
      </w:r>
      <w:r w:rsidR="00DB7DBC" w:rsidRPr="00A305EE">
        <w:rPr>
          <w:rStyle w:val="doceo-font-family-base"/>
          <w:color w:val="1E1E1F"/>
        </w:rPr>
        <w:t xml:space="preserve">le </w:t>
      </w:r>
      <w:r w:rsidRPr="00A305EE">
        <w:rPr>
          <w:rStyle w:val="doceo-font-family-base"/>
          <w:color w:val="1E1E1F"/>
        </w:rPr>
        <w:t xml:space="preserve">azioni per diffamazione </w:t>
      </w:r>
      <w:r w:rsidR="00DB7DBC" w:rsidRPr="00A305EE">
        <w:rPr>
          <w:rStyle w:val="doceo-font-family-base"/>
          <w:color w:val="1E1E1F"/>
        </w:rPr>
        <w:t xml:space="preserve">possono essere intentate </w:t>
      </w:r>
      <w:r w:rsidR="00122B83" w:rsidRPr="00A305EE">
        <w:rPr>
          <w:rStyle w:val="doceo-font-family-base"/>
          <w:color w:val="1E1E1F"/>
        </w:rPr>
        <w:t xml:space="preserve">sia sulla base del </w:t>
      </w:r>
      <w:r w:rsidRPr="00A305EE">
        <w:rPr>
          <w:rStyle w:val="doceo-font-family-base"/>
          <w:color w:val="1E1E1F"/>
        </w:rPr>
        <w:t xml:space="preserve">penali che </w:t>
      </w:r>
      <w:r w:rsidR="00122B83" w:rsidRPr="00A305EE">
        <w:rPr>
          <w:rStyle w:val="doceo-font-family-base"/>
          <w:color w:val="1E1E1F"/>
        </w:rPr>
        <w:t xml:space="preserve">sulla base del diritto </w:t>
      </w:r>
      <w:r w:rsidRPr="00A305EE">
        <w:rPr>
          <w:rStyle w:val="doceo-font-family-base"/>
          <w:color w:val="1E1E1F"/>
        </w:rPr>
        <w:t>civil</w:t>
      </w:r>
      <w:r w:rsidR="00122B83" w:rsidRPr="00A305EE">
        <w:rPr>
          <w:rStyle w:val="doceo-font-family-base"/>
          <w:color w:val="1E1E1F"/>
        </w:rPr>
        <w:t>e</w:t>
      </w:r>
      <w:r w:rsidRPr="00A305EE">
        <w:rPr>
          <w:rStyle w:val="doceo-font-family-base"/>
          <w:color w:val="1E1E1F"/>
        </w:rPr>
        <w:t xml:space="preserve">, </w:t>
      </w:r>
      <w:r w:rsidR="00CA517C" w:rsidRPr="00A305EE">
        <w:t>il che comporta notevoli differenze in termini di possibili conseguenze giuridiche, tra cui la detenzione</w:t>
      </w:r>
      <w:r w:rsidRPr="00A305EE">
        <w:rPr>
          <w:rStyle w:val="doceo-font-family-base"/>
          <w:color w:val="1E1E1F"/>
        </w:rPr>
        <w:t xml:space="preserve">; che, nel caso di specie, la scelta di avviare un'azione penale solleva dubbi in merito al suo scopo, in quanto potrebbe superare l'obiettivo legittimo di risarcire il presunto danno, e suggerisce che </w:t>
      </w:r>
      <w:r w:rsidR="00CA517C" w:rsidRPr="00A305EE">
        <w:rPr>
          <w:rStyle w:val="doceo-font-family-base"/>
          <w:color w:val="1E1E1F"/>
        </w:rPr>
        <w:t>l’obiettivo</w:t>
      </w:r>
      <w:r w:rsidRPr="00A305EE">
        <w:rPr>
          <w:rStyle w:val="doceo-font-family-base"/>
          <w:color w:val="1E1E1F"/>
        </w:rPr>
        <w:t xml:space="preserve"> perseguit</w:t>
      </w:r>
      <w:r w:rsidR="00CA517C" w:rsidRPr="00A305EE">
        <w:rPr>
          <w:rStyle w:val="doceo-font-family-base"/>
          <w:color w:val="1E1E1F"/>
        </w:rPr>
        <w:t>o</w:t>
      </w:r>
      <w:r w:rsidRPr="00A305EE">
        <w:rPr>
          <w:rStyle w:val="doceo-font-family-base"/>
          <w:color w:val="1E1E1F"/>
        </w:rPr>
        <w:t xml:space="preserve"> vada al di là di tale obiettivo legittimo e </w:t>
      </w:r>
      <w:r w:rsidR="00CA517C" w:rsidRPr="00A305EE">
        <w:rPr>
          <w:rStyle w:val="doceo-font-family-base"/>
          <w:color w:val="1E1E1F"/>
        </w:rPr>
        <w:t>sia</w:t>
      </w:r>
      <w:r w:rsidRPr="00A305EE">
        <w:rPr>
          <w:rStyle w:val="doceo-font-family-base"/>
          <w:color w:val="1E1E1F"/>
        </w:rPr>
        <w:t xml:space="preserve">, di fatto, </w:t>
      </w:r>
      <w:r w:rsidR="00CA517C" w:rsidRPr="00A305EE">
        <w:rPr>
          <w:rStyle w:val="doceo-font-family-base"/>
          <w:color w:val="1E1E1F"/>
        </w:rPr>
        <w:t>quello di danneggiare</w:t>
      </w:r>
      <w:r w:rsidRPr="00A305EE">
        <w:rPr>
          <w:rStyle w:val="doceo-font-family-base"/>
          <w:color w:val="1E1E1F"/>
        </w:rPr>
        <w:t xml:space="preserve"> la reputazione di Péter Magyar nella sua qualità di deputato al Parlamento europeo</w:t>
      </w:r>
      <w:r w:rsidRPr="00A305EE">
        <w:t>;</w:t>
      </w:r>
    </w:p>
    <w:p w14:paraId="4F588FF4" w14:textId="50E18D23" w:rsidR="00424FF4" w:rsidRPr="00A305EE" w:rsidRDefault="00424FF4" w:rsidP="00424FF4">
      <w:pPr>
        <w:pStyle w:val="doceo-line-height-base"/>
        <w:shd w:val="clear" w:color="auto" w:fill="FFFFFF"/>
        <w:spacing w:before="0" w:beforeAutospacing="0" w:after="240" w:afterAutospacing="0"/>
        <w:ind w:left="567" w:hanging="567"/>
        <w:rPr>
          <w:rFonts w:ascii="Helvetica" w:hAnsi="Helvetica"/>
          <w:color w:val="1E1E1F"/>
        </w:rPr>
      </w:pPr>
      <w:r w:rsidRPr="00A305EE">
        <w:rPr>
          <w:rStyle w:val="doceo-font-family-base"/>
          <w:color w:val="1E1E1F"/>
        </w:rPr>
        <w:t>K.</w:t>
      </w:r>
      <w:r w:rsidRPr="00A305EE">
        <w:rPr>
          <w:rStyle w:val="doceo-font-family-base"/>
          <w:color w:val="1E1E1F"/>
        </w:rPr>
        <w:tab/>
        <w:t xml:space="preserve">considerando che gli elementi di cui sopra </w:t>
      </w:r>
      <w:r w:rsidR="00CA517C" w:rsidRPr="00A305EE">
        <w:rPr>
          <w:rStyle w:val="doceo-font-family-base"/>
          <w:color w:val="1E1E1F"/>
        </w:rPr>
        <w:t>sollevano</w:t>
      </w:r>
      <w:r w:rsidRPr="00A305EE">
        <w:rPr>
          <w:rStyle w:val="doceo-font-family-base"/>
          <w:color w:val="1E1E1F"/>
        </w:rPr>
        <w:t xml:space="preserve"> seri </w:t>
      </w:r>
      <w:r w:rsidR="00C167F7" w:rsidRPr="00A305EE">
        <w:rPr>
          <w:rStyle w:val="doceo-font-family-base"/>
          <w:color w:val="1E1E1F"/>
        </w:rPr>
        <w:t xml:space="preserve">timori </w:t>
      </w:r>
      <w:r w:rsidR="00122B83" w:rsidRPr="00A305EE">
        <w:rPr>
          <w:rStyle w:val="doceo-font-family-base"/>
          <w:color w:val="1E1E1F"/>
        </w:rPr>
        <w:t xml:space="preserve">sul se vi sia </w:t>
      </w:r>
      <w:r w:rsidRPr="00A305EE">
        <w:rPr>
          <w:rStyle w:val="doceo-font-family-base"/>
          <w:color w:val="1E1E1F"/>
        </w:rPr>
        <w:t xml:space="preserve">l'intenzione di compromettere l'attività politica di </w:t>
      </w:r>
      <w:r w:rsidRPr="00A305EE">
        <w:t xml:space="preserve">Péter Magyar, </w:t>
      </w:r>
      <w:r w:rsidR="00122B83" w:rsidRPr="00A305EE">
        <w:t xml:space="preserve">e </w:t>
      </w:r>
      <w:r w:rsidRPr="00A305EE">
        <w:rPr>
          <w:rStyle w:val="doceo-font-family-base"/>
          <w:color w:val="1E1E1F"/>
        </w:rPr>
        <w:t>in particolare la sua attività di deputato al Parlamento europeo;</w:t>
      </w:r>
    </w:p>
    <w:p w14:paraId="139770BD" w14:textId="63239651" w:rsidR="00424FF4" w:rsidRPr="00A305EE" w:rsidRDefault="00424FF4" w:rsidP="00424FF4">
      <w:pPr>
        <w:pStyle w:val="doceo-line-height-base"/>
        <w:shd w:val="clear" w:color="auto" w:fill="FFFFFF"/>
        <w:spacing w:before="0" w:beforeAutospacing="0" w:after="240" w:afterAutospacing="0"/>
        <w:ind w:left="567" w:hanging="567"/>
        <w:rPr>
          <w:rFonts w:ascii="Helvetica" w:hAnsi="Helvetica"/>
          <w:color w:val="1E1E1F"/>
        </w:rPr>
      </w:pPr>
      <w:r w:rsidRPr="00A305EE">
        <w:rPr>
          <w:rStyle w:val="doceo-font-family-base"/>
          <w:color w:val="1E1E1F"/>
        </w:rPr>
        <w:t>L.</w:t>
      </w:r>
      <w:r w:rsidRPr="00A305EE">
        <w:rPr>
          <w:rStyle w:val="doceo-font-family-base"/>
          <w:rFonts w:ascii="Helvetica" w:hAnsi="Helvetica"/>
          <w:color w:val="1E1E1F"/>
        </w:rPr>
        <w:tab/>
      </w:r>
      <w:r w:rsidRPr="00A305EE">
        <w:t>considerando che sembrerebbe dunque</w:t>
      </w:r>
      <w:r w:rsidR="00CA517C" w:rsidRPr="00A305EE">
        <w:t xml:space="preserve">, in questo caso, che si possa </w:t>
      </w:r>
      <w:r w:rsidRPr="00A305EE">
        <w:t xml:space="preserve">presupporre </w:t>
      </w:r>
      <w:r w:rsidR="00CA517C" w:rsidRPr="00A305EE">
        <w:t>la sussistenza del</w:t>
      </w:r>
      <w:r w:rsidRPr="00A305EE">
        <w:t xml:space="preserve"> </w:t>
      </w:r>
      <w:r w:rsidRPr="00A305EE">
        <w:rPr>
          <w:i/>
          <w:iCs/>
        </w:rPr>
        <w:t xml:space="preserve">fumus </w:t>
      </w:r>
      <w:proofErr w:type="spellStart"/>
      <w:r w:rsidRPr="00A305EE">
        <w:rPr>
          <w:i/>
          <w:iCs/>
        </w:rPr>
        <w:t>persecutionis</w:t>
      </w:r>
      <w:proofErr w:type="spellEnd"/>
      <w:r w:rsidRPr="00A305EE">
        <w:t>, vale a dire "elementi concreti"</w:t>
      </w:r>
      <w:r w:rsidRPr="00A305EE">
        <w:rPr>
          <w:rStyle w:val="FootnoteReference"/>
          <w:color w:val="1E1E1F"/>
        </w:rPr>
        <w:footnoteReference w:id="3"/>
      </w:r>
      <w:r w:rsidRPr="00A305EE">
        <w:t xml:space="preserve"> dai quali si evince che l'intento alla base del procedimento giudiziario in questione è quello di </w:t>
      </w:r>
      <w:r w:rsidR="00CA517C" w:rsidRPr="00A305EE">
        <w:t>recare pregiudizio al</w:t>
      </w:r>
      <w:r w:rsidRPr="00A305EE">
        <w:t xml:space="preserve">l'attività politica di Péter Magyar mediante la richiesta di revoca dell'immunità, </w:t>
      </w:r>
      <w:r w:rsidR="00357FCC" w:rsidRPr="00A305EE">
        <w:t xml:space="preserve">nel momento in cui era </w:t>
      </w:r>
      <w:r w:rsidRPr="00A305EE">
        <w:t>candidato capolista del suo partito politico alle elezioni europee del 2024;</w:t>
      </w:r>
    </w:p>
    <w:p w14:paraId="33CCC81F" w14:textId="77777777" w:rsidR="00424FF4" w:rsidRPr="00A305EE" w:rsidRDefault="00424FF4" w:rsidP="00424FF4">
      <w:pPr>
        <w:pStyle w:val="NormalHanging12a"/>
        <w:widowControl/>
      </w:pPr>
      <w:r w:rsidRPr="00A305EE">
        <w:t>M.</w:t>
      </w:r>
      <w:r w:rsidRPr="00A305EE">
        <w:tab/>
        <w:t>considerando, da un lato, che il Parlamento non dovrebbe essere assimilato a un tribunale e, dall'altro, che il deputato non dovrebbe, nel contesto di una procedura di revoca dell'immunità, essere considerato un "accusato"</w:t>
      </w:r>
      <w:r w:rsidRPr="00A305EE">
        <w:rPr>
          <w:vertAlign w:val="superscript"/>
        </w:rPr>
        <w:footnoteReference w:id="4"/>
      </w:r>
      <w:r w:rsidRPr="00A305EE">
        <w:t>;</w:t>
      </w:r>
    </w:p>
    <w:p w14:paraId="52260F59" w14:textId="77777777" w:rsidR="00424FF4" w:rsidRPr="00A305EE" w:rsidRDefault="00424FF4" w:rsidP="00424FF4">
      <w:pPr>
        <w:pStyle w:val="NormalHanging12a"/>
      </w:pPr>
      <w:r w:rsidRPr="00A305EE">
        <w:t>1.</w:t>
      </w:r>
      <w:r w:rsidRPr="00A305EE">
        <w:tab/>
        <w:t>decide di non revocare l'immunità di Péter Magyar;</w:t>
      </w:r>
    </w:p>
    <w:p w14:paraId="1927AB1E" w14:textId="0EAD7B58" w:rsidR="0033207B" w:rsidRPr="00A305EE" w:rsidRDefault="00424FF4" w:rsidP="0033207B">
      <w:pPr>
        <w:pStyle w:val="NormalHanging12a"/>
      </w:pPr>
      <w:r w:rsidRPr="00A305EE">
        <w:t>2.</w:t>
      </w:r>
      <w:r w:rsidRPr="00A305EE">
        <w:tab/>
        <w:t>incarica la sua Presidente di trasmettere immediatamente la presente decisione e la relazione della sua commissione competente alle autorità competenti dell'Ungheria e a Péter Magyar.</w:t>
      </w:r>
    </w:p>
    <w:p w14:paraId="7706762C" w14:textId="718C0EA5" w:rsidR="00E365E1" w:rsidRPr="00A305EE" w:rsidRDefault="00E365E1" w:rsidP="0065131C"/>
    <w:sectPr w:rsidR="00E365E1" w:rsidRPr="00A305EE" w:rsidSect="003320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F0A5A" w14:textId="77777777" w:rsidR="0065131C" w:rsidRPr="0033207B" w:rsidRDefault="0065131C">
      <w:r w:rsidRPr="0033207B">
        <w:separator/>
      </w:r>
    </w:p>
  </w:endnote>
  <w:endnote w:type="continuationSeparator" w:id="0">
    <w:p w14:paraId="3DF895B6" w14:textId="77777777" w:rsidR="0065131C" w:rsidRPr="0033207B" w:rsidRDefault="0065131C">
      <w:r w:rsidRPr="003320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3D018" w14:textId="77777777" w:rsidR="00064002" w:rsidRPr="0033207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258CD" w14:textId="77777777" w:rsidR="00064002" w:rsidRPr="0033207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7FC40" w14:textId="77777777" w:rsidR="00064002" w:rsidRPr="003320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19D30" w14:textId="77777777" w:rsidR="0065131C" w:rsidRPr="0033207B" w:rsidRDefault="0065131C">
      <w:r w:rsidRPr="0033207B">
        <w:separator/>
      </w:r>
    </w:p>
  </w:footnote>
  <w:footnote w:type="continuationSeparator" w:id="0">
    <w:p w14:paraId="78AD4013" w14:textId="77777777" w:rsidR="0065131C" w:rsidRPr="0033207B" w:rsidRDefault="0065131C">
      <w:r w:rsidRPr="0033207B">
        <w:continuationSeparator/>
      </w:r>
    </w:p>
  </w:footnote>
  <w:footnote w:id="1">
    <w:p w14:paraId="1C66FED5" w14:textId="0149DA19" w:rsidR="00424FF4" w:rsidRPr="0033207B" w:rsidRDefault="00424FF4" w:rsidP="0033207B">
      <w:pPr>
        <w:pStyle w:val="FootnoteText"/>
        <w:ind w:left="567" w:hanging="567"/>
        <w:rPr>
          <w:sz w:val="24"/>
          <w:lang w:val="it-IT"/>
        </w:rPr>
      </w:pPr>
      <w:r w:rsidRPr="0033207B">
        <w:rPr>
          <w:rStyle w:val="FootnoteReference"/>
          <w:sz w:val="24"/>
          <w:lang w:val="it-IT"/>
        </w:rPr>
        <w:footnoteRef/>
      </w:r>
      <w:r w:rsidR="0033207B" w:rsidRPr="0033207B">
        <w:rPr>
          <w:sz w:val="24"/>
          <w:lang w:val="it-IT"/>
        </w:rPr>
        <w:t xml:space="preserve"> </w:t>
      </w:r>
      <w:r w:rsidR="0033207B" w:rsidRPr="0033207B">
        <w:rPr>
          <w:sz w:val="24"/>
          <w:lang w:val="it-IT"/>
        </w:rPr>
        <w:tab/>
      </w:r>
      <w:r w:rsidRPr="0033207B">
        <w:rPr>
          <w:sz w:val="24"/>
          <w:lang w:val="it-IT"/>
        </w:rPr>
        <w:t xml:space="preserve">Sentenza della Corte di giustizia del 21 ottobre 2008, </w:t>
      </w:r>
      <w:r w:rsidRPr="00A305EE">
        <w:rPr>
          <w:i/>
          <w:iCs/>
          <w:sz w:val="24"/>
          <w:lang w:val="it-IT"/>
        </w:rPr>
        <w:t>Marra/De Gregorio e Clemente</w:t>
      </w:r>
      <w:r w:rsidRPr="0033207B">
        <w:rPr>
          <w:sz w:val="24"/>
          <w:lang w:val="it-IT"/>
        </w:rPr>
        <w:t xml:space="preserve">, C-200/07 e C-201/07, ECLI:EU:C:2008:579; sentenza del Tribunale del 19 marzo 2010, </w:t>
      </w:r>
      <w:proofErr w:type="spellStart"/>
      <w:r w:rsidRPr="00A305EE">
        <w:rPr>
          <w:i/>
          <w:iCs/>
          <w:sz w:val="24"/>
          <w:lang w:val="it-IT"/>
        </w:rPr>
        <w:t>Gollnisch</w:t>
      </w:r>
      <w:proofErr w:type="spellEnd"/>
      <w:r w:rsidRPr="00A305EE">
        <w:rPr>
          <w:i/>
          <w:iCs/>
          <w:sz w:val="24"/>
          <w:lang w:val="it-IT"/>
        </w:rPr>
        <w:t>/Parlamento</w:t>
      </w:r>
      <w:r w:rsidRPr="0033207B">
        <w:rPr>
          <w:sz w:val="24"/>
          <w:lang w:val="it-IT"/>
        </w:rPr>
        <w:t xml:space="preserve">, T-42/06, ECLI:EU:T:2010:102; sentenza della Corte di giustizia del 6 settembre 2011, Patriciello, C-163/10, ECLI:EU:C:2011:543; sentenza del Tribunale del 17 gennaio 2013, </w:t>
      </w:r>
      <w:proofErr w:type="spellStart"/>
      <w:r w:rsidRPr="00A305EE">
        <w:rPr>
          <w:i/>
          <w:iCs/>
          <w:sz w:val="24"/>
          <w:lang w:val="it-IT"/>
        </w:rPr>
        <w:t>Gollnisch</w:t>
      </w:r>
      <w:proofErr w:type="spellEnd"/>
      <w:r w:rsidRPr="00A305EE">
        <w:rPr>
          <w:i/>
          <w:iCs/>
          <w:sz w:val="24"/>
          <w:lang w:val="it-IT"/>
        </w:rPr>
        <w:t>/Parlamento</w:t>
      </w:r>
      <w:r w:rsidRPr="0033207B">
        <w:rPr>
          <w:sz w:val="24"/>
          <w:lang w:val="it-IT"/>
        </w:rPr>
        <w:t xml:space="preserve">, T-346/11 e T-347/11, ECLI:EU:T:2013:23; sentenza della Corte di giustizia del 19 dicembre 2019, </w:t>
      </w:r>
      <w:proofErr w:type="spellStart"/>
      <w:r w:rsidRPr="0033207B">
        <w:rPr>
          <w:sz w:val="24"/>
          <w:lang w:val="it-IT"/>
        </w:rPr>
        <w:t>J</w:t>
      </w:r>
      <w:r w:rsidRPr="00A305EE">
        <w:rPr>
          <w:i/>
          <w:iCs/>
          <w:sz w:val="24"/>
          <w:lang w:val="it-IT"/>
        </w:rPr>
        <w:t>unqueras</w:t>
      </w:r>
      <w:proofErr w:type="spellEnd"/>
      <w:r w:rsidRPr="00A305EE">
        <w:rPr>
          <w:i/>
          <w:iCs/>
          <w:sz w:val="24"/>
          <w:lang w:val="it-IT"/>
        </w:rPr>
        <w:t xml:space="preserve"> </w:t>
      </w:r>
      <w:proofErr w:type="spellStart"/>
      <w:r w:rsidRPr="00A305EE">
        <w:rPr>
          <w:i/>
          <w:iCs/>
          <w:sz w:val="24"/>
          <w:lang w:val="it-IT"/>
        </w:rPr>
        <w:t>Vies</w:t>
      </w:r>
      <w:proofErr w:type="spellEnd"/>
      <w:r w:rsidRPr="0033207B">
        <w:rPr>
          <w:sz w:val="24"/>
          <w:lang w:val="it-IT"/>
        </w:rPr>
        <w:t xml:space="preserve">, C-502/19, ECLI:EU:C:2019:1115; sentenza del Tribunale del 5 luglio 2023, </w:t>
      </w:r>
      <w:proofErr w:type="spellStart"/>
      <w:r w:rsidRPr="00A305EE">
        <w:rPr>
          <w:i/>
          <w:iCs/>
          <w:sz w:val="24"/>
          <w:lang w:val="it-IT"/>
        </w:rPr>
        <w:t>Puigdemont</w:t>
      </w:r>
      <w:proofErr w:type="spellEnd"/>
      <w:r w:rsidRPr="00A305EE">
        <w:rPr>
          <w:i/>
          <w:iCs/>
          <w:sz w:val="24"/>
          <w:lang w:val="it-IT"/>
        </w:rPr>
        <w:t xml:space="preserve"> i </w:t>
      </w:r>
      <w:proofErr w:type="spellStart"/>
      <w:r w:rsidRPr="00A305EE">
        <w:rPr>
          <w:i/>
          <w:iCs/>
          <w:sz w:val="24"/>
          <w:lang w:val="it-IT"/>
        </w:rPr>
        <w:t>Casamajó</w:t>
      </w:r>
      <w:proofErr w:type="spellEnd"/>
      <w:r w:rsidRPr="00A305EE">
        <w:rPr>
          <w:i/>
          <w:iCs/>
          <w:sz w:val="24"/>
          <w:lang w:val="it-IT"/>
        </w:rPr>
        <w:t xml:space="preserve"> e a./Parlamento</w:t>
      </w:r>
      <w:r w:rsidRPr="0033207B">
        <w:rPr>
          <w:sz w:val="24"/>
          <w:lang w:val="it-IT"/>
        </w:rPr>
        <w:t>, T-272/21, ECLI:EU:T:2023:373.</w:t>
      </w:r>
    </w:p>
  </w:footnote>
  <w:footnote w:id="2">
    <w:p w14:paraId="364B00F4" w14:textId="0F775951" w:rsidR="00424FF4" w:rsidRPr="0033207B" w:rsidRDefault="00424FF4" w:rsidP="0033207B">
      <w:pPr>
        <w:pStyle w:val="FootnoteText"/>
        <w:ind w:left="567" w:hanging="567"/>
        <w:rPr>
          <w:sz w:val="24"/>
          <w:lang w:val="it-IT"/>
        </w:rPr>
      </w:pPr>
      <w:r w:rsidRPr="0033207B">
        <w:rPr>
          <w:rStyle w:val="FootnoteReference"/>
          <w:sz w:val="24"/>
          <w:lang w:val="it-IT"/>
        </w:rPr>
        <w:footnoteRef/>
      </w:r>
      <w:r w:rsidR="0033207B" w:rsidRPr="0033207B">
        <w:rPr>
          <w:sz w:val="24"/>
          <w:lang w:val="it-IT"/>
        </w:rPr>
        <w:t xml:space="preserve"> </w:t>
      </w:r>
      <w:r w:rsidR="0033207B" w:rsidRPr="0033207B">
        <w:rPr>
          <w:sz w:val="24"/>
          <w:lang w:val="it-IT"/>
        </w:rPr>
        <w:tab/>
      </w:r>
      <w:r w:rsidRPr="0033207B">
        <w:rPr>
          <w:sz w:val="24"/>
          <w:lang w:val="it-IT"/>
        </w:rPr>
        <w:t xml:space="preserve">Sentenza del Tribunale del 17 gennaio 2013, </w:t>
      </w:r>
      <w:proofErr w:type="spellStart"/>
      <w:r w:rsidRPr="0033207B">
        <w:rPr>
          <w:sz w:val="24"/>
          <w:lang w:val="it-IT"/>
        </w:rPr>
        <w:t>Gollnisch</w:t>
      </w:r>
      <w:proofErr w:type="spellEnd"/>
      <w:r w:rsidRPr="0033207B">
        <w:rPr>
          <w:sz w:val="24"/>
          <w:lang w:val="it-IT"/>
        </w:rPr>
        <w:t>/Parlamento, T-346/11 e T-347/11, ECLI:</w:t>
      </w:r>
      <w:proofErr w:type="gramStart"/>
      <w:r w:rsidRPr="0033207B">
        <w:rPr>
          <w:sz w:val="24"/>
          <w:lang w:val="it-IT"/>
        </w:rPr>
        <w:t>EU:T</w:t>
      </w:r>
      <w:proofErr w:type="gramEnd"/>
      <w:r w:rsidRPr="0033207B">
        <w:rPr>
          <w:sz w:val="24"/>
          <w:lang w:val="it-IT"/>
        </w:rPr>
        <w:t>:2013:23, punto 59 e giurisprudenza ivi citata.</w:t>
      </w:r>
    </w:p>
  </w:footnote>
  <w:footnote w:id="3">
    <w:p w14:paraId="767066BB" w14:textId="4B789D9F" w:rsidR="00424FF4" w:rsidRPr="0033207B" w:rsidRDefault="00424FF4" w:rsidP="0033207B">
      <w:pPr>
        <w:pStyle w:val="FootnoteText"/>
        <w:ind w:left="567" w:hanging="567"/>
        <w:rPr>
          <w:sz w:val="24"/>
          <w:lang w:val="it-IT"/>
        </w:rPr>
      </w:pPr>
      <w:r w:rsidRPr="0033207B">
        <w:rPr>
          <w:rStyle w:val="FootnoteReference"/>
          <w:sz w:val="24"/>
          <w:lang w:val="it-IT"/>
        </w:rPr>
        <w:footnoteRef/>
      </w:r>
      <w:r w:rsidR="0033207B" w:rsidRPr="0033207B">
        <w:rPr>
          <w:sz w:val="24"/>
          <w:lang w:val="it-IT"/>
        </w:rPr>
        <w:t xml:space="preserve"> </w:t>
      </w:r>
      <w:r w:rsidR="0033207B" w:rsidRPr="0033207B">
        <w:rPr>
          <w:sz w:val="24"/>
          <w:lang w:val="it-IT"/>
        </w:rPr>
        <w:tab/>
      </w:r>
      <w:r w:rsidRPr="0033207B">
        <w:rPr>
          <w:sz w:val="24"/>
          <w:lang w:val="it-IT"/>
        </w:rPr>
        <w:t xml:space="preserve">Sentenza della Corte di giustizia del 17 settembre 2020, </w:t>
      </w:r>
      <w:proofErr w:type="spellStart"/>
      <w:r w:rsidRPr="0033207B">
        <w:rPr>
          <w:sz w:val="24"/>
          <w:lang w:val="it-IT"/>
        </w:rPr>
        <w:t>Troszczynski</w:t>
      </w:r>
      <w:proofErr w:type="spellEnd"/>
      <w:r w:rsidRPr="0033207B">
        <w:rPr>
          <w:sz w:val="24"/>
          <w:lang w:val="it-IT"/>
        </w:rPr>
        <w:t>/Parlamento, C-12/19, ECLI:EU:C:2020:725, punto 26.</w:t>
      </w:r>
    </w:p>
  </w:footnote>
  <w:footnote w:id="4">
    <w:p w14:paraId="512208D2" w14:textId="57EF5891" w:rsidR="00424FF4" w:rsidRPr="0033207B" w:rsidRDefault="00424FF4" w:rsidP="0033207B">
      <w:pPr>
        <w:pStyle w:val="FootnoteText"/>
        <w:ind w:left="567" w:hanging="567"/>
        <w:rPr>
          <w:sz w:val="24"/>
          <w:lang w:val="it-IT"/>
        </w:rPr>
      </w:pPr>
      <w:r w:rsidRPr="0033207B">
        <w:rPr>
          <w:rStyle w:val="FootnoteReference"/>
          <w:sz w:val="24"/>
          <w:lang w:val="it-IT"/>
        </w:rPr>
        <w:footnoteRef/>
      </w:r>
      <w:r w:rsidR="0033207B" w:rsidRPr="0033207B">
        <w:rPr>
          <w:sz w:val="24"/>
          <w:lang w:val="it-IT"/>
        </w:rPr>
        <w:t xml:space="preserve"> </w:t>
      </w:r>
      <w:r w:rsidR="0033207B" w:rsidRPr="0033207B">
        <w:rPr>
          <w:sz w:val="24"/>
          <w:lang w:val="it-IT"/>
        </w:rPr>
        <w:tab/>
      </w:r>
      <w:r w:rsidRPr="0033207B">
        <w:rPr>
          <w:sz w:val="24"/>
          <w:lang w:val="it-IT"/>
        </w:rPr>
        <w:t xml:space="preserve">Sentenza del Tribunale del 30 aprile 2019, </w:t>
      </w:r>
      <w:proofErr w:type="spellStart"/>
      <w:r w:rsidRPr="0033207B">
        <w:rPr>
          <w:sz w:val="24"/>
          <w:lang w:val="it-IT"/>
        </w:rPr>
        <w:t>Briois</w:t>
      </w:r>
      <w:proofErr w:type="spellEnd"/>
      <w:r w:rsidRPr="0033207B">
        <w:rPr>
          <w:sz w:val="24"/>
          <w:lang w:val="it-IT"/>
        </w:rPr>
        <w:t>/Parlamento, T-214/18, ECLI:</w:t>
      </w:r>
      <w:proofErr w:type="gramStart"/>
      <w:r w:rsidRPr="0033207B">
        <w:rPr>
          <w:sz w:val="24"/>
          <w:lang w:val="it-IT"/>
        </w:rPr>
        <w:t>EU:T</w:t>
      </w:r>
      <w:proofErr w:type="gramEnd"/>
      <w:r w:rsidRPr="0033207B">
        <w:rPr>
          <w:sz w:val="24"/>
          <w:lang w:val="it-I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0A775" w14:textId="77777777" w:rsidR="00064002" w:rsidRPr="0033207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E5821" w14:textId="77777777" w:rsidR="00064002" w:rsidRPr="0033207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26B29" w14:textId="77777777" w:rsidR="00064002" w:rsidRPr="003320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51490147">
    <w:abstractNumId w:val="9"/>
  </w:num>
  <w:num w:numId="2" w16cid:durableId="551189186">
    <w:abstractNumId w:val="9"/>
  </w:num>
  <w:num w:numId="3" w16cid:durableId="1611470897">
    <w:abstractNumId w:val="7"/>
  </w:num>
  <w:num w:numId="4" w16cid:durableId="249393093">
    <w:abstractNumId w:val="7"/>
  </w:num>
  <w:num w:numId="5" w16cid:durableId="1261644475">
    <w:abstractNumId w:val="6"/>
  </w:num>
  <w:num w:numId="6" w16cid:durableId="373235241">
    <w:abstractNumId w:val="6"/>
  </w:num>
  <w:num w:numId="7" w16cid:durableId="1966080658">
    <w:abstractNumId w:val="5"/>
  </w:num>
  <w:num w:numId="8" w16cid:durableId="1672374252">
    <w:abstractNumId w:val="5"/>
  </w:num>
  <w:num w:numId="9" w16cid:durableId="1057047050">
    <w:abstractNumId w:val="4"/>
  </w:num>
  <w:num w:numId="10" w16cid:durableId="1558782292">
    <w:abstractNumId w:val="4"/>
  </w:num>
  <w:num w:numId="11" w16cid:durableId="1697147634">
    <w:abstractNumId w:val="8"/>
  </w:num>
  <w:num w:numId="12" w16cid:durableId="1016467929">
    <w:abstractNumId w:val="8"/>
  </w:num>
  <w:num w:numId="13" w16cid:durableId="654531460">
    <w:abstractNumId w:val="3"/>
  </w:num>
  <w:num w:numId="14" w16cid:durableId="2028746285">
    <w:abstractNumId w:val="3"/>
  </w:num>
  <w:num w:numId="15" w16cid:durableId="1644969775">
    <w:abstractNumId w:val="2"/>
  </w:num>
  <w:num w:numId="16" w16cid:durableId="788544606">
    <w:abstractNumId w:val="2"/>
  </w:num>
  <w:num w:numId="17" w16cid:durableId="814644495">
    <w:abstractNumId w:val="1"/>
  </w:num>
  <w:num w:numId="18" w16cid:durableId="1797750175">
    <w:abstractNumId w:val="1"/>
  </w:num>
  <w:num w:numId="19" w16cid:durableId="428283275">
    <w:abstractNumId w:val="0"/>
  </w:num>
  <w:num w:numId="20" w16cid:durableId="2013221993">
    <w:abstractNumId w:val="0"/>
  </w:num>
  <w:num w:numId="21" w16cid:durableId="288317364">
    <w:abstractNumId w:val="9"/>
  </w:num>
  <w:num w:numId="22" w16cid:durableId="1815445276">
    <w:abstractNumId w:val="7"/>
  </w:num>
  <w:num w:numId="23" w16cid:durableId="1205168463">
    <w:abstractNumId w:val="6"/>
  </w:num>
  <w:num w:numId="24" w16cid:durableId="646472647">
    <w:abstractNumId w:val="5"/>
  </w:num>
  <w:num w:numId="25" w16cid:durableId="739717975">
    <w:abstractNumId w:val="4"/>
  </w:num>
  <w:num w:numId="26" w16cid:durableId="821507383">
    <w:abstractNumId w:val="8"/>
  </w:num>
  <w:num w:numId="27" w16cid:durableId="560823880">
    <w:abstractNumId w:val="3"/>
  </w:num>
  <w:num w:numId="28" w16cid:durableId="1861771389">
    <w:abstractNumId w:val="2"/>
  </w:num>
  <w:num w:numId="29" w16cid:durableId="1039432259">
    <w:abstractNumId w:val="1"/>
  </w:num>
  <w:num w:numId="30" w16cid:durableId="799423373">
    <w:abstractNumId w:val="0"/>
  </w:num>
  <w:num w:numId="31" w16cid:durableId="715616803">
    <w:abstractNumId w:val="9"/>
  </w:num>
  <w:num w:numId="32" w16cid:durableId="1301497096">
    <w:abstractNumId w:val="7"/>
  </w:num>
  <w:num w:numId="33" w16cid:durableId="1729954341">
    <w:abstractNumId w:val="6"/>
  </w:num>
  <w:num w:numId="34" w16cid:durableId="1795176446">
    <w:abstractNumId w:val="5"/>
  </w:num>
  <w:num w:numId="35" w16cid:durableId="749884338">
    <w:abstractNumId w:val="4"/>
  </w:num>
  <w:num w:numId="36" w16cid:durableId="1503160100">
    <w:abstractNumId w:val="8"/>
  </w:num>
  <w:num w:numId="37" w16cid:durableId="1141506334">
    <w:abstractNumId w:val="3"/>
  </w:num>
  <w:num w:numId="38" w16cid:durableId="1826118340">
    <w:abstractNumId w:val="2"/>
  </w:num>
  <w:num w:numId="39" w16cid:durableId="1666665695">
    <w:abstractNumId w:val="1"/>
  </w:num>
  <w:num w:numId="40" w16cid:durableId="1601329288">
    <w:abstractNumId w:val="0"/>
  </w:num>
  <w:num w:numId="41" w16cid:durableId="1945845014">
    <w:abstractNumId w:val="10"/>
  </w:num>
  <w:num w:numId="42" w16cid:durableId="1690906314">
    <w:abstractNumId w:val="10"/>
  </w:num>
  <w:num w:numId="43" w16cid:durableId="1779787700">
    <w:abstractNumId w:val="10"/>
  </w:num>
  <w:num w:numId="44" w16cid:durableId="21304720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2/2025"/>
    <w:docVar w:name="dvlangue" w:val="IT"/>
    <w:docVar w:name="dvnumam" w:val="0"/>
    <w:docVar w:name="dvpe" w:val="775.580"/>
    <w:docVar w:name="dvrapporteur" w:val="Relatrice: "/>
    <w:docVar w:name="dvtitre" w:val="Decisione del Parlamento europeo del 7 ottobre 2025 sulla richiesta di revoca dell'immunità di Péter Magyar(2025/2096(IMM))"/>
  </w:docVars>
  <w:rsids>
    <w:rsidRoot w:val="0065131C"/>
    <w:rsid w:val="00002272"/>
    <w:rsid w:val="00064002"/>
    <w:rsid w:val="000677B9"/>
    <w:rsid w:val="000831BA"/>
    <w:rsid w:val="000A42CC"/>
    <w:rsid w:val="000E7DD9"/>
    <w:rsid w:val="0010095E"/>
    <w:rsid w:val="00122B83"/>
    <w:rsid w:val="00125B37"/>
    <w:rsid w:val="00143A8D"/>
    <w:rsid w:val="00187494"/>
    <w:rsid w:val="001F32AE"/>
    <w:rsid w:val="002767FF"/>
    <w:rsid w:val="00295B5B"/>
    <w:rsid w:val="002B18FE"/>
    <w:rsid w:val="002B5493"/>
    <w:rsid w:val="0033207B"/>
    <w:rsid w:val="00343214"/>
    <w:rsid w:val="00357FCC"/>
    <w:rsid w:val="00361C00"/>
    <w:rsid w:val="00366267"/>
    <w:rsid w:val="00395FA1"/>
    <w:rsid w:val="003B1EA8"/>
    <w:rsid w:val="003E15D4"/>
    <w:rsid w:val="00411CCE"/>
    <w:rsid w:val="0041666E"/>
    <w:rsid w:val="00421060"/>
    <w:rsid w:val="00424FF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131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11CB"/>
    <w:rsid w:val="00817416"/>
    <w:rsid w:val="00837477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05EE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B4F"/>
    <w:rsid w:val="00B558F0"/>
    <w:rsid w:val="00BA4571"/>
    <w:rsid w:val="00BC2EA4"/>
    <w:rsid w:val="00BD48FE"/>
    <w:rsid w:val="00BD7BD8"/>
    <w:rsid w:val="00BE6ADC"/>
    <w:rsid w:val="00C05BFE"/>
    <w:rsid w:val="00C167F7"/>
    <w:rsid w:val="00C23CD4"/>
    <w:rsid w:val="00C61C0C"/>
    <w:rsid w:val="00C941CB"/>
    <w:rsid w:val="00CA517C"/>
    <w:rsid w:val="00CC2357"/>
    <w:rsid w:val="00CD3C89"/>
    <w:rsid w:val="00CF071A"/>
    <w:rsid w:val="00D058B8"/>
    <w:rsid w:val="00D56C11"/>
    <w:rsid w:val="00D834A0"/>
    <w:rsid w:val="00D872DF"/>
    <w:rsid w:val="00D91E21"/>
    <w:rsid w:val="00DA7FCD"/>
    <w:rsid w:val="00DB7DBC"/>
    <w:rsid w:val="00E365E1"/>
    <w:rsid w:val="00E820A4"/>
    <w:rsid w:val="00EB006A"/>
    <w:rsid w:val="00EB4772"/>
    <w:rsid w:val="00ED169E"/>
    <w:rsid w:val="00ED4235"/>
    <w:rsid w:val="00F04346"/>
    <w:rsid w:val="00F075DC"/>
    <w:rsid w:val="00F10378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25301F"/>
  <w15:chartTrackingRefBased/>
  <w15:docId w15:val="{9AE571DD-0ABB-498D-8639-66E9232A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24FF4"/>
    <w:pPr>
      <w:spacing w:after="240"/>
      <w:ind w:left="567" w:hanging="567"/>
    </w:pPr>
  </w:style>
  <w:style w:type="character" w:customStyle="1" w:styleId="doceo-font-family-base">
    <w:name w:val="doceo-font-family-base"/>
    <w:basedOn w:val="DefaultParagraphFont"/>
    <w:rsid w:val="00424FF4"/>
  </w:style>
  <w:style w:type="paragraph" w:customStyle="1" w:styleId="EPComma">
    <w:name w:val="EPComma"/>
    <w:basedOn w:val="Normal"/>
    <w:rsid w:val="00424FF4"/>
    <w:pPr>
      <w:spacing w:before="480" w:after="240"/>
    </w:pPr>
  </w:style>
  <w:style w:type="paragraph" w:customStyle="1" w:styleId="doceo-line-height-base">
    <w:name w:val="doceo-line-height-base"/>
    <w:basedOn w:val="Normal"/>
    <w:rsid w:val="00424FF4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BA4571"/>
    <w:rPr>
      <w:sz w:val="24"/>
      <w:lang w:val="it-IT"/>
    </w:rPr>
  </w:style>
  <w:style w:type="character" w:styleId="CommentReference">
    <w:name w:val="annotation reference"/>
    <w:basedOn w:val="DefaultParagraphFont"/>
    <w:rsid w:val="00BA457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A457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A4571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BA4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A4571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1111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AR_RELEC</dc:creator>
  <cp:keywords/>
  <cp:lastModifiedBy>AR_rev 1</cp:lastModifiedBy>
  <cp:revision>2</cp:revision>
  <cp:lastPrinted>2004-11-19T15:42:00Z</cp:lastPrinted>
  <dcterms:created xsi:type="dcterms:W3CDTF">2025-10-07T12:32:00Z</dcterms:created>
  <dcterms:modified xsi:type="dcterms:W3CDTF">2025-10-07T12:32:00Z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A10-0182/2025</vt:lpwstr>
  </property>
  <property fmtid="{D5CDD505-2E9C-101B-9397-08002B2CF9AE}" pid="4" name="&lt;Type&gt;">
    <vt:lpwstr>RR</vt:lpwstr>
  </property>
</Properties>
</file>