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083" w14:paraId="14054444" w14:textId="77777777" w:rsidTr="0010095E">
        <w:trPr>
          <w:trHeight w:hRule="exact" w:val="1418"/>
        </w:trPr>
        <w:tc>
          <w:tcPr>
            <w:tcW w:w="6804" w:type="dxa"/>
            <w:shd w:val="clear" w:color="auto" w:fill="auto"/>
            <w:vAlign w:val="center"/>
          </w:tcPr>
          <w:p w14:paraId="01561C92" w14:textId="77777777" w:rsidR="00751A4A" w:rsidRPr="00107083" w:rsidRDefault="00296EF1" w:rsidP="0010095E">
            <w:pPr>
              <w:pStyle w:val="EPName"/>
            </w:pPr>
            <w:r w:rsidRPr="00107083">
              <w:t>Europos Parlamentas</w:t>
            </w:r>
          </w:p>
          <w:p w14:paraId="5F92C310" w14:textId="77777777" w:rsidR="00751A4A" w:rsidRPr="00107083" w:rsidRDefault="005F1B17" w:rsidP="005F1B17">
            <w:pPr>
              <w:pStyle w:val="EPTerm"/>
              <w:rPr>
                <w:rStyle w:val="HideTWBExt"/>
                <w:noProof w:val="0"/>
                <w:vanish w:val="0"/>
                <w:color w:val="auto"/>
              </w:rPr>
            </w:pPr>
            <w:r w:rsidRPr="00107083">
              <w:t>2024</w:t>
            </w:r>
            <w:r w:rsidR="00817416" w:rsidRPr="00107083">
              <w:t>-202</w:t>
            </w:r>
            <w:r w:rsidRPr="00107083">
              <w:t>9</w:t>
            </w:r>
          </w:p>
        </w:tc>
        <w:tc>
          <w:tcPr>
            <w:tcW w:w="2268" w:type="dxa"/>
            <w:shd w:val="clear" w:color="auto" w:fill="auto"/>
          </w:tcPr>
          <w:p w14:paraId="1C52153B" w14:textId="77777777" w:rsidR="00751A4A" w:rsidRPr="00107083" w:rsidRDefault="00187494" w:rsidP="0010095E">
            <w:pPr>
              <w:pStyle w:val="EPLogo"/>
            </w:pPr>
            <w:r w:rsidRPr="00107083">
              <w:rPr>
                <w:noProof/>
                <w:lang w:eastAsia="ja-JP"/>
              </w:rPr>
              <w:drawing>
                <wp:inline distT="0" distB="0" distL="0" distR="0" wp14:anchorId="6649D6E3" wp14:editId="39C5BE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18914A" w14:textId="77777777" w:rsidR="00D058B8" w:rsidRPr="00107083" w:rsidRDefault="00D058B8" w:rsidP="004C5D52">
      <w:pPr>
        <w:pStyle w:val="LineTop"/>
      </w:pPr>
    </w:p>
    <w:p w14:paraId="2E8A7A48" w14:textId="77777777" w:rsidR="00680577" w:rsidRPr="00107083" w:rsidRDefault="00296EF1" w:rsidP="00680577">
      <w:pPr>
        <w:pStyle w:val="EPBodyTA1"/>
      </w:pPr>
      <w:r w:rsidRPr="00107083">
        <w:t>PRIIMTI TEKSTAI</w:t>
      </w:r>
    </w:p>
    <w:p w14:paraId="1181F10E" w14:textId="77777777" w:rsidR="00D058B8" w:rsidRPr="00107083" w:rsidRDefault="00D058B8" w:rsidP="00D058B8">
      <w:pPr>
        <w:pStyle w:val="LineBottom"/>
      </w:pPr>
    </w:p>
    <w:p w14:paraId="410951D8" w14:textId="59F3B37A" w:rsidR="00296EF1" w:rsidRPr="00107083" w:rsidRDefault="00296EF1" w:rsidP="00296EF1">
      <w:pPr>
        <w:pStyle w:val="ATHeading1"/>
      </w:pPr>
      <w:bookmarkStart w:id="0" w:name="TANumber"/>
      <w:r w:rsidRPr="00107083">
        <w:t>P10_TA(2025)0</w:t>
      </w:r>
      <w:r w:rsidR="00526E48">
        <w:t>2</w:t>
      </w:r>
      <w:r w:rsidRPr="00107083">
        <w:t>0</w:t>
      </w:r>
      <w:r w:rsidR="00526E48">
        <w:t>5</w:t>
      </w:r>
      <w:bookmarkEnd w:id="0"/>
    </w:p>
    <w:p w14:paraId="1D95A84F" w14:textId="77777777" w:rsidR="00296EF1" w:rsidRPr="00107083" w:rsidRDefault="00296EF1" w:rsidP="00296EF1">
      <w:pPr>
        <w:pStyle w:val="ATHeading2"/>
      </w:pPr>
      <w:bookmarkStart w:id="1" w:name="title"/>
      <w:r w:rsidRPr="00107083">
        <w:t>Prašymas atšaukti Péterio Magyaro (Péter Magyar) imunitetą</w:t>
      </w:r>
      <w:bookmarkEnd w:id="1"/>
    </w:p>
    <w:p w14:paraId="11669434" w14:textId="77777777" w:rsidR="00296EF1" w:rsidRPr="00107083" w:rsidRDefault="00296EF1" w:rsidP="00296EF1">
      <w:pPr>
        <w:rPr>
          <w:i/>
          <w:vanish/>
        </w:rPr>
      </w:pPr>
      <w:r w:rsidRPr="00107083">
        <w:rPr>
          <w:i/>
        </w:rPr>
        <w:fldChar w:fldCharType="begin"/>
      </w:r>
      <w:r w:rsidRPr="00107083">
        <w:rPr>
          <w:i/>
        </w:rPr>
        <w:instrText xml:space="preserve"> TC"(</w:instrText>
      </w:r>
      <w:bookmarkStart w:id="2" w:name="DocNumber"/>
      <w:r w:rsidRPr="00107083">
        <w:rPr>
          <w:i/>
        </w:rPr>
        <w:instrText>A10-0182/2025</w:instrText>
      </w:r>
      <w:bookmarkEnd w:id="2"/>
      <w:r w:rsidRPr="00107083">
        <w:rPr>
          <w:i/>
        </w:rPr>
        <w:instrText xml:space="preserve"> - Pranešėjas: Ilhan Kyuchyuk)"\l3 \n&gt; \* MERGEFORMAT </w:instrText>
      </w:r>
      <w:r w:rsidRPr="00107083">
        <w:rPr>
          <w:i/>
        </w:rPr>
        <w:fldChar w:fldCharType="end"/>
      </w:r>
    </w:p>
    <w:p w14:paraId="27503688" w14:textId="77777777" w:rsidR="00296EF1" w:rsidRPr="00107083" w:rsidRDefault="00296EF1" w:rsidP="00296EF1">
      <w:pPr>
        <w:rPr>
          <w:vanish/>
        </w:rPr>
      </w:pPr>
      <w:bookmarkStart w:id="3" w:name="Commission"/>
      <w:r w:rsidRPr="00107083">
        <w:rPr>
          <w:vanish/>
        </w:rPr>
        <w:t>Teisės reikalų komitetas</w:t>
      </w:r>
      <w:bookmarkEnd w:id="3"/>
    </w:p>
    <w:p w14:paraId="4B48B641" w14:textId="77777777" w:rsidR="00296EF1" w:rsidRPr="00107083" w:rsidRDefault="00296EF1" w:rsidP="00296EF1">
      <w:pPr>
        <w:rPr>
          <w:vanish/>
        </w:rPr>
      </w:pPr>
      <w:bookmarkStart w:id="4" w:name="PE"/>
      <w:r w:rsidRPr="00107083">
        <w:rPr>
          <w:vanish/>
        </w:rPr>
        <w:t>PE775.580</w:t>
      </w:r>
      <w:bookmarkEnd w:id="4"/>
    </w:p>
    <w:p w14:paraId="60F87766" w14:textId="29899775" w:rsidR="00296EF1" w:rsidRPr="00107083" w:rsidRDefault="00296EF1" w:rsidP="00040C3A">
      <w:pPr>
        <w:pStyle w:val="ATHeading3"/>
      </w:pPr>
      <w:bookmarkStart w:id="5" w:name="Sujet"/>
      <w:r w:rsidRPr="00107083">
        <w:t>2025 m. spalio 7 d. Europos Parlamento sprendimas dėl prašymo atšaukti Péterio Magyaro (Péter Magyar) imunitetą</w:t>
      </w:r>
      <w:bookmarkEnd w:id="5"/>
      <w:r w:rsidRPr="00107083">
        <w:t xml:space="preserve"> </w:t>
      </w:r>
      <w:bookmarkStart w:id="6" w:name="References"/>
      <w:r w:rsidRPr="00107083">
        <w:t>(2025/2096(IMM))</w:t>
      </w:r>
      <w:bookmarkEnd w:id="6"/>
    </w:p>
    <w:p w14:paraId="30213E6C" w14:textId="77777777" w:rsidR="00FD1A3E" w:rsidRPr="00107083" w:rsidRDefault="00FD1A3E" w:rsidP="00FD1A3E">
      <w:pPr>
        <w:pStyle w:val="EPComma"/>
      </w:pPr>
      <w:bookmarkStart w:id="7" w:name="TextBodyBegin"/>
      <w:bookmarkEnd w:id="7"/>
      <w:r w:rsidRPr="00107083">
        <w:rPr>
          <w:i/>
        </w:rPr>
        <w:t>Europos Parlamentas</w:t>
      </w:r>
      <w:r w:rsidRPr="00107083">
        <w:t>,</w:t>
      </w:r>
    </w:p>
    <w:p w14:paraId="066484E3" w14:textId="21187210" w:rsidR="00FD1A3E" w:rsidRPr="00107083" w:rsidRDefault="00FD1A3E" w:rsidP="00FD1A3E">
      <w:pPr>
        <w:pStyle w:val="NormalHanging12a"/>
      </w:pPr>
      <w:r w:rsidRPr="00107083">
        <w:t>–</w:t>
      </w:r>
      <w:r w:rsidRPr="00107083">
        <w:tab/>
        <w:t xml:space="preserve">atsižvelgdamas į </w:t>
      </w:r>
      <w:r w:rsidR="00040C3A" w:rsidRPr="00040C3A">
        <w:t xml:space="preserve">2025 m. kovo 21 d. </w:t>
      </w:r>
      <w:r w:rsidR="00E263DC">
        <w:t xml:space="preserve">Vengrijos </w:t>
      </w:r>
      <w:r w:rsidRPr="00107083">
        <w:t xml:space="preserve">Pešto Centro apylinkės teismo </w:t>
      </w:r>
      <w:r w:rsidR="00040C3A" w:rsidRPr="00040C3A">
        <w:t xml:space="preserve">pateiktą </w:t>
      </w:r>
      <w:r w:rsidRPr="00107083">
        <w:t xml:space="preserve">prašymą atšaukti Péterio Magyaro imunitetą ryšium su baudžiamuoju procesu, </w:t>
      </w:r>
      <w:r w:rsidR="00934796" w:rsidRPr="00934796">
        <w:t>pradėtu prieš jį pateikus privatų prašymą,</w:t>
      </w:r>
      <w:r w:rsidR="00934796">
        <w:t xml:space="preserve"> </w:t>
      </w:r>
      <w:r w:rsidR="00934796" w:rsidRPr="00934796">
        <w:t xml:space="preserve">kuris buvo paskelbtas </w:t>
      </w:r>
      <w:r w:rsidRPr="00107083">
        <w:t xml:space="preserve">2025 m. gegužės 5 d. </w:t>
      </w:r>
      <w:r w:rsidR="00040C3A" w:rsidRPr="00040C3A">
        <w:t>Parlamente</w:t>
      </w:r>
      <w:r w:rsidRPr="00107083">
        <w:t>,</w:t>
      </w:r>
    </w:p>
    <w:p w14:paraId="594AAF29" w14:textId="41DC93B3" w:rsidR="00FD1A3E" w:rsidRPr="00107083" w:rsidRDefault="00FD1A3E" w:rsidP="00FD1A3E">
      <w:pPr>
        <w:pStyle w:val="NormalHanging12a"/>
      </w:pPr>
      <w:r w:rsidRPr="00107083">
        <w:t>–</w:t>
      </w:r>
      <w:r w:rsidRPr="00107083">
        <w:tab/>
        <w:t xml:space="preserve">atsižvelgdamas į tai, kad Péter Magyar atsisakė teisės būti išklausytam pagal </w:t>
      </w:r>
      <w:r w:rsidR="00934796">
        <w:t>D</w:t>
      </w:r>
      <w:r w:rsidRPr="00107083">
        <w:t>arbo tvarkos taisyklių 9 straipsnio 6 dalį,</w:t>
      </w:r>
    </w:p>
    <w:p w14:paraId="212EA8AA" w14:textId="77777777" w:rsidR="00FD1A3E" w:rsidRPr="00107083" w:rsidRDefault="00FD1A3E" w:rsidP="00FD1A3E">
      <w:pPr>
        <w:pStyle w:val="NormalHanging12a"/>
      </w:pPr>
      <w:r w:rsidRPr="00107083">
        <w:t>–</w:t>
      </w:r>
      <w:r w:rsidRPr="00107083">
        <w:tab/>
        <w:t>atsižvelgdamas į Protokolo Nr. 7 dėl Europos Sąjungos privilegijų ir imunitetų 8 ir 9 straipsnius ir į 1976 m. rugsėjo 20 d. Akto dėl atstovų į Europos Parlamentą rinkimų remiantis tiesiogine visuotine rinkimų teise 6 straipsnio 2 dalį,</w:t>
      </w:r>
    </w:p>
    <w:p w14:paraId="16094366" w14:textId="77777777" w:rsidR="00FD1A3E" w:rsidRPr="00107083" w:rsidRDefault="00FD1A3E" w:rsidP="00FD1A3E">
      <w:pPr>
        <w:pStyle w:val="NormalHanging12a"/>
      </w:pPr>
      <w:r w:rsidRPr="00107083">
        <w:t>–</w:t>
      </w:r>
      <w:r w:rsidRPr="00107083">
        <w:tab/>
        <w:t>atsižvelgdamas į Vengrijos Pagrindinio Įstatymo 4 straipsnio 2 dalį,</w:t>
      </w:r>
    </w:p>
    <w:p w14:paraId="7C6B5806" w14:textId="77777777" w:rsidR="00FD1A3E" w:rsidRPr="00107083" w:rsidRDefault="00FD1A3E" w:rsidP="00FD1A3E">
      <w:pPr>
        <w:pStyle w:val="NormalHanging12a"/>
      </w:pPr>
      <w:r w:rsidRPr="00107083">
        <w:t>–</w:t>
      </w:r>
      <w:r w:rsidRPr="00107083">
        <w:tab/>
        <w:t>atsižvelgdamas į Europos Sąjungos Teisingumo Teismo 2008 m. spalio 21 d., 2010 m. kovo 19 d., 2011 m. rugsėjo 6 d., 2013 m. sausio 17 d., 2019 m. gruodžio 19 d. ir 2023 m. liepos 5 d. sprendimus</w:t>
      </w:r>
      <w:r w:rsidRPr="00107083">
        <w:rPr>
          <w:rStyle w:val="FootnoteReference"/>
        </w:rPr>
        <w:footnoteReference w:id="1"/>
      </w:r>
      <w:r w:rsidRPr="00107083">
        <w:t>,</w:t>
      </w:r>
    </w:p>
    <w:p w14:paraId="3D1CD252" w14:textId="77777777" w:rsidR="00FD1A3E" w:rsidRPr="00107083" w:rsidRDefault="00FD1A3E" w:rsidP="00FD1A3E">
      <w:pPr>
        <w:pStyle w:val="NormalHanging12a"/>
      </w:pPr>
      <w:r w:rsidRPr="00107083">
        <w:t>–</w:t>
      </w:r>
      <w:r w:rsidRPr="00107083">
        <w:tab/>
        <w:t xml:space="preserve">atsižvelgdamas į Darbo tvarkos taisyklių 5 straipsnio 2 dalį, 6 straipsnio 1 dalį ir </w:t>
      </w:r>
      <w:r w:rsidRPr="00107083">
        <w:lastRenderedPageBreak/>
        <w:t>9 straipsnį,</w:t>
      </w:r>
    </w:p>
    <w:p w14:paraId="15BD5C3F" w14:textId="77777777" w:rsidR="00FD1A3E" w:rsidRPr="00107083" w:rsidRDefault="00FD1A3E" w:rsidP="00FD1A3E">
      <w:pPr>
        <w:pStyle w:val="NormalHanging12a"/>
      </w:pPr>
      <w:r w:rsidRPr="00107083">
        <w:t>–</w:t>
      </w:r>
      <w:r w:rsidRPr="00107083">
        <w:tab/>
        <w:t>atsižvelgdamas į Teisės reikalų komiteto pranešimą (A10-0182/2025),</w:t>
      </w:r>
    </w:p>
    <w:p w14:paraId="1C88A92B" w14:textId="0D29623C" w:rsidR="00FD1A3E" w:rsidRPr="00107083" w:rsidRDefault="00FD1A3E" w:rsidP="00FD1A3E">
      <w:pPr>
        <w:pStyle w:val="NormalHanging12a"/>
        <w:widowControl/>
      </w:pPr>
      <w:r w:rsidRPr="00107083">
        <w:t>A.</w:t>
      </w:r>
      <w:r w:rsidRPr="00107083">
        <w:tab/>
        <w:t xml:space="preserve">kadangi </w:t>
      </w:r>
      <w:r w:rsidR="00934796" w:rsidRPr="00934796">
        <w:t xml:space="preserve">2025 m. kovo 21 d. </w:t>
      </w:r>
      <w:r w:rsidRPr="00107083">
        <w:t xml:space="preserve">Pešto Centro apylinkės teismas raštu pateikė prašymą atšaukti </w:t>
      </w:r>
      <w:r w:rsidR="00F15644">
        <w:t>Vengrijoje</w:t>
      </w:r>
      <w:r w:rsidR="00F15644" w:rsidRPr="00F15644">
        <w:t xml:space="preserve"> išrinkto Europos Parlamento </w:t>
      </w:r>
      <w:r w:rsidR="00F15644">
        <w:t xml:space="preserve">nario </w:t>
      </w:r>
      <w:r w:rsidRPr="00107083">
        <w:t>Péterio Magyaro imunitetą ryšium su privataus kaltinimo tvarka dėl jo pradėtu baudžiamuoju procesu dėl 2024 m. balandžio mėn. galimai padarytos 2012 m. įstatymo Nr. C dėl Vengrijos baudžiamojo kodekso 226 </w:t>
      </w:r>
      <w:r w:rsidR="00F15644">
        <w:t>skyriuje</w:t>
      </w:r>
      <w:r w:rsidRPr="00107083">
        <w:t xml:space="preserve"> numatytos nusikalstamos veikos – šmeižimo;</w:t>
      </w:r>
    </w:p>
    <w:p w14:paraId="41CE86A6" w14:textId="77777777" w:rsidR="00FD1A3E" w:rsidRPr="00107083" w:rsidRDefault="00FD1A3E" w:rsidP="00FD1A3E">
      <w:pPr>
        <w:pStyle w:val="NormalHanging12a"/>
        <w:widowControl/>
      </w:pPr>
      <w:r w:rsidRPr="00107083">
        <w:rPr>
          <w:shd w:val="clear" w:color="auto" w:fill="FFFFFF"/>
        </w:rPr>
        <w:t>B.</w:t>
      </w:r>
      <w:r w:rsidRPr="00107083">
        <w:rPr>
          <w:shd w:val="clear" w:color="auto" w:fill="FFFFFF"/>
        </w:rPr>
        <w:tab/>
      </w:r>
      <w:r w:rsidRPr="00107083">
        <w:t xml:space="preserve">kadangi prašyme atšaukti imunitetą nurodyta, kad Péter Magyar kaltinamas demonstracijos metu padaręs viešus pareiškimus, kuriuose buvo tikrovės neatitinkančių teiginių, ir paskleidė gandus, kurie gali pakenkti politinio judėjimo </w:t>
      </w:r>
      <w:r w:rsidRPr="00107083">
        <w:rPr>
          <w:i/>
          <w:iCs/>
        </w:rPr>
        <w:t>Mi Hazánk Mozgalom</w:t>
      </w:r>
      <w:r w:rsidRPr="00107083">
        <w:t xml:space="preserve"> (</w:t>
      </w:r>
      <w:r w:rsidRPr="00107083">
        <w:rPr>
          <w:i/>
          <w:iCs/>
        </w:rPr>
        <w:t>Mūsų Tėvynės</w:t>
      </w:r>
      <w:r w:rsidRPr="00107083">
        <w:t xml:space="preserve"> judėjimas) ir vienos iš jo pirmininko pavaduotojų Vengrijos parlamento narės reputacijai; kadangi, remiantis pareiškimu dėl padarytos nusikalstamos veikos, 2024 m. gegužės 13 d. privataus kaltinimo tvarka pradėtas baudžiamasis procesas dėl Péterio Magyaro;</w:t>
      </w:r>
    </w:p>
    <w:p w14:paraId="2B1078B4" w14:textId="07AA4B5A" w:rsidR="00FD1A3E" w:rsidRPr="00107083" w:rsidRDefault="00FD1A3E" w:rsidP="00FD1A3E">
      <w:pPr>
        <w:pStyle w:val="NormalHanging12a"/>
        <w:widowControl/>
      </w:pPr>
      <w:r w:rsidRPr="00107083">
        <w:t>C.</w:t>
      </w:r>
      <w:r w:rsidRPr="00107083">
        <w:tab/>
        <w:t xml:space="preserve">kadangi 2024 m. birželio mėn. rinkimuose Péter Magyar buvo išrinktas į Europos Parlamentą ir skundo dėl jo </w:t>
      </w:r>
      <w:r w:rsidR="007A7C55" w:rsidRPr="007A7C55">
        <w:t xml:space="preserve">nusikalstamos veikos </w:t>
      </w:r>
      <w:r w:rsidRPr="00107083">
        <w:t>pateikimo momentu jis buvo Europos Parlamento rinkimų kampanijos dalyvis;</w:t>
      </w:r>
    </w:p>
    <w:p w14:paraId="31F36889" w14:textId="77777777" w:rsidR="00FD1A3E" w:rsidRPr="00107083" w:rsidRDefault="00FD1A3E" w:rsidP="00FD1A3E">
      <w:pPr>
        <w:pStyle w:val="NormalHanging12a"/>
        <w:widowControl/>
      </w:pPr>
      <w:r w:rsidRPr="00107083">
        <w:t>D.</w:t>
      </w:r>
      <w:r w:rsidRPr="00107083">
        <w:tab/>
        <w:t>kadangi galima nusikalstama veika ir dėl jos pateiktas prašymas panaikinti Péterio Magyaro imunitetą nėra susiję su jam einant pareigas pareikšta nuomone ar balsavimu, kaip numatyta Protokolo Nr. 7 dėl Europos Sąjungos privilegijų ir imunitetų 8 straipsnyje;</w:t>
      </w:r>
    </w:p>
    <w:p w14:paraId="61FE0CC2" w14:textId="77777777" w:rsidR="00FD1A3E" w:rsidRPr="00107083" w:rsidRDefault="00FD1A3E" w:rsidP="00FD1A3E">
      <w:pPr>
        <w:pStyle w:val="NormalHanging12a"/>
        <w:widowControl/>
      </w:pPr>
      <w:r w:rsidRPr="00107083">
        <w:t>E.</w:t>
      </w:r>
      <w:r w:rsidRPr="00107083">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6A3C6922" w14:textId="3D454FB7" w:rsidR="00FD1A3E" w:rsidRPr="00107083" w:rsidRDefault="00FD1A3E" w:rsidP="00FD1A3E">
      <w:pPr>
        <w:pStyle w:val="NormalHanging12a"/>
      </w:pPr>
      <w:r w:rsidRPr="00107083">
        <w:t>F.</w:t>
      </w:r>
      <w:r w:rsidRPr="00107083">
        <w:tab/>
        <w:t xml:space="preserve">kadangi Vengrijos Pagrindinio Įstatymo 4 straipsnio 2 dalyje nustatyta, kad Vengrijos </w:t>
      </w:r>
      <w:r w:rsidR="005421D7">
        <w:t>Parlamento</w:t>
      </w:r>
      <w:r w:rsidRPr="00107083">
        <w:t xml:space="preserve"> nariai naudojasi imunitetu;</w:t>
      </w:r>
      <w:r w:rsidRPr="00107083">
        <w:rPr>
          <w:color w:val="000000"/>
          <w:shd w:val="clear" w:color="auto" w:fill="FFFFFF"/>
        </w:rPr>
        <w:t xml:space="preserve"> </w:t>
      </w:r>
      <w:r w:rsidRPr="00107083">
        <w:t xml:space="preserve">kadangi pagal 2012 m. įstatymo Nr. XXXVI dėl Nacionalinės Asamblėjos 79 straipsnio 2 dalį asmuo, kuris galutiniu ir privalomu sprendimu įregistruotas </w:t>
      </w:r>
      <w:r w:rsidRPr="008B1D6B">
        <w:t>kandidatu</w:t>
      </w:r>
      <w:r w:rsidRPr="00107083">
        <w:t xml:space="preserve">, naudojasi tokiu pačiu imunitetu kaip ir nariai tol, kol rinkimų rezultatai taps galutiniai ir privalomi, ir kadangi bet kuriuo atveju, remiantis to įstatymo 79 straipsnio 1 dalimi, Nacionalinės Asamblėjos nariai naudojasi imunitetu nuo jų išrinkimo dienos; </w:t>
      </w:r>
      <w:r w:rsidRPr="00107083">
        <w:rPr>
          <w:color w:val="000000"/>
          <w:shd w:val="clear" w:color="auto" w:fill="FFFFFF"/>
        </w:rPr>
        <w:t xml:space="preserve">kadangi pagal 2012 m. įstatymo Nr. XXXVI dėl Nacionalinės Asamblėjos 74 straipsnio 1 dalį baudžiamasis procesas arba, jei atitinkamoje byloje savanoriškai neatsisakoma imuniteto, nusižengimo bylų procesas negali būti pradėtas ar vykdomas, o </w:t>
      </w:r>
      <w:r w:rsidR="00A65FF7" w:rsidRPr="00A65FF7">
        <w:rPr>
          <w:color w:val="000000"/>
          <w:shd w:val="clear" w:color="auto" w:fill="FFFFFF"/>
        </w:rPr>
        <w:t xml:space="preserve">baudžiamojo proceso </w:t>
      </w:r>
      <w:r w:rsidRPr="00107083">
        <w:rPr>
          <w:color w:val="000000"/>
          <w:shd w:val="clear" w:color="auto" w:fill="FFFFFF"/>
        </w:rPr>
        <w:t>procesinės prievartos priemonės Nacionalinės Asamblėjos nariui negali būti taikomos be išankstinio Nacionalinės Asamblėjos sutikimo;</w:t>
      </w:r>
    </w:p>
    <w:p w14:paraId="333DC055" w14:textId="3CDC1091" w:rsidR="00427A7D" w:rsidRDefault="00FD1A3E" w:rsidP="00FD1A3E">
      <w:pPr>
        <w:pStyle w:val="NormalHanging12a"/>
        <w:widowControl/>
      </w:pPr>
      <w:r w:rsidRPr="008A1D5B">
        <w:t>G.</w:t>
      </w:r>
      <w:r w:rsidRPr="008A1D5B">
        <w:tab/>
      </w:r>
      <w:r w:rsidR="00427A7D" w:rsidRPr="008A1D5B">
        <w:t xml:space="preserve">kadangi Parlamento darbo tvarkos taisyklių 5 straipsnio 2 dalyje numatyta, kad </w:t>
      </w:r>
      <w:r w:rsidR="00E73372" w:rsidRPr="00E36E87">
        <w:t>Europos</w:t>
      </w:r>
      <w:r w:rsidR="00E73372" w:rsidRPr="008A1D5B">
        <w:t xml:space="preserve"> </w:t>
      </w:r>
      <w:r w:rsidR="00427A7D" w:rsidRPr="008A1D5B">
        <w:t xml:space="preserve">Parlamento nario imunitetas yra ne jo asmeninė privilegija, bet viso </w:t>
      </w:r>
      <w:r w:rsidR="008B1D6B" w:rsidRPr="008A1D5B">
        <w:t xml:space="preserve">Europos </w:t>
      </w:r>
      <w:r w:rsidR="00427A7D" w:rsidRPr="008A1D5B">
        <w:t>Parlamento ir jo narių nepriklausomumo garantija;</w:t>
      </w:r>
    </w:p>
    <w:p w14:paraId="2AA4F01B" w14:textId="3A5C686F" w:rsidR="00427A7D" w:rsidRPr="00107083" w:rsidRDefault="00427A7D" w:rsidP="00FD1A3E">
      <w:pPr>
        <w:pStyle w:val="NormalHanging12a"/>
        <w:widowControl/>
      </w:pPr>
      <w:r>
        <w:t>H</w:t>
      </w:r>
      <w:r w:rsidRPr="00107083">
        <w:t>.</w:t>
      </w:r>
      <w:r w:rsidRPr="00107083">
        <w:tab/>
      </w:r>
      <w:r w:rsidR="00FD1A3E" w:rsidRPr="00107083">
        <w:t xml:space="preserve">kadangi </w:t>
      </w:r>
      <w:r w:rsidR="00237678" w:rsidRPr="00237678">
        <w:t xml:space="preserve">Protokole Nr. 7 dėl Europos Sąjungos privilegijų ir imunitetų numatyto </w:t>
      </w:r>
      <w:r w:rsidR="00FD1A3E" w:rsidRPr="00107083">
        <w:t xml:space="preserve">Parlamento nario imuniteto paskirtis – apsaugoti Parlamentą ir jo narius nuo patraukimo </w:t>
      </w:r>
      <w:r w:rsidR="00FD1A3E" w:rsidRPr="00107083">
        <w:lastRenderedPageBreak/>
        <w:t>atsakomybėn už veiksmus, kurie yra padaryti vykdant Parlamento nario įgaliojimus ir kurių negalima atskirti nuo tų įgaliojimų;</w:t>
      </w:r>
    </w:p>
    <w:p w14:paraId="0D2E25FF" w14:textId="77777777" w:rsidR="00FD1A3E" w:rsidRPr="00107083" w:rsidRDefault="00FD1A3E" w:rsidP="00FD1A3E">
      <w:pPr>
        <w:pStyle w:val="NormalHanging12a"/>
      </w:pPr>
      <w:r w:rsidRPr="00107083">
        <w:t>I.</w:t>
      </w:r>
      <w:r w:rsidRPr="00107083">
        <w:tab/>
        <w:t>kadangi iš Europos Sąjungos Teisingumo Teismo praktikos matyti, kad Parlamentas turi labai plačią „diskreciją priimti teigiamą ar neigiamą sprendimą dėl prašymo atšaukti [...] imunitetą, dėl tokio sprendimo politinio pobūdžio“</w:t>
      </w:r>
      <w:r w:rsidRPr="00107083">
        <w:rPr>
          <w:vertAlign w:val="superscript"/>
        </w:rPr>
        <w:footnoteReference w:id="2"/>
      </w:r>
      <w:r w:rsidRPr="00107083">
        <w:t>;</w:t>
      </w:r>
    </w:p>
    <w:p w14:paraId="3E746B99" w14:textId="6B677D06" w:rsidR="00FD1A3E" w:rsidRPr="008A1D5B" w:rsidRDefault="00FD1A3E" w:rsidP="00FD1A3E">
      <w:pPr>
        <w:pStyle w:val="NormalHanging12a"/>
        <w:widowControl/>
      </w:pPr>
      <w:r w:rsidRPr="00107083">
        <w:t>J.</w:t>
      </w:r>
      <w:r w:rsidRPr="00107083">
        <w:tab/>
        <w:t xml:space="preserve">kadangi Péter Magyar yra partijos </w:t>
      </w:r>
      <w:r w:rsidRPr="00107083">
        <w:rPr>
          <w:i/>
          <w:iCs/>
        </w:rPr>
        <w:t>Tisza</w:t>
      </w:r>
      <w:r w:rsidRPr="00107083">
        <w:t xml:space="preserve"> (</w:t>
      </w:r>
      <w:r w:rsidRPr="00107083">
        <w:rPr>
          <w:i/>
          <w:iCs/>
        </w:rPr>
        <w:t>Tisztelet és Szabadság Párt</w:t>
      </w:r>
      <w:r w:rsidRPr="00107083">
        <w:t>) pirmininkas ir tos partijos kandidatų 2024 m. Europos Parlamento rinkimuose sąrašo lyderis;</w:t>
      </w:r>
      <w:r w:rsidRPr="00107083">
        <w:rPr>
          <w:rStyle w:val="doceo-font-family-base"/>
          <w:color w:val="1E1E1F"/>
        </w:rPr>
        <w:t xml:space="preserve"> </w:t>
      </w:r>
      <w:r w:rsidRPr="00107083">
        <w:t xml:space="preserve">kadangi </w:t>
      </w:r>
      <w:r w:rsidRPr="00107083">
        <w:rPr>
          <w:i/>
          <w:iCs/>
        </w:rPr>
        <w:t>Mi Hazánk Mozgalom</w:t>
      </w:r>
      <w:r w:rsidRPr="00107083">
        <w:t xml:space="preserve"> taip pat dalyvavo 2024 m. Europos Parlamento rinkimuose ir todėl gali būti laikomas tiesioginiu Péterio Magyaro politiniu konkurentu; kadangi politiniams konkurentams politinėse diskusijose paprastai tenka daugiau kritikos ir polemikos, palyginti su visais politiškai neaktyviais piliečiais;</w:t>
      </w:r>
      <w:r w:rsidRPr="00107083">
        <w:rPr>
          <w:rStyle w:val="doceo-font-family-base"/>
          <w:color w:val="1E1E1F"/>
        </w:rPr>
        <w:t xml:space="preserve"> kadangi panašu, kad pagal Vengrijos </w:t>
      </w:r>
      <w:r w:rsidRPr="008A1D5B">
        <w:rPr>
          <w:rStyle w:val="doceo-font-family-base"/>
          <w:color w:val="1E1E1F"/>
        </w:rPr>
        <w:t xml:space="preserve">teisę </w:t>
      </w:r>
      <w:r w:rsidR="0066479C" w:rsidRPr="008A1D5B">
        <w:rPr>
          <w:color w:val="1E1E1F"/>
        </w:rPr>
        <w:t>ieškinys </w:t>
      </w:r>
      <w:r w:rsidRPr="008A1D5B">
        <w:rPr>
          <w:rStyle w:val="doceo-font-family-base"/>
          <w:color w:val="1E1E1F"/>
        </w:rPr>
        <w:t xml:space="preserve">dėl šmeižimo gali būti inicijuojamas tiek </w:t>
      </w:r>
      <w:r w:rsidR="006D3AA4" w:rsidRPr="008A1D5B">
        <w:rPr>
          <w:rStyle w:val="doceo-font-family-base"/>
          <w:color w:val="1E1E1F"/>
        </w:rPr>
        <w:t xml:space="preserve">pagal </w:t>
      </w:r>
      <w:r w:rsidR="00BF5CBE" w:rsidRPr="008A1D5B">
        <w:rPr>
          <w:rStyle w:val="doceo-font-family-base"/>
          <w:color w:val="1E1E1F"/>
        </w:rPr>
        <w:t>baudžiamąją</w:t>
      </w:r>
      <w:r w:rsidRPr="008A1D5B">
        <w:rPr>
          <w:rStyle w:val="doceo-font-family-base"/>
          <w:color w:val="1E1E1F"/>
        </w:rPr>
        <w:t xml:space="preserve">, tiek </w:t>
      </w:r>
      <w:r w:rsidR="00BF5CBE" w:rsidRPr="008A1D5B">
        <w:rPr>
          <w:rStyle w:val="doceo-font-family-base"/>
          <w:color w:val="1E1E1F"/>
        </w:rPr>
        <w:t>pagal civilinę teisę</w:t>
      </w:r>
      <w:r w:rsidRPr="008A1D5B">
        <w:rPr>
          <w:rStyle w:val="doceo-font-family-base"/>
          <w:color w:val="1E1E1F"/>
        </w:rPr>
        <w:t xml:space="preserve">, </w:t>
      </w:r>
      <w:r w:rsidR="006D3AA4" w:rsidRPr="008A1D5B">
        <w:rPr>
          <w:rStyle w:val="doceo-font-family-base"/>
          <w:color w:val="1E1E1F"/>
        </w:rPr>
        <w:t xml:space="preserve">kas </w:t>
      </w:r>
      <w:r w:rsidRPr="008A1D5B">
        <w:rPr>
          <w:rStyle w:val="doceo-font-family-base"/>
          <w:color w:val="1E1E1F"/>
        </w:rPr>
        <w:t xml:space="preserve">sukelia labai skirtingas atitinkamas galimas teisines pasekmes, įskaitant laisvės atėmimą; </w:t>
      </w:r>
      <w:r w:rsidRPr="008A1D5B">
        <w:t>kadangi šiuo atveju sprendimas inicijuoti baudžiamąjį procesą kelia abejonių dėl nurodyto tikslo atlyginti faktiškai padarytą reputacinę žalą ir todėl gali būti, kad skundo tikslas viršija tą teisėtą tikslą ir juo siekiama pakenkti Péterio Magyaro, kaip Parlamento nario, reputacijai;</w:t>
      </w:r>
    </w:p>
    <w:p w14:paraId="13509CC2" w14:textId="7C344916" w:rsidR="00FD1A3E" w:rsidRPr="00107083" w:rsidRDefault="00FD1A3E" w:rsidP="00FD1A3E">
      <w:pPr>
        <w:pStyle w:val="doceo-line-height-base"/>
        <w:shd w:val="clear" w:color="auto" w:fill="FFFFFF"/>
        <w:spacing w:before="0" w:beforeAutospacing="0" w:after="240" w:afterAutospacing="0"/>
        <w:ind w:left="567" w:hanging="567"/>
        <w:rPr>
          <w:rFonts w:ascii="Helvetica" w:hAnsi="Helvetica"/>
          <w:color w:val="1E1E1F"/>
        </w:rPr>
      </w:pPr>
      <w:r w:rsidRPr="008A1D5B">
        <w:rPr>
          <w:rStyle w:val="doceo-font-family-base"/>
          <w:color w:val="1E1E1F"/>
        </w:rPr>
        <w:t>K.</w:t>
      </w:r>
      <w:r w:rsidRPr="008A1D5B">
        <w:rPr>
          <w:rStyle w:val="doceo-font-family-base"/>
          <w:color w:val="1E1E1F"/>
        </w:rPr>
        <w:tab/>
      </w:r>
      <w:r w:rsidRPr="008A1D5B">
        <w:t xml:space="preserve">kadangi dėl šių visų pirmiau nurodytų elementų kyla rimtų </w:t>
      </w:r>
      <w:r w:rsidR="0066479C" w:rsidRPr="008A1D5B">
        <w:t>susirūpinimų</w:t>
      </w:r>
      <w:r w:rsidRPr="008A1D5B">
        <w:t>, susijusių su galimu kėsinimusi pakenkti Péterio Magyaro politinei veiklai, taigi visų pirma jo, kaip</w:t>
      </w:r>
      <w:r w:rsidRPr="00107083">
        <w:t xml:space="preserve"> Europos Parlamento nario, veiklai;</w:t>
      </w:r>
    </w:p>
    <w:p w14:paraId="169A7F98" w14:textId="77777777" w:rsidR="00FD1A3E" w:rsidRPr="00107083" w:rsidRDefault="00FD1A3E" w:rsidP="00FD1A3E">
      <w:pPr>
        <w:pStyle w:val="doceo-line-height-base"/>
        <w:shd w:val="clear" w:color="auto" w:fill="FFFFFF"/>
        <w:spacing w:before="0" w:beforeAutospacing="0" w:after="240" w:afterAutospacing="0"/>
        <w:ind w:left="567" w:hanging="567"/>
        <w:rPr>
          <w:rFonts w:ascii="Helvetica" w:hAnsi="Helvetica"/>
          <w:color w:val="1E1E1F"/>
        </w:rPr>
      </w:pPr>
      <w:r w:rsidRPr="00107083">
        <w:rPr>
          <w:rStyle w:val="doceo-font-family-base"/>
          <w:color w:val="1E1E1F"/>
        </w:rPr>
        <w:t>L.</w:t>
      </w:r>
      <w:r w:rsidRPr="00107083">
        <w:rPr>
          <w:rStyle w:val="doceo-font-family-base"/>
          <w:rFonts w:ascii="Helvetica" w:hAnsi="Helvetica"/>
          <w:color w:val="1E1E1F"/>
        </w:rPr>
        <w:tab/>
      </w:r>
      <w:r w:rsidRPr="00107083">
        <w:t xml:space="preserve">kadangi dėl to šiuo atveju galima daryti prielaidą, jog esama </w:t>
      </w:r>
      <w:r w:rsidRPr="00107083">
        <w:rPr>
          <w:i/>
        </w:rPr>
        <w:t>fumus persecutionis</w:t>
      </w:r>
      <w:r w:rsidRPr="00107083">
        <w:t>, t. y. konkrečių įrodymų</w:t>
      </w:r>
      <w:r w:rsidRPr="00107083">
        <w:rPr>
          <w:rStyle w:val="FootnoteReference"/>
          <w:color w:val="1E1E1F"/>
        </w:rPr>
        <w:footnoteReference w:id="3"/>
      </w:r>
      <w:r w:rsidRPr="00107083">
        <w:t>, iš kurių matyti, kad šis teismo procesas buvo pradėtas siekiant pakenkti Péterio Magyaro, kurio imunitetą prašoma atšaukti, politinei veiklai, visų pirma atsižvelgiant į tai, kad jis 2024 m. Europos Parlamento rinkimuose buvo savo politinės partijos sąrašo lyderis;</w:t>
      </w:r>
    </w:p>
    <w:p w14:paraId="401D97C7" w14:textId="77777777" w:rsidR="00FD1A3E" w:rsidRPr="00107083" w:rsidRDefault="00FD1A3E" w:rsidP="00FD1A3E">
      <w:pPr>
        <w:pStyle w:val="NormalHanging12a"/>
        <w:widowControl/>
      </w:pPr>
      <w:r w:rsidRPr="00107083">
        <w:t>M.</w:t>
      </w:r>
      <w:r w:rsidRPr="00107083">
        <w:tab/>
        <w:t>kadangi, pirma, Parlamentas negali būti prilyginamas teismui ir, antra, vykstant imuniteto atšaukimo procedūrai Parlamento narys negali būti laikomas kaltinamuoju</w:t>
      </w:r>
      <w:r w:rsidRPr="00107083">
        <w:rPr>
          <w:vertAlign w:val="superscript"/>
        </w:rPr>
        <w:footnoteReference w:id="4"/>
      </w:r>
      <w:r w:rsidRPr="00107083">
        <w:t>;</w:t>
      </w:r>
    </w:p>
    <w:p w14:paraId="4A54718D" w14:textId="77777777" w:rsidR="00FD1A3E" w:rsidRPr="00107083" w:rsidRDefault="00FD1A3E" w:rsidP="00FD1A3E">
      <w:pPr>
        <w:pStyle w:val="NormalHanging12a"/>
      </w:pPr>
      <w:r w:rsidRPr="00107083">
        <w:t>1.</w:t>
      </w:r>
      <w:r w:rsidRPr="00107083">
        <w:tab/>
        <w:t>nusprendžia neatšaukti Péterio Magyaro imuniteto;</w:t>
      </w:r>
    </w:p>
    <w:p w14:paraId="7E2D22CF" w14:textId="3405B408" w:rsidR="00E365E1" w:rsidRPr="00107083" w:rsidRDefault="00FD1A3E" w:rsidP="00E36E87">
      <w:pPr>
        <w:ind w:left="567" w:hanging="567"/>
      </w:pPr>
      <w:r w:rsidRPr="00107083">
        <w:t>2.</w:t>
      </w:r>
      <w:r w:rsidRPr="00107083">
        <w:tab/>
        <w:t>paveda Pirmininkei nedelsiant perduoti šį sprendimą ir atsakingo komiteto pranešimą Vengrijos kompetentingoms institucijoms ir Péteriui Magyarui.</w:t>
      </w:r>
    </w:p>
    <w:sectPr w:rsidR="00E365E1" w:rsidRPr="00107083" w:rsidSect="001070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7427F" w14:textId="77777777" w:rsidR="00296EF1" w:rsidRPr="00107083" w:rsidRDefault="00296EF1">
      <w:r w:rsidRPr="00107083">
        <w:separator/>
      </w:r>
    </w:p>
  </w:endnote>
  <w:endnote w:type="continuationSeparator" w:id="0">
    <w:p w14:paraId="76317844" w14:textId="77777777" w:rsidR="00296EF1" w:rsidRPr="00107083" w:rsidRDefault="00296EF1">
      <w:r w:rsidRPr="001070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7B0BC" w14:textId="77777777" w:rsidR="00064002" w:rsidRPr="001070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CBAB" w14:textId="77777777" w:rsidR="00064002" w:rsidRPr="001070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BE89" w14:textId="77777777" w:rsidR="00064002" w:rsidRPr="001070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07A43" w14:textId="77777777" w:rsidR="00296EF1" w:rsidRPr="00107083" w:rsidRDefault="00296EF1">
      <w:r w:rsidRPr="00107083">
        <w:separator/>
      </w:r>
    </w:p>
  </w:footnote>
  <w:footnote w:type="continuationSeparator" w:id="0">
    <w:p w14:paraId="1BCECC83" w14:textId="77777777" w:rsidR="00296EF1" w:rsidRPr="00107083" w:rsidRDefault="00296EF1">
      <w:r w:rsidRPr="00107083">
        <w:continuationSeparator/>
      </w:r>
    </w:p>
  </w:footnote>
  <w:footnote w:id="1">
    <w:p w14:paraId="071DA010" w14:textId="7B70DBAB" w:rsidR="00FD1A3E" w:rsidRPr="00107083" w:rsidRDefault="00FD1A3E" w:rsidP="00107083">
      <w:pPr>
        <w:pStyle w:val="FootnoteText"/>
        <w:ind w:left="567" w:hanging="567"/>
        <w:rPr>
          <w:sz w:val="24"/>
          <w:lang w:val="lt-LT"/>
        </w:rPr>
      </w:pPr>
      <w:r w:rsidRPr="00107083">
        <w:rPr>
          <w:rStyle w:val="FootnoteReference"/>
          <w:sz w:val="24"/>
          <w:lang w:val="lt-LT"/>
        </w:rPr>
        <w:footnoteRef/>
      </w:r>
      <w:r w:rsidR="00107083" w:rsidRPr="00107083">
        <w:rPr>
          <w:sz w:val="24"/>
          <w:lang w:val="lt-LT"/>
        </w:rPr>
        <w:t xml:space="preserve"> </w:t>
      </w:r>
      <w:r w:rsidR="00107083" w:rsidRPr="00107083">
        <w:rPr>
          <w:sz w:val="24"/>
          <w:lang w:val="lt-LT"/>
        </w:rPr>
        <w:tab/>
      </w:r>
      <w:r w:rsidRPr="00107083">
        <w:rPr>
          <w:sz w:val="24"/>
          <w:lang w:val="lt-LT"/>
        </w:rPr>
        <w:t xml:space="preserve">2008 m. spalio 21 d. Teisingumo Teismo sprendimas </w:t>
      </w:r>
      <w:r w:rsidRPr="00107083">
        <w:rPr>
          <w:i/>
          <w:iCs/>
          <w:sz w:val="24"/>
          <w:lang w:val="lt-LT"/>
        </w:rPr>
        <w:t>Marra</w:t>
      </w:r>
      <w:r w:rsidRPr="00107083">
        <w:rPr>
          <w:sz w:val="24"/>
          <w:lang w:val="lt-LT"/>
        </w:rPr>
        <w:t xml:space="preserve">, C-200/07 ir C-201/07, ECLI:EU: C:2008:579; 2010 m. kovo 19 d. Bendrojo Teismo sprendimas </w:t>
      </w:r>
      <w:r w:rsidRPr="00107083">
        <w:rPr>
          <w:i/>
          <w:iCs/>
          <w:sz w:val="24"/>
          <w:lang w:val="lt-LT"/>
        </w:rPr>
        <w:t>Gollnisch / Parlamentas</w:t>
      </w:r>
      <w:r w:rsidRPr="00107083">
        <w:rPr>
          <w:sz w:val="24"/>
          <w:lang w:val="lt-LT"/>
        </w:rPr>
        <w:t xml:space="preserve">, T-42/06, ECLI:EU:T:2010:102; 2011 m. rugsėjo 6 d. Teisingumo Teismo sprendimas </w:t>
      </w:r>
      <w:r w:rsidRPr="00107083">
        <w:rPr>
          <w:i/>
          <w:iCs/>
          <w:sz w:val="24"/>
          <w:lang w:val="lt-LT"/>
        </w:rPr>
        <w:t>Patriciello</w:t>
      </w:r>
      <w:r w:rsidRPr="00107083">
        <w:rPr>
          <w:sz w:val="24"/>
          <w:lang w:val="lt-LT"/>
        </w:rPr>
        <w:t xml:space="preserve">, C-163/10, ECLI: EU:C:2011:543; 2013 m. sausio 17 d. Bendrojo Teismo sprendimas </w:t>
      </w:r>
      <w:r w:rsidRPr="00107083">
        <w:rPr>
          <w:i/>
          <w:iCs/>
          <w:sz w:val="24"/>
          <w:lang w:val="lt-LT"/>
        </w:rPr>
        <w:t>Gollnisch / Parlamentas</w:t>
      </w:r>
      <w:r w:rsidRPr="00107083">
        <w:rPr>
          <w:sz w:val="24"/>
          <w:lang w:val="lt-LT"/>
        </w:rPr>
        <w:t xml:space="preserve">, T-346/11 ir T-347/11, ECLI:EU:T:2013:23; 2019 m. gruodžio 19 d. Teisingumo Teismo sprendimas </w:t>
      </w:r>
      <w:r w:rsidRPr="00107083">
        <w:rPr>
          <w:i/>
          <w:iCs/>
          <w:sz w:val="24"/>
          <w:lang w:val="lt-LT"/>
        </w:rPr>
        <w:t>Junqueras Vies</w:t>
      </w:r>
      <w:r w:rsidRPr="00107083">
        <w:rPr>
          <w:sz w:val="24"/>
          <w:lang w:val="lt-LT"/>
        </w:rPr>
        <w:t xml:space="preserve">, C-502/19, ECLI:EU:C:2019:1115.) 2023 m. liepos 5 d. Bendrojo Teismo sprendimas </w:t>
      </w:r>
      <w:r w:rsidRPr="00107083">
        <w:rPr>
          <w:i/>
          <w:iCs/>
          <w:sz w:val="24"/>
          <w:lang w:val="lt-LT"/>
        </w:rPr>
        <w:t>Puigdemont i Casamajó ir kt. / Parlamentas</w:t>
      </w:r>
      <w:r w:rsidRPr="00107083">
        <w:rPr>
          <w:sz w:val="24"/>
          <w:lang w:val="lt-LT"/>
        </w:rPr>
        <w:t>, T-272/21, ECLI:EU:T:2023:373.</w:t>
      </w:r>
    </w:p>
  </w:footnote>
  <w:footnote w:id="2">
    <w:p w14:paraId="169234DF" w14:textId="55CD793E" w:rsidR="00FD1A3E" w:rsidRPr="00107083" w:rsidRDefault="00FD1A3E" w:rsidP="00107083">
      <w:pPr>
        <w:pStyle w:val="FootnoteText"/>
        <w:ind w:left="567" w:hanging="567"/>
        <w:rPr>
          <w:sz w:val="24"/>
          <w:lang w:val="lt-LT"/>
        </w:rPr>
      </w:pPr>
      <w:r w:rsidRPr="00107083">
        <w:rPr>
          <w:rStyle w:val="FootnoteReference"/>
          <w:sz w:val="24"/>
          <w:lang w:val="lt-LT"/>
        </w:rPr>
        <w:footnoteRef/>
      </w:r>
      <w:r w:rsidR="00107083" w:rsidRPr="00107083">
        <w:rPr>
          <w:sz w:val="24"/>
          <w:lang w:val="lt-LT"/>
        </w:rPr>
        <w:t xml:space="preserve"> </w:t>
      </w:r>
      <w:r w:rsidR="00107083" w:rsidRPr="00107083">
        <w:rPr>
          <w:sz w:val="24"/>
          <w:lang w:val="lt-LT"/>
        </w:rPr>
        <w:tab/>
      </w:r>
      <w:r w:rsidRPr="00107083">
        <w:rPr>
          <w:sz w:val="24"/>
          <w:lang w:val="lt-LT"/>
        </w:rPr>
        <w:t xml:space="preserve">2013 m. sausio 17 d. Bendrojo Teismo sprendimo </w:t>
      </w:r>
      <w:r w:rsidRPr="00107083">
        <w:rPr>
          <w:i/>
          <w:iCs/>
          <w:sz w:val="24"/>
          <w:lang w:val="lt-LT"/>
        </w:rPr>
        <w:t>Gollnisch / Parlamentas</w:t>
      </w:r>
      <w:r w:rsidRPr="00107083">
        <w:rPr>
          <w:sz w:val="24"/>
          <w:lang w:val="lt-LT"/>
        </w:rPr>
        <w:t>, T-346/11 ir T-347/11, ECLI:EU:T:2013:23, 59 punktas ir jame cituojama jurisprudencija.</w:t>
      </w:r>
    </w:p>
  </w:footnote>
  <w:footnote w:id="3">
    <w:p w14:paraId="02030530" w14:textId="128E7D50" w:rsidR="00FD1A3E" w:rsidRPr="00107083" w:rsidRDefault="00FD1A3E" w:rsidP="00107083">
      <w:pPr>
        <w:pStyle w:val="FootnoteText"/>
        <w:ind w:left="567" w:hanging="567"/>
        <w:rPr>
          <w:sz w:val="24"/>
          <w:lang w:val="lt-LT"/>
        </w:rPr>
      </w:pPr>
      <w:r w:rsidRPr="00107083">
        <w:rPr>
          <w:rStyle w:val="FootnoteReference"/>
          <w:sz w:val="24"/>
          <w:lang w:val="lt-LT"/>
        </w:rPr>
        <w:footnoteRef/>
      </w:r>
      <w:r w:rsidR="00107083" w:rsidRPr="00107083">
        <w:rPr>
          <w:sz w:val="24"/>
          <w:lang w:val="lt-LT"/>
        </w:rPr>
        <w:t xml:space="preserve"> </w:t>
      </w:r>
      <w:r w:rsidR="00107083" w:rsidRPr="00107083">
        <w:rPr>
          <w:sz w:val="24"/>
          <w:lang w:val="lt-LT"/>
        </w:rPr>
        <w:tab/>
      </w:r>
      <w:r w:rsidRPr="00107083">
        <w:rPr>
          <w:sz w:val="24"/>
          <w:lang w:val="lt-LT"/>
        </w:rPr>
        <w:t xml:space="preserve">2020 m. rugsėjo 17 d. Teisingumo Teismo sprendimo </w:t>
      </w:r>
      <w:r w:rsidRPr="00107083">
        <w:rPr>
          <w:i/>
          <w:iCs/>
          <w:sz w:val="24"/>
          <w:lang w:val="lt-LT"/>
        </w:rPr>
        <w:t>Troszczynski / Parlamentas</w:t>
      </w:r>
      <w:r w:rsidRPr="00107083">
        <w:rPr>
          <w:sz w:val="24"/>
          <w:lang w:val="lt-LT"/>
        </w:rPr>
        <w:t>, C-12/19 P, ECLI:EU:C:2020:725, 26 punktas.</w:t>
      </w:r>
    </w:p>
  </w:footnote>
  <w:footnote w:id="4">
    <w:p w14:paraId="48EAC26D" w14:textId="284DC7AC" w:rsidR="00FD1A3E" w:rsidRPr="00107083" w:rsidRDefault="00FD1A3E" w:rsidP="00107083">
      <w:pPr>
        <w:pStyle w:val="FootnoteText"/>
        <w:ind w:left="567" w:hanging="567"/>
        <w:rPr>
          <w:sz w:val="24"/>
          <w:lang w:val="lt-LT"/>
        </w:rPr>
      </w:pPr>
      <w:r w:rsidRPr="00107083">
        <w:rPr>
          <w:rStyle w:val="FootnoteReference"/>
          <w:sz w:val="24"/>
          <w:lang w:val="lt-LT"/>
        </w:rPr>
        <w:footnoteRef/>
      </w:r>
      <w:r w:rsidR="00107083" w:rsidRPr="00107083">
        <w:rPr>
          <w:sz w:val="24"/>
          <w:lang w:val="lt-LT"/>
        </w:rPr>
        <w:t xml:space="preserve"> </w:t>
      </w:r>
      <w:r w:rsidR="00107083" w:rsidRPr="00107083">
        <w:rPr>
          <w:sz w:val="24"/>
          <w:lang w:val="lt-LT"/>
        </w:rPr>
        <w:tab/>
      </w:r>
      <w:r w:rsidRPr="00107083">
        <w:rPr>
          <w:sz w:val="24"/>
          <w:lang w:val="lt-LT"/>
        </w:rPr>
        <w:t xml:space="preserve">2019 m. balandžio 30 d. Bendrojo Teismo sprendimas </w:t>
      </w:r>
      <w:r w:rsidRPr="00107083">
        <w:rPr>
          <w:i/>
          <w:iCs/>
          <w:sz w:val="24"/>
          <w:lang w:val="lt-LT"/>
        </w:rPr>
        <w:t>Briois / Parlamentas</w:t>
      </w:r>
      <w:r w:rsidRPr="00107083">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F264" w14:textId="77777777" w:rsidR="00064002" w:rsidRPr="001070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40446" w14:textId="77777777" w:rsidR="00064002" w:rsidRPr="001070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D67E" w14:textId="77777777" w:rsidR="00064002" w:rsidRPr="001070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115582">
    <w:abstractNumId w:val="9"/>
  </w:num>
  <w:num w:numId="2" w16cid:durableId="808282402">
    <w:abstractNumId w:val="9"/>
  </w:num>
  <w:num w:numId="3" w16cid:durableId="633800030">
    <w:abstractNumId w:val="7"/>
  </w:num>
  <w:num w:numId="4" w16cid:durableId="1956135043">
    <w:abstractNumId w:val="7"/>
  </w:num>
  <w:num w:numId="5" w16cid:durableId="1487472952">
    <w:abstractNumId w:val="6"/>
  </w:num>
  <w:num w:numId="6" w16cid:durableId="1608927804">
    <w:abstractNumId w:val="6"/>
  </w:num>
  <w:num w:numId="7" w16cid:durableId="241838571">
    <w:abstractNumId w:val="5"/>
  </w:num>
  <w:num w:numId="8" w16cid:durableId="1413041564">
    <w:abstractNumId w:val="5"/>
  </w:num>
  <w:num w:numId="9" w16cid:durableId="1837573376">
    <w:abstractNumId w:val="4"/>
  </w:num>
  <w:num w:numId="10" w16cid:durableId="1793941068">
    <w:abstractNumId w:val="4"/>
  </w:num>
  <w:num w:numId="11" w16cid:durableId="453063274">
    <w:abstractNumId w:val="8"/>
  </w:num>
  <w:num w:numId="12" w16cid:durableId="1352873146">
    <w:abstractNumId w:val="8"/>
  </w:num>
  <w:num w:numId="13" w16cid:durableId="1887596759">
    <w:abstractNumId w:val="3"/>
  </w:num>
  <w:num w:numId="14" w16cid:durableId="1231843203">
    <w:abstractNumId w:val="3"/>
  </w:num>
  <w:num w:numId="15" w16cid:durableId="1719011195">
    <w:abstractNumId w:val="2"/>
  </w:num>
  <w:num w:numId="16" w16cid:durableId="942539216">
    <w:abstractNumId w:val="2"/>
  </w:num>
  <w:num w:numId="17" w16cid:durableId="347097446">
    <w:abstractNumId w:val="1"/>
  </w:num>
  <w:num w:numId="18" w16cid:durableId="827944790">
    <w:abstractNumId w:val="1"/>
  </w:num>
  <w:num w:numId="19" w16cid:durableId="1157503256">
    <w:abstractNumId w:val="0"/>
  </w:num>
  <w:num w:numId="20" w16cid:durableId="1274946353">
    <w:abstractNumId w:val="0"/>
  </w:num>
  <w:num w:numId="21" w16cid:durableId="17044661">
    <w:abstractNumId w:val="9"/>
  </w:num>
  <w:num w:numId="22" w16cid:durableId="484779774">
    <w:abstractNumId w:val="7"/>
  </w:num>
  <w:num w:numId="23" w16cid:durableId="1437677327">
    <w:abstractNumId w:val="6"/>
  </w:num>
  <w:num w:numId="24" w16cid:durableId="1354768264">
    <w:abstractNumId w:val="5"/>
  </w:num>
  <w:num w:numId="25" w16cid:durableId="1069810606">
    <w:abstractNumId w:val="4"/>
  </w:num>
  <w:num w:numId="26" w16cid:durableId="49966054">
    <w:abstractNumId w:val="8"/>
  </w:num>
  <w:num w:numId="27" w16cid:durableId="800148354">
    <w:abstractNumId w:val="3"/>
  </w:num>
  <w:num w:numId="28" w16cid:durableId="1312637248">
    <w:abstractNumId w:val="2"/>
  </w:num>
  <w:num w:numId="29" w16cid:durableId="2071149816">
    <w:abstractNumId w:val="1"/>
  </w:num>
  <w:num w:numId="30" w16cid:durableId="2030178878">
    <w:abstractNumId w:val="0"/>
  </w:num>
  <w:num w:numId="31" w16cid:durableId="1301685853">
    <w:abstractNumId w:val="9"/>
  </w:num>
  <w:num w:numId="32" w16cid:durableId="2043550797">
    <w:abstractNumId w:val="7"/>
  </w:num>
  <w:num w:numId="33" w16cid:durableId="1420521478">
    <w:abstractNumId w:val="6"/>
  </w:num>
  <w:num w:numId="34" w16cid:durableId="1517578358">
    <w:abstractNumId w:val="5"/>
  </w:num>
  <w:num w:numId="35" w16cid:durableId="636492264">
    <w:abstractNumId w:val="4"/>
  </w:num>
  <w:num w:numId="36" w16cid:durableId="602612378">
    <w:abstractNumId w:val="8"/>
  </w:num>
  <w:num w:numId="37" w16cid:durableId="809128562">
    <w:abstractNumId w:val="3"/>
  </w:num>
  <w:num w:numId="38" w16cid:durableId="1297755871">
    <w:abstractNumId w:val="2"/>
  </w:num>
  <w:num w:numId="39" w16cid:durableId="1871140340">
    <w:abstractNumId w:val="1"/>
  </w:num>
  <w:num w:numId="40" w16cid:durableId="1785805959">
    <w:abstractNumId w:val="0"/>
  </w:num>
  <w:num w:numId="41" w16cid:durableId="1336347500">
    <w:abstractNumId w:val="10"/>
  </w:num>
  <w:num w:numId="42" w16cid:durableId="1225992495">
    <w:abstractNumId w:val="10"/>
  </w:num>
  <w:num w:numId="43" w16cid:durableId="53161343">
    <w:abstractNumId w:val="10"/>
  </w:num>
  <w:num w:numId="44" w16cid:durableId="56051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LT"/>
    <w:docVar w:name="dvnumam" w:val="0"/>
    <w:docVar w:name="dvpe" w:val="775.580"/>
    <w:docVar w:name="dvrapporteur" w:val="Pranešėjas: "/>
    <w:docVar w:name="dvtitre" w:val="2025 m. spalio 7 d. Europos Parlamento sprendimas dėl prašymo atšaukti Péterio Magyaro (Péter Magyar) imunitetą(2025/2096(IMM))"/>
  </w:docVars>
  <w:rsids>
    <w:rsidRoot w:val="00296EF1"/>
    <w:rsid w:val="00002272"/>
    <w:rsid w:val="00040C3A"/>
    <w:rsid w:val="00064002"/>
    <w:rsid w:val="000677B9"/>
    <w:rsid w:val="000831BA"/>
    <w:rsid w:val="000A42CC"/>
    <w:rsid w:val="000E7DD9"/>
    <w:rsid w:val="0010095E"/>
    <w:rsid w:val="00107083"/>
    <w:rsid w:val="00125B37"/>
    <w:rsid w:val="00187494"/>
    <w:rsid w:val="001A7F8B"/>
    <w:rsid w:val="001F32AE"/>
    <w:rsid w:val="00237678"/>
    <w:rsid w:val="002767FF"/>
    <w:rsid w:val="00296EF1"/>
    <w:rsid w:val="002B18FE"/>
    <w:rsid w:val="002B5493"/>
    <w:rsid w:val="00343214"/>
    <w:rsid w:val="00361C00"/>
    <w:rsid w:val="00395FA1"/>
    <w:rsid w:val="003E15D4"/>
    <w:rsid w:val="00411CCE"/>
    <w:rsid w:val="0041666E"/>
    <w:rsid w:val="00421060"/>
    <w:rsid w:val="00427A7D"/>
    <w:rsid w:val="00471C19"/>
    <w:rsid w:val="004867E3"/>
    <w:rsid w:val="00494A28"/>
    <w:rsid w:val="00495C64"/>
    <w:rsid w:val="004C0004"/>
    <w:rsid w:val="004C5D52"/>
    <w:rsid w:val="0050519A"/>
    <w:rsid w:val="005072A1"/>
    <w:rsid w:val="00514517"/>
    <w:rsid w:val="00526E48"/>
    <w:rsid w:val="005421D7"/>
    <w:rsid w:val="00545827"/>
    <w:rsid w:val="00560270"/>
    <w:rsid w:val="005C2568"/>
    <w:rsid w:val="005F12B5"/>
    <w:rsid w:val="005F1B17"/>
    <w:rsid w:val="006037C0"/>
    <w:rsid w:val="006631B6"/>
    <w:rsid w:val="0066479C"/>
    <w:rsid w:val="00680577"/>
    <w:rsid w:val="006C2F1F"/>
    <w:rsid w:val="006D3AA4"/>
    <w:rsid w:val="006F74FA"/>
    <w:rsid w:val="00731ADD"/>
    <w:rsid w:val="00734777"/>
    <w:rsid w:val="00747932"/>
    <w:rsid w:val="00751A4A"/>
    <w:rsid w:val="00756632"/>
    <w:rsid w:val="00762C74"/>
    <w:rsid w:val="00786EC0"/>
    <w:rsid w:val="007A7C55"/>
    <w:rsid w:val="007D1690"/>
    <w:rsid w:val="007E22AD"/>
    <w:rsid w:val="00817416"/>
    <w:rsid w:val="00842779"/>
    <w:rsid w:val="00865F67"/>
    <w:rsid w:val="00881A7B"/>
    <w:rsid w:val="008840E5"/>
    <w:rsid w:val="00887B3E"/>
    <w:rsid w:val="008A1D5B"/>
    <w:rsid w:val="008B1D6B"/>
    <w:rsid w:val="008C2AC6"/>
    <w:rsid w:val="008D12C8"/>
    <w:rsid w:val="00930C23"/>
    <w:rsid w:val="0093193B"/>
    <w:rsid w:val="00934796"/>
    <w:rsid w:val="009509D8"/>
    <w:rsid w:val="00950B64"/>
    <w:rsid w:val="00963425"/>
    <w:rsid w:val="00981893"/>
    <w:rsid w:val="00A1687D"/>
    <w:rsid w:val="00A43E52"/>
    <w:rsid w:val="00A4678D"/>
    <w:rsid w:val="00A65FF7"/>
    <w:rsid w:val="00A778C7"/>
    <w:rsid w:val="00AB441E"/>
    <w:rsid w:val="00AB6293"/>
    <w:rsid w:val="00AE0928"/>
    <w:rsid w:val="00AF3B82"/>
    <w:rsid w:val="00B12E95"/>
    <w:rsid w:val="00B22876"/>
    <w:rsid w:val="00B41041"/>
    <w:rsid w:val="00B414C7"/>
    <w:rsid w:val="00B558F0"/>
    <w:rsid w:val="00BD48FE"/>
    <w:rsid w:val="00BD7BD8"/>
    <w:rsid w:val="00BE6ADC"/>
    <w:rsid w:val="00BF5CBE"/>
    <w:rsid w:val="00C05BFE"/>
    <w:rsid w:val="00C119CA"/>
    <w:rsid w:val="00C23CD4"/>
    <w:rsid w:val="00C61C0C"/>
    <w:rsid w:val="00C941CB"/>
    <w:rsid w:val="00CC2357"/>
    <w:rsid w:val="00CF071A"/>
    <w:rsid w:val="00D058B8"/>
    <w:rsid w:val="00D56C11"/>
    <w:rsid w:val="00D834A0"/>
    <w:rsid w:val="00D872DF"/>
    <w:rsid w:val="00D91E21"/>
    <w:rsid w:val="00DA7FCD"/>
    <w:rsid w:val="00E263DC"/>
    <w:rsid w:val="00E365E1"/>
    <w:rsid w:val="00E36E87"/>
    <w:rsid w:val="00E73372"/>
    <w:rsid w:val="00E820A4"/>
    <w:rsid w:val="00EB006A"/>
    <w:rsid w:val="00EB4772"/>
    <w:rsid w:val="00ED169E"/>
    <w:rsid w:val="00ED3BA7"/>
    <w:rsid w:val="00ED4235"/>
    <w:rsid w:val="00F04346"/>
    <w:rsid w:val="00F075DC"/>
    <w:rsid w:val="00F149E9"/>
    <w:rsid w:val="00F15644"/>
    <w:rsid w:val="00F5134D"/>
    <w:rsid w:val="00F74202"/>
    <w:rsid w:val="00F87713"/>
    <w:rsid w:val="00FB4360"/>
    <w:rsid w:val="00FB6CBD"/>
    <w:rsid w:val="00FD0C70"/>
    <w:rsid w:val="00FD1A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2DEE4"/>
  <w15:chartTrackingRefBased/>
  <w15:docId w15:val="{B79B4399-F4BE-41C7-90A0-6A814FE24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1A3E"/>
    <w:pPr>
      <w:spacing w:after="240"/>
      <w:ind w:left="567" w:hanging="567"/>
    </w:pPr>
  </w:style>
  <w:style w:type="paragraph" w:customStyle="1" w:styleId="EPComma">
    <w:name w:val="EPComma"/>
    <w:basedOn w:val="Normal"/>
    <w:rsid w:val="00FD1A3E"/>
    <w:pPr>
      <w:spacing w:before="480" w:after="240"/>
    </w:pPr>
  </w:style>
  <w:style w:type="character" w:customStyle="1" w:styleId="doceo-font-family-base">
    <w:name w:val="doceo-font-family-base"/>
    <w:basedOn w:val="DefaultParagraphFont"/>
    <w:rsid w:val="00FD1A3E"/>
  </w:style>
  <w:style w:type="paragraph" w:customStyle="1" w:styleId="doceo-line-height-base">
    <w:name w:val="doceo-line-height-base"/>
    <w:basedOn w:val="Normal"/>
    <w:rsid w:val="00FD1A3E"/>
    <w:pPr>
      <w:widowControl/>
      <w:spacing w:before="100" w:beforeAutospacing="1" w:after="100" w:afterAutospacing="1"/>
    </w:pPr>
    <w:rPr>
      <w:szCs w:val="24"/>
    </w:rPr>
  </w:style>
  <w:style w:type="paragraph" w:styleId="Revision">
    <w:name w:val="Revision"/>
    <w:hidden/>
    <w:uiPriority w:val="99"/>
    <w:semiHidden/>
    <w:rsid w:val="00040C3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899</Words>
  <Characters>5858</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Prašymas atšaukti Péterio Magyaro (Péter Magyar) imunitetą</vt:lpstr>
      <vt:lpstr>        2025 m. spalio 7 d. Europos Parlamento sprendimas dėl prašymo atšaukti Péterio M</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2025-10-07T13:03:00Z</dcterms:created>
  <dcterms:modified xsi:type="dcterms:W3CDTF">2025-10-07T13:03:00Z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A10-0182/2025</vt:lpwstr>
  </property>
  <property fmtid="{D5CDD505-2E9C-101B-9397-08002B2CF9AE}" pid="4" name="&lt;Type&gt;">
    <vt:lpwstr>RR</vt:lpwstr>
  </property>
</Properties>
</file>