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668A" w14:paraId="18A60B3C" w14:textId="77777777" w:rsidTr="0010095E">
        <w:trPr>
          <w:trHeight w:hRule="exact" w:val="1418"/>
        </w:trPr>
        <w:tc>
          <w:tcPr>
            <w:tcW w:w="6804" w:type="dxa"/>
            <w:shd w:val="clear" w:color="auto" w:fill="auto"/>
            <w:vAlign w:val="center"/>
          </w:tcPr>
          <w:p w14:paraId="4F1F3376" w14:textId="77777777" w:rsidR="00751A4A" w:rsidRPr="00DE668A" w:rsidRDefault="00943421" w:rsidP="0010095E">
            <w:pPr>
              <w:pStyle w:val="EPName"/>
            </w:pPr>
            <w:r w:rsidRPr="00DE668A">
              <w:t>Eiropas Parlaments</w:t>
            </w:r>
          </w:p>
          <w:p w14:paraId="7B0608BC" w14:textId="77777777" w:rsidR="00751A4A" w:rsidRPr="00DE668A" w:rsidRDefault="005F1B17" w:rsidP="005F1B17">
            <w:pPr>
              <w:pStyle w:val="EPTerm"/>
              <w:rPr>
                <w:rStyle w:val="HideTWBExt"/>
                <w:noProof w:val="0"/>
                <w:vanish w:val="0"/>
                <w:color w:val="auto"/>
              </w:rPr>
            </w:pPr>
            <w:r w:rsidRPr="00DE668A">
              <w:t>2024</w:t>
            </w:r>
            <w:r w:rsidR="00817416" w:rsidRPr="00DE668A">
              <w:t>-202</w:t>
            </w:r>
            <w:r w:rsidRPr="00DE668A">
              <w:t>9</w:t>
            </w:r>
          </w:p>
        </w:tc>
        <w:tc>
          <w:tcPr>
            <w:tcW w:w="2268" w:type="dxa"/>
            <w:shd w:val="clear" w:color="auto" w:fill="auto"/>
          </w:tcPr>
          <w:p w14:paraId="318A1074" w14:textId="77777777" w:rsidR="00751A4A" w:rsidRPr="00DE668A" w:rsidRDefault="00187494" w:rsidP="0010095E">
            <w:pPr>
              <w:pStyle w:val="EPLogo"/>
            </w:pPr>
            <w:r w:rsidRPr="00DE668A">
              <w:rPr>
                <w:noProof/>
                <w:lang w:eastAsia="ja-JP"/>
              </w:rPr>
              <w:drawing>
                <wp:inline distT="0" distB="0" distL="0" distR="0" wp14:anchorId="47E60F8B" wp14:editId="5FEF1F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09AF26" w14:textId="77777777" w:rsidR="00D058B8" w:rsidRPr="00DE668A" w:rsidRDefault="00D058B8" w:rsidP="004C5D52">
      <w:pPr>
        <w:pStyle w:val="LineTop"/>
      </w:pPr>
    </w:p>
    <w:p w14:paraId="4F91210A" w14:textId="77777777" w:rsidR="00680577" w:rsidRPr="00DE668A" w:rsidRDefault="00943421" w:rsidP="00680577">
      <w:pPr>
        <w:pStyle w:val="EPBodyTA1"/>
      </w:pPr>
      <w:r w:rsidRPr="00DE668A">
        <w:t>PIEŅEMTIE TEKSTI</w:t>
      </w:r>
    </w:p>
    <w:p w14:paraId="0DAD6D7A" w14:textId="77777777" w:rsidR="00D058B8" w:rsidRPr="00DE668A" w:rsidRDefault="00D058B8" w:rsidP="00D058B8">
      <w:pPr>
        <w:pStyle w:val="LineBottom"/>
      </w:pPr>
    </w:p>
    <w:p w14:paraId="514DA9ED" w14:textId="27704DD1" w:rsidR="00943421" w:rsidRPr="00DE668A" w:rsidRDefault="00943421" w:rsidP="00943421">
      <w:pPr>
        <w:pStyle w:val="ATHeading1"/>
      </w:pPr>
      <w:bookmarkStart w:id="0" w:name="TANumber"/>
      <w:r w:rsidRPr="00DE668A">
        <w:t>P10_TA(2025)0</w:t>
      </w:r>
      <w:r w:rsidR="00DE668A" w:rsidRPr="00DE668A">
        <w:t>205</w:t>
      </w:r>
      <w:bookmarkEnd w:id="0"/>
    </w:p>
    <w:p w14:paraId="2B7CC350" w14:textId="3654C779" w:rsidR="00943421" w:rsidRPr="00DE668A" w:rsidRDefault="00EB6E56" w:rsidP="00943421">
      <w:pPr>
        <w:pStyle w:val="ATHeading2"/>
      </w:pPr>
      <w:bookmarkStart w:id="1" w:name="title"/>
      <w:r w:rsidRPr="00DE668A">
        <w:rPr>
          <w:bCs/>
        </w:rPr>
        <w:t>Piepras</w:t>
      </w:r>
      <w:r w:rsidRPr="00DE668A">
        <w:rPr>
          <w:rFonts w:hint="eastAsia"/>
          <w:bCs/>
        </w:rPr>
        <w:t>ī</w:t>
      </w:r>
      <w:r w:rsidRPr="00DE668A">
        <w:rPr>
          <w:bCs/>
        </w:rPr>
        <w:t xml:space="preserve">jums atcelt </w:t>
      </w:r>
      <w:proofErr w:type="spellStart"/>
      <w:r w:rsidRPr="00DE668A">
        <w:rPr>
          <w:bCs/>
          <w:i/>
          <w:iCs/>
        </w:rPr>
        <w:t>P</w:t>
      </w:r>
      <w:r w:rsidRPr="00DE668A">
        <w:rPr>
          <w:rFonts w:hint="eastAsia"/>
          <w:bCs/>
          <w:i/>
          <w:iCs/>
        </w:rPr>
        <w:t>é</w:t>
      </w:r>
      <w:r w:rsidRPr="00DE668A">
        <w:rPr>
          <w:bCs/>
          <w:i/>
          <w:iCs/>
        </w:rPr>
        <w:t>ter</w:t>
      </w:r>
      <w:proofErr w:type="spellEnd"/>
      <w:r w:rsidRPr="00DE668A">
        <w:rPr>
          <w:bCs/>
          <w:i/>
          <w:iCs/>
        </w:rPr>
        <w:t xml:space="preserve"> </w:t>
      </w:r>
      <w:proofErr w:type="spellStart"/>
      <w:r w:rsidRPr="00DE668A">
        <w:rPr>
          <w:bCs/>
          <w:i/>
          <w:iCs/>
        </w:rPr>
        <w:t>Magyar</w:t>
      </w:r>
      <w:proofErr w:type="spellEnd"/>
      <w:r w:rsidRPr="00DE668A">
        <w:rPr>
          <w:bCs/>
        </w:rPr>
        <w:t xml:space="preserve"> imunit</w:t>
      </w:r>
      <w:r w:rsidRPr="00DE668A">
        <w:rPr>
          <w:rFonts w:hint="eastAsia"/>
          <w:bCs/>
        </w:rPr>
        <w:t>ā</w:t>
      </w:r>
      <w:r w:rsidRPr="00DE668A">
        <w:rPr>
          <w:bCs/>
        </w:rPr>
        <w:t>ti</w:t>
      </w:r>
      <w:bookmarkEnd w:id="1"/>
    </w:p>
    <w:p w14:paraId="6C5DA236" w14:textId="77777777" w:rsidR="00943421" w:rsidRPr="00DE668A" w:rsidRDefault="00943421" w:rsidP="00943421">
      <w:pPr>
        <w:rPr>
          <w:i/>
          <w:vanish/>
        </w:rPr>
      </w:pPr>
      <w:r w:rsidRPr="00DE668A">
        <w:rPr>
          <w:i/>
        </w:rPr>
        <w:fldChar w:fldCharType="begin"/>
      </w:r>
      <w:r w:rsidRPr="00DE668A">
        <w:rPr>
          <w:i/>
        </w:rPr>
        <w:instrText xml:space="preserve"> TC"(</w:instrText>
      </w:r>
      <w:bookmarkStart w:id="2" w:name="DocNumber"/>
      <w:r w:rsidRPr="00DE668A">
        <w:rPr>
          <w:i/>
        </w:rPr>
        <w:instrText>A10-0182/2025</w:instrText>
      </w:r>
      <w:bookmarkEnd w:id="2"/>
      <w:r w:rsidRPr="00DE668A">
        <w:rPr>
          <w:i/>
        </w:rPr>
        <w:instrText xml:space="preserve"> - Referents: Pascale Piera)"\l3 \n&gt; \* MERGEFORMAT </w:instrText>
      </w:r>
      <w:r w:rsidRPr="00DE668A">
        <w:rPr>
          <w:i/>
        </w:rPr>
        <w:fldChar w:fldCharType="end"/>
      </w:r>
    </w:p>
    <w:p w14:paraId="5F24DCC3" w14:textId="77777777" w:rsidR="00943421" w:rsidRPr="00DE668A" w:rsidRDefault="00943421" w:rsidP="00943421">
      <w:pPr>
        <w:rPr>
          <w:vanish/>
        </w:rPr>
      </w:pPr>
      <w:bookmarkStart w:id="3" w:name="Commission"/>
      <w:r w:rsidRPr="00DE668A">
        <w:rPr>
          <w:vanish/>
        </w:rPr>
        <w:t>Juridiskā komiteja</w:t>
      </w:r>
      <w:bookmarkEnd w:id="3"/>
    </w:p>
    <w:p w14:paraId="24361B74" w14:textId="77777777" w:rsidR="00943421" w:rsidRPr="00DE668A" w:rsidRDefault="00943421" w:rsidP="00943421">
      <w:pPr>
        <w:rPr>
          <w:vanish/>
        </w:rPr>
      </w:pPr>
      <w:bookmarkStart w:id="4" w:name="PE"/>
      <w:r w:rsidRPr="00DE668A">
        <w:rPr>
          <w:vanish/>
        </w:rPr>
        <w:t>PE775.580</w:t>
      </w:r>
      <w:bookmarkEnd w:id="4"/>
    </w:p>
    <w:p w14:paraId="4AC7F939" w14:textId="18417B6D" w:rsidR="00943421" w:rsidRPr="00DE668A" w:rsidRDefault="00943421" w:rsidP="00943421">
      <w:pPr>
        <w:pStyle w:val="ATHeading3"/>
      </w:pPr>
      <w:bookmarkStart w:id="5" w:name="Sujet"/>
      <w:r w:rsidRPr="00DE668A">
        <w:t xml:space="preserve">Eiropas Parlamenta 2025. gada </w:t>
      </w:r>
      <w:r w:rsidR="009B1A99" w:rsidRPr="00DE668A">
        <w:t>7. oktobra</w:t>
      </w:r>
      <w:r w:rsidRPr="00DE668A">
        <w:t xml:space="preserve"> lēmums par pieprasījumu atcelt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imunitāti</w:t>
      </w:r>
      <w:bookmarkEnd w:id="5"/>
      <w:r w:rsidRPr="00DE668A">
        <w:t xml:space="preserve"> </w:t>
      </w:r>
      <w:bookmarkStart w:id="6" w:name="References"/>
      <w:r w:rsidRPr="00DE668A">
        <w:t>(2025/2096(IMM))</w:t>
      </w:r>
      <w:bookmarkEnd w:id="6"/>
    </w:p>
    <w:p w14:paraId="10B21256" w14:textId="77777777" w:rsidR="00EB6E56" w:rsidRPr="00DE668A" w:rsidRDefault="00EB6E56" w:rsidP="00EB6E56">
      <w:pPr>
        <w:pStyle w:val="EPComma"/>
        <w:rPr>
          <w:i/>
          <w:iCs/>
        </w:rPr>
      </w:pPr>
      <w:r w:rsidRPr="00DE668A">
        <w:rPr>
          <w:i/>
          <w:iCs/>
        </w:rPr>
        <w:t>Eiropas Parlaments,</w:t>
      </w:r>
    </w:p>
    <w:p w14:paraId="1A762E48" w14:textId="53E3E4E9" w:rsidR="00EB6E56" w:rsidRPr="00DE668A" w:rsidRDefault="00EB6E56" w:rsidP="00EB6E56">
      <w:pPr>
        <w:pStyle w:val="NormalHanging12a"/>
      </w:pPr>
      <w:r w:rsidRPr="00DE668A">
        <w:t>–</w:t>
      </w:r>
      <w:r w:rsidRPr="00DE668A">
        <w:tab/>
        <w:t xml:space="preserve">ņemot vērā </w:t>
      </w:r>
      <w:proofErr w:type="spellStart"/>
      <w:r w:rsidRPr="00DE668A">
        <w:t>Peštas</w:t>
      </w:r>
      <w:proofErr w:type="spellEnd"/>
      <w:r w:rsidRPr="00DE668A">
        <w:t xml:space="preserve"> centra rajona tiesas</w:t>
      </w:r>
      <w:r w:rsidR="00962FDD" w:rsidRPr="00DE668A">
        <w:t xml:space="preserve"> Ungārijā</w:t>
      </w:r>
      <w:r w:rsidRPr="00DE668A">
        <w:t xml:space="preserve"> 2025. gada 21. marta pieprasījumu atcelt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imunitāti saistībā ar pret viņu</w:t>
      </w:r>
      <w:r w:rsidR="00962FDD" w:rsidRPr="00DE668A">
        <w:t xml:space="preserve"> ar privātu priekšlikumu</w:t>
      </w:r>
      <w:r w:rsidRPr="00DE668A">
        <w:t xml:space="preserve"> ierosinātu kriminālprocesu, par kuru paziņots 2025. gada 5. maija </w:t>
      </w:r>
      <w:r w:rsidR="009B1A99" w:rsidRPr="00DE668A">
        <w:t>Parlamentā</w:t>
      </w:r>
      <w:r w:rsidRPr="00DE668A">
        <w:t>,</w:t>
      </w:r>
    </w:p>
    <w:p w14:paraId="42DA4D1C" w14:textId="628DF1CF" w:rsidR="00EB6E56" w:rsidRPr="00DE668A" w:rsidRDefault="00EB6E56" w:rsidP="00EB6E56">
      <w:pPr>
        <w:pStyle w:val="NormalHanging12a"/>
      </w:pPr>
      <w:r w:rsidRPr="00DE668A">
        <w:t>–</w:t>
      </w:r>
      <w:r w:rsidRPr="00DE668A">
        <w:tab/>
        <w:t xml:space="preserve">ņemot vērā to, ka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atteicās no savām tiesībām tikt uzklausītam saskaņā ar </w:t>
      </w:r>
      <w:r w:rsidR="00200755" w:rsidRPr="00DE668A">
        <w:t xml:space="preserve">Parlamenta </w:t>
      </w:r>
      <w:r w:rsidRPr="00DE668A">
        <w:t>Reglamenta 9. panta 6. punktu,</w:t>
      </w:r>
    </w:p>
    <w:p w14:paraId="4BCCF38D" w14:textId="4F82744D" w:rsidR="00EB6E56" w:rsidRPr="00DE668A" w:rsidRDefault="00EB6E56" w:rsidP="00EB6E56">
      <w:pPr>
        <w:pStyle w:val="NormalHanging12a"/>
      </w:pPr>
      <w:r w:rsidRPr="00DE668A">
        <w:t>–</w:t>
      </w:r>
      <w:r w:rsidRPr="00DE668A">
        <w:tab/>
        <w:t>ņemot vērā Protokola Nr. 7 par privilēģijām un imunitāti Eiropas Savienībā 8. un 9. pantu, kā arī 1976. gada 20. septembra Akta par Eiropas Parlamenta deputātu ievēlēšanu tiešās vispārējās vēlēšanās 6. panta 2. punktu,</w:t>
      </w:r>
    </w:p>
    <w:p w14:paraId="10A853E6" w14:textId="77777777" w:rsidR="00EB6E56" w:rsidRPr="00DE668A" w:rsidRDefault="00EB6E56" w:rsidP="00EB6E56">
      <w:pPr>
        <w:pStyle w:val="NormalHanging12a"/>
      </w:pPr>
      <w:r w:rsidRPr="00DE668A">
        <w:t>–</w:t>
      </w:r>
      <w:r w:rsidRPr="00DE668A">
        <w:tab/>
        <w:t>ņemot vērā Ungārijas Pamatlikuma 4. panta 2. punktu,</w:t>
      </w:r>
    </w:p>
    <w:p w14:paraId="24A752B5" w14:textId="77777777" w:rsidR="00EB6E56" w:rsidRPr="00DE668A" w:rsidRDefault="00EB6E56" w:rsidP="00EB6E56">
      <w:pPr>
        <w:pStyle w:val="NormalHanging12a"/>
      </w:pPr>
      <w:r w:rsidRPr="00DE668A">
        <w:t>–</w:t>
      </w:r>
      <w:r w:rsidRPr="00DE668A">
        <w:tab/>
        <w:t>ņemot vērā Eiropas Savienības Tiesas 2008. gada 21. oktobra, 2010. gada 19. marta, 2011. gada 6. septembra, 2013. gada 17. janvāra un 2019. gada 19. decembra un 2023. gada 5. jūlija spriedumu</w:t>
      </w:r>
      <w:r w:rsidRPr="00DE668A">
        <w:rPr>
          <w:rStyle w:val="FootnoteReference"/>
        </w:rPr>
        <w:footnoteReference w:id="1"/>
      </w:r>
      <w:r w:rsidRPr="00DE668A">
        <w:t>,</w:t>
      </w:r>
    </w:p>
    <w:p w14:paraId="421CAD6A" w14:textId="77777777" w:rsidR="00EB6E56" w:rsidRPr="00DE668A" w:rsidRDefault="00EB6E56" w:rsidP="00EB6E56">
      <w:pPr>
        <w:pStyle w:val="NormalHanging12a"/>
      </w:pPr>
      <w:r w:rsidRPr="00DE668A">
        <w:t>–</w:t>
      </w:r>
      <w:r w:rsidRPr="00DE668A">
        <w:tab/>
        <w:t>ņemot vērā Reglamenta 5. panta 2. punktu, 6. panta 1. punktu un 9. pantu,</w:t>
      </w:r>
    </w:p>
    <w:p w14:paraId="6135962B" w14:textId="77777777" w:rsidR="00EB6E56" w:rsidRPr="00DE668A" w:rsidRDefault="00EB6E56" w:rsidP="00EB6E56">
      <w:pPr>
        <w:pStyle w:val="NormalHanging12a"/>
      </w:pPr>
      <w:r w:rsidRPr="00DE668A">
        <w:t>–</w:t>
      </w:r>
      <w:r w:rsidRPr="00DE668A">
        <w:tab/>
        <w:t>ņemot vērā Juridiskās komitejas ziņojumu (A10-0182/2025),</w:t>
      </w:r>
    </w:p>
    <w:p w14:paraId="5FCEE794" w14:textId="109CF70B" w:rsidR="00EB6E56" w:rsidRPr="00DE668A" w:rsidRDefault="00EB6E56" w:rsidP="00EB6E56">
      <w:pPr>
        <w:pStyle w:val="NormalHanging12a"/>
        <w:widowControl/>
      </w:pPr>
      <w:r w:rsidRPr="00DE668A">
        <w:lastRenderedPageBreak/>
        <w:t>A.</w:t>
      </w:r>
      <w:r w:rsidRPr="00DE668A">
        <w:tab/>
        <w:t xml:space="preserve">tā kā </w:t>
      </w:r>
      <w:proofErr w:type="spellStart"/>
      <w:r w:rsidRPr="00DE668A">
        <w:t>Peštas</w:t>
      </w:r>
      <w:proofErr w:type="spellEnd"/>
      <w:r w:rsidRPr="00DE668A">
        <w:t xml:space="preserve"> centra rajona tiesa 2025. gada 21. marta vēstulē iesniedza pieprasījumu atcelt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w:t>
      </w:r>
      <w:r w:rsidR="00200755" w:rsidRPr="00DE668A">
        <w:t xml:space="preserve">, Ungārijā ievelēta Eiropas Parlamenta deputāta, </w:t>
      </w:r>
      <w:r w:rsidRPr="00DE668A">
        <w:t>imunitāti, pamatojoties iespējamu noziedzīgu nodarījumu, kas ir paredzēts 2012. gada Likuma Nr. C par Ungārijas Kriminālkodeksu 226. </w:t>
      </w:r>
      <w:r w:rsidR="00200755" w:rsidRPr="00DE668A">
        <w:t>iedaļas</w:t>
      </w:r>
      <w:r w:rsidRPr="00DE668A">
        <w:t xml:space="preserve">, par nodarījumiem, kas ir izdarīti 2024. gada aprīlī krimināllietā par neslavas celšanu, ko kāda </w:t>
      </w:r>
      <w:r w:rsidR="00200755" w:rsidRPr="00DE668A">
        <w:t xml:space="preserve">privāta </w:t>
      </w:r>
      <w:proofErr w:type="spellStart"/>
      <w:r w:rsidR="007970EA" w:rsidRPr="00DE668A">
        <w:t>kri</w:t>
      </w:r>
      <w:r w:rsidR="008766F1" w:rsidRPr="00DE668A">
        <w:t>m</w:t>
      </w:r>
      <w:r w:rsidR="007970EA" w:rsidRPr="00DE668A">
        <w:t>ālprocesa</w:t>
      </w:r>
      <w:proofErr w:type="spellEnd"/>
      <w:r w:rsidR="00200755" w:rsidRPr="00DE668A">
        <w:t xml:space="preserve"> puse </w:t>
      </w:r>
      <w:r w:rsidRPr="00DE668A">
        <w:t xml:space="preserve">ir ierosinājusi pret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w:t>
      </w:r>
    </w:p>
    <w:p w14:paraId="1F97118D" w14:textId="77777777" w:rsidR="00EB6E56" w:rsidRPr="00DE668A" w:rsidRDefault="00EB6E56" w:rsidP="00EB6E56">
      <w:pPr>
        <w:pStyle w:val="NormalHanging12a"/>
        <w:widowControl/>
      </w:pPr>
      <w:r w:rsidRPr="00DE668A">
        <w:rPr>
          <w:shd w:val="clear" w:color="auto" w:fill="FFFFFF"/>
        </w:rPr>
        <w:t>B.</w:t>
      </w:r>
      <w:r w:rsidRPr="00DE668A">
        <w:rPr>
          <w:shd w:val="clear" w:color="auto" w:fill="FFFFFF"/>
        </w:rPr>
        <w:tab/>
      </w:r>
      <w:r w:rsidRPr="00DE668A">
        <w:t xml:space="preserve">tā kā pieprasījumā ir norādīts, ka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tiek apsūdzēts tādu publisku izteikumu izdarīšanā, kas izskanēja kādas demonstrācijas laikā un satur nepatiesus apgalvojumus, un tādu baumu izplatīšanā, kas varētu kaitēt politiskās kustības </w:t>
      </w:r>
      <w:proofErr w:type="spellStart"/>
      <w:r w:rsidRPr="00DE668A">
        <w:rPr>
          <w:i/>
          <w:iCs/>
        </w:rPr>
        <w:t>Mi</w:t>
      </w:r>
      <w:proofErr w:type="spellEnd"/>
      <w:r w:rsidRPr="00DE668A">
        <w:rPr>
          <w:i/>
          <w:iCs/>
        </w:rPr>
        <w:t xml:space="preserve"> </w:t>
      </w:r>
      <w:proofErr w:type="spellStart"/>
      <w:r w:rsidRPr="00DE668A">
        <w:rPr>
          <w:i/>
          <w:iCs/>
        </w:rPr>
        <w:t>Hazánk</w:t>
      </w:r>
      <w:proofErr w:type="spellEnd"/>
      <w:r w:rsidRPr="00DE668A">
        <w:rPr>
          <w:i/>
          <w:iCs/>
        </w:rPr>
        <w:t xml:space="preserve"> </w:t>
      </w:r>
      <w:proofErr w:type="spellStart"/>
      <w:r w:rsidRPr="00DE668A">
        <w:rPr>
          <w:i/>
          <w:iCs/>
        </w:rPr>
        <w:t>Mozgalom</w:t>
      </w:r>
      <w:proofErr w:type="spellEnd"/>
      <w:r w:rsidRPr="00DE668A">
        <w:t xml:space="preserve"> un viena no tās priekšsēdētāja vietnieku, Ungārijas parlamenta deputāta, reputācijai; tā kā 2024. gada 13. maijā pret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tika uzsākts privāts kriminālprocess, pamatojoties uz </w:t>
      </w:r>
      <w:proofErr w:type="spellStart"/>
      <w:r w:rsidRPr="00DE668A">
        <w:t>kriminālsūdzību</w:t>
      </w:r>
      <w:proofErr w:type="spellEnd"/>
      <w:r w:rsidRPr="00DE668A">
        <w:t xml:space="preserve"> par neslavas celšanu;</w:t>
      </w:r>
    </w:p>
    <w:p w14:paraId="73A78784" w14:textId="7CF2F745" w:rsidR="007970EA" w:rsidRPr="00DE668A" w:rsidRDefault="00EB6E56" w:rsidP="00EB6E56">
      <w:pPr>
        <w:pStyle w:val="NormalHanging12a"/>
        <w:widowControl/>
      </w:pPr>
      <w:r w:rsidRPr="00DE668A">
        <w:t>C.</w:t>
      </w:r>
      <w:r w:rsidRPr="00DE668A">
        <w:tab/>
      </w:r>
      <w:r w:rsidR="007970EA" w:rsidRPr="00DE668A">
        <w:t xml:space="preserve">tā kā </w:t>
      </w:r>
      <w:proofErr w:type="spellStart"/>
      <w:r w:rsidR="007970EA" w:rsidRPr="00DE668A">
        <w:rPr>
          <w:i/>
          <w:iCs/>
        </w:rPr>
        <w:t>Péter</w:t>
      </w:r>
      <w:proofErr w:type="spellEnd"/>
      <w:r w:rsidR="007970EA" w:rsidRPr="00DE668A">
        <w:rPr>
          <w:i/>
          <w:iCs/>
        </w:rPr>
        <w:t xml:space="preserve"> </w:t>
      </w:r>
      <w:proofErr w:type="spellStart"/>
      <w:r w:rsidR="007970EA" w:rsidRPr="00DE668A">
        <w:rPr>
          <w:i/>
          <w:iCs/>
        </w:rPr>
        <w:t>Magyar</w:t>
      </w:r>
      <w:proofErr w:type="spellEnd"/>
      <w:r w:rsidR="007970EA" w:rsidRPr="00DE668A">
        <w:t xml:space="preserve"> tika ievēlēts Eiropas Parlamenta vēlēšanās 2024. gada jūnijā un laikā, kad pret viņu tika iesniegta </w:t>
      </w:r>
      <w:proofErr w:type="spellStart"/>
      <w:r w:rsidR="007970EA" w:rsidRPr="00DE668A">
        <w:t>kriminālsūdzība</w:t>
      </w:r>
      <w:proofErr w:type="spellEnd"/>
      <w:r w:rsidR="007970EA" w:rsidRPr="00DE668A">
        <w:t>, aģitēja par ievēlēšanu par Eiropas Parlamenta deputātu;</w:t>
      </w:r>
    </w:p>
    <w:p w14:paraId="04B34C6C" w14:textId="2BF145F4" w:rsidR="00EB6E56" w:rsidRPr="00DE668A" w:rsidRDefault="00EB6E56" w:rsidP="00EB6E56">
      <w:pPr>
        <w:pStyle w:val="NormalHanging12a"/>
        <w:widowControl/>
      </w:pPr>
      <w:r w:rsidRPr="00DE668A">
        <w:t>D.</w:t>
      </w:r>
      <w:r w:rsidRPr="00DE668A">
        <w:tab/>
        <w:t xml:space="preserve">tā kā iespējamie noziedzīgie nodarījumi un no tiem izrietošais pieprasījums atcelt viņa imunitāti nav saistīti nedz ar </w:t>
      </w:r>
      <w:proofErr w:type="spellStart"/>
      <w:r w:rsidRPr="00DE668A">
        <w:rPr>
          <w:i/>
          <w:iCs/>
        </w:rPr>
        <w:t>Péter</w:t>
      </w:r>
      <w:proofErr w:type="spellEnd"/>
      <w:r w:rsidRPr="00DE668A">
        <w:rPr>
          <w:i/>
          <w:iCs/>
        </w:rPr>
        <w:t> </w:t>
      </w:r>
      <w:proofErr w:type="spellStart"/>
      <w:r w:rsidRPr="00DE668A">
        <w:rPr>
          <w:i/>
          <w:iCs/>
        </w:rPr>
        <w:t>Magyar</w:t>
      </w:r>
      <w:proofErr w:type="spellEnd"/>
      <w:r w:rsidRPr="00DE668A">
        <w:t xml:space="preserve"> pausto viedokli, nedz balsojumu, kas ir attiecīgi pausts un veikts, viņam pildot savus pienākumus Protokola Nr. 7 par privilēģijām un imunitāti Eiropas Savienībā 8. panta nozīmē;</w:t>
      </w:r>
    </w:p>
    <w:p w14:paraId="6D87745E" w14:textId="6D938AD4" w:rsidR="00EB6E56" w:rsidRPr="00DE668A" w:rsidRDefault="00EB6E56" w:rsidP="00EB6E56">
      <w:pPr>
        <w:pStyle w:val="NormalHanging12a"/>
        <w:widowControl/>
      </w:pPr>
      <w:r w:rsidRPr="00DE668A">
        <w:t>E.</w:t>
      </w:r>
      <w:r w:rsidRPr="00DE668A">
        <w:tab/>
        <w:t>tā kā saskaņā ar Protokola Nr. 7 par privilēģijām un imunitāti Eiropas Savienībā 9. panta pirmās daļas a) punktu Eiropas Parlamenta locekļiem savā valstī ir imunitāte, ko piešķir attiecīgās valsts parlamenta locekļiem;</w:t>
      </w:r>
    </w:p>
    <w:p w14:paraId="00883B23" w14:textId="0082BF9B" w:rsidR="00EB6E56" w:rsidRPr="00DE668A" w:rsidRDefault="00EB6E56" w:rsidP="00EB6E56">
      <w:pPr>
        <w:pStyle w:val="NormalHanging12a"/>
      </w:pPr>
      <w:r w:rsidRPr="00DE668A">
        <w:t>F.</w:t>
      </w:r>
      <w:r w:rsidRPr="00DE668A">
        <w:tab/>
        <w:t>tā kā saskaņā ar Ungārijas Pamatlikuma 4. panta 2. punktu Ungārijas parlamenta deputātiem ir tiesības uz imunitāti;</w:t>
      </w:r>
      <w:r w:rsidRPr="00DE668A">
        <w:rPr>
          <w:color w:val="000000"/>
          <w:shd w:val="clear" w:color="auto" w:fill="FFFFFF"/>
        </w:rPr>
        <w:t xml:space="preserve"> </w:t>
      </w:r>
      <w:r w:rsidRPr="00DE668A">
        <w:t xml:space="preserve">tā kā saskaņā ar 2012. gada Likuma Nr. XXXVI par Ungārijas parlamentu 79. panta 2. punktu personai, kas kā kandidāts ir reģistrēta ar galīgu un saistošu spēku, ir tāda pati imunitāte kā Ungārijas parlamenta deputātiem, līdz vēlēšanu rezultāti kļūst galīgi un saistoši, un tā kā jebkurā gadījumā saskaņā ar minētā likuma 79. panta 1. punktu deputātiem ir imunitāte, sākot ar viņu ievēlēšanas dienu; </w:t>
      </w:r>
      <w:r w:rsidR="008766F1" w:rsidRPr="00DE668A">
        <w:rPr>
          <w:color w:val="000000"/>
          <w:shd w:val="clear" w:color="auto" w:fill="FFFFFF"/>
        </w:rPr>
        <w:t>tā kā saskaņā ar 2012. gada Likuma Nr. XXXVI par Nacionālo asambleju 74. panta 1. punktu kriminālprocesu vai, ja imunitāte attiecībā uz konkrēto jautājumu netiek brīvprātīgi atcelta, procesu par kriminālpārkāpumiem var sākt vai turpināt un piespiedu līdzekļus saskaņā ar kriminālprocesu pret deputātu var piemērot tikai ar Nacionālās asamblejas iepriekšēju piekrišanu;</w:t>
      </w:r>
    </w:p>
    <w:p w14:paraId="17D8AF8B" w14:textId="32FD4CBD" w:rsidR="009B1A99" w:rsidRPr="00DE668A" w:rsidRDefault="009B1A99" w:rsidP="009B1A99">
      <w:pPr>
        <w:pStyle w:val="NormalHanging12a"/>
        <w:widowControl/>
      </w:pPr>
      <w:r w:rsidRPr="00DE668A">
        <w:t>G.</w:t>
      </w:r>
      <w:r w:rsidRPr="00DE668A">
        <w:tab/>
        <w:t>tā kā saskaņā ar Parlamenta Reglamenta 5. panta 2. punktu deputāta imunitāte nav deputāta personiska privilēģija, bet gan visa</w:t>
      </w:r>
      <w:r w:rsidR="00832A79" w:rsidRPr="00DE668A">
        <w:t xml:space="preserve"> Eiropas </w:t>
      </w:r>
      <w:r w:rsidRPr="00DE668A">
        <w:t>Parlamenta un tā deputātu neatkarības garantija;</w:t>
      </w:r>
    </w:p>
    <w:p w14:paraId="0551610B" w14:textId="36A48A36" w:rsidR="00EB6E56" w:rsidRPr="00DE668A" w:rsidRDefault="009B1A99" w:rsidP="00EB6E56">
      <w:pPr>
        <w:pStyle w:val="NormalHanging12a"/>
        <w:widowControl/>
      </w:pPr>
      <w:r w:rsidRPr="00DE668A">
        <w:t>H</w:t>
      </w:r>
      <w:r w:rsidR="00EB6E56" w:rsidRPr="00DE668A">
        <w:t>.</w:t>
      </w:r>
      <w:r w:rsidR="00EB6E56" w:rsidRPr="00DE668A">
        <w:tab/>
      </w:r>
      <w:r w:rsidR="008766F1" w:rsidRPr="00DE668A">
        <w:t>tā kā Protokolā Nr. 7 par privilēģijām un imunitāti Eiropas Savienībā paredzētās imunitātes mērķis ir aizsargāt Parlamentu un tā deputātus pret tiesvedību saistībā ar darbībām, kas tiek veiktas, pildot parlamentāros pienākumus, un ko nevar nošķirt no šādām darbībām;</w:t>
      </w:r>
    </w:p>
    <w:p w14:paraId="337D4110" w14:textId="77777777" w:rsidR="00EB6E56" w:rsidRPr="00DE668A" w:rsidRDefault="00EB6E56" w:rsidP="00EB6E56">
      <w:pPr>
        <w:pStyle w:val="NormalHanging12a"/>
      </w:pPr>
      <w:r w:rsidRPr="00DE668A">
        <w:t>I.</w:t>
      </w:r>
      <w:r w:rsidRPr="00DE668A">
        <w:tab/>
        <w:t xml:space="preserve">tā kā no EST judikatūras izriet, ka Parlamentam “ir ļoti plaša rīcības brīvība attiecībā uz virzienu, kādu tas vēlas piešķirt lēmumam, kas pieņemts pēc pieprasījuma atcelt </w:t>
      </w:r>
      <w:r w:rsidRPr="00DE668A">
        <w:lastRenderedPageBreak/>
        <w:t>imunitāti (..), jo šāds lēmums ir politisks”</w:t>
      </w:r>
      <w:r w:rsidRPr="00DE668A">
        <w:rPr>
          <w:vertAlign w:val="superscript"/>
        </w:rPr>
        <w:footnoteReference w:id="2"/>
      </w:r>
      <w:r w:rsidRPr="00DE668A">
        <w:t>;</w:t>
      </w:r>
    </w:p>
    <w:p w14:paraId="6735D74B" w14:textId="4D88C225" w:rsidR="00EB6E56" w:rsidRPr="00DE668A" w:rsidRDefault="00EB6E56" w:rsidP="00EB6E56">
      <w:pPr>
        <w:pStyle w:val="NormalHanging12a"/>
        <w:widowControl/>
      </w:pPr>
      <w:r w:rsidRPr="00DE668A">
        <w:t>J.</w:t>
      </w:r>
      <w:r w:rsidRPr="00DE668A">
        <w:tab/>
        <w:t xml:space="preserve">tā kā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ir </w:t>
      </w:r>
      <w:proofErr w:type="spellStart"/>
      <w:r w:rsidRPr="00DE668A">
        <w:rPr>
          <w:i/>
          <w:iCs/>
        </w:rPr>
        <w:t>Tisza</w:t>
      </w:r>
      <w:proofErr w:type="spellEnd"/>
      <w:r w:rsidRPr="00DE668A">
        <w:t xml:space="preserve"> partijas (</w:t>
      </w:r>
      <w:proofErr w:type="spellStart"/>
      <w:r w:rsidRPr="00DE668A">
        <w:rPr>
          <w:i/>
          <w:iCs/>
        </w:rPr>
        <w:t>Tisztelet</w:t>
      </w:r>
      <w:proofErr w:type="spellEnd"/>
      <w:r w:rsidRPr="00DE668A">
        <w:rPr>
          <w:i/>
          <w:iCs/>
        </w:rPr>
        <w:t xml:space="preserve"> </w:t>
      </w:r>
      <w:proofErr w:type="spellStart"/>
      <w:r w:rsidRPr="00DE668A">
        <w:rPr>
          <w:i/>
          <w:iCs/>
        </w:rPr>
        <w:t>és</w:t>
      </w:r>
      <w:proofErr w:type="spellEnd"/>
      <w:r w:rsidRPr="00DE668A">
        <w:rPr>
          <w:i/>
          <w:iCs/>
        </w:rPr>
        <w:t xml:space="preserve"> </w:t>
      </w:r>
      <w:proofErr w:type="spellStart"/>
      <w:r w:rsidRPr="00DE668A">
        <w:rPr>
          <w:i/>
          <w:iCs/>
        </w:rPr>
        <w:t>Szabadság</w:t>
      </w:r>
      <w:proofErr w:type="spellEnd"/>
      <w:r w:rsidRPr="00DE668A">
        <w:rPr>
          <w:i/>
          <w:iCs/>
        </w:rPr>
        <w:t xml:space="preserve"> </w:t>
      </w:r>
      <w:proofErr w:type="spellStart"/>
      <w:r w:rsidRPr="00DE668A">
        <w:rPr>
          <w:i/>
          <w:iCs/>
        </w:rPr>
        <w:t>Párt</w:t>
      </w:r>
      <w:proofErr w:type="spellEnd"/>
      <w:r w:rsidRPr="00DE668A">
        <w:t>) priekšsēdētājs un arī ir šīs partijas 2024. gada Eiropas vēlēšanu kandidātu saraksta lokomotīve;</w:t>
      </w:r>
      <w:r w:rsidRPr="00DE668A">
        <w:rPr>
          <w:rStyle w:val="doceo-font-family-base"/>
          <w:color w:val="1E1E1F"/>
        </w:rPr>
        <w:t xml:space="preserve"> </w:t>
      </w:r>
      <w:r w:rsidRPr="00DE668A">
        <w:t xml:space="preserve">tā kā politiskā kustība </w:t>
      </w:r>
      <w:proofErr w:type="spellStart"/>
      <w:r w:rsidRPr="00DE668A">
        <w:rPr>
          <w:i/>
          <w:iCs/>
        </w:rPr>
        <w:t>Mi</w:t>
      </w:r>
      <w:proofErr w:type="spellEnd"/>
      <w:r w:rsidRPr="00DE668A">
        <w:rPr>
          <w:i/>
          <w:iCs/>
        </w:rPr>
        <w:t xml:space="preserve"> </w:t>
      </w:r>
      <w:proofErr w:type="spellStart"/>
      <w:r w:rsidRPr="00DE668A">
        <w:rPr>
          <w:i/>
          <w:iCs/>
        </w:rPr>
        <w:t>Hazánk</w:t>
      </w:r>
      <w:proofErr w:type="spellEnd"/>
      <w:r w:rsidRPr="00DE668A">
        <w:rPr>
          <w:i/>
          <w:iCs/>
        </w:rPr>
        <w:t xml:space="preserve"> </w:t>
      </w:r>
      <w:proofErr w:type="spellStart"/>
      <w:r w:rsidRPr="00DE668A">
        <w:rPr>
          <w:i/>
          <w:iCs/>
        </w:rPr>
        <w:t>Mozgalom</w:t>
      </w:r>
      <w:proofErr w:type="spellEnd"/>
      <w:r w:rsidRPr="00DE668A">
        <w:t xml:space="preserve"> (Kustība </w:t>
      </w:r>
      <w:r w:rsidRPr="00DE668A">
        <w:rPr>
          <w:i/>
          <w:iCs/>
        </w:rPr>
        <w:t>Mūsu dzimtene</w:t>
      </w:r>
      <w:r w:rsidRPr="00DE668A">
        <w:t xml:space="preserve">) arī piedalījās 2024. gada Eiropas vēlēšanās un tāpēc to var uzskatīt par tiešu </w:t>
      </w:r>
      <w:proofErr w:type="spellStart"/>
      <w:r w:rsidRPr="00DE668A">
        <w:rPr>
          <w:i/>
          <w:iCs/>
        </w:rPr>
        <w:t>Péter</w:t>
      </w:r>
      <w:proofErr w:type="spellEnd"/>
      <w:r w:rsidRPr="00DE668A">
        <w:rPr>
          <w:i/>
          <w:iCs/>
        </w:rPr>
        <w:t xml:space="preserve"> </w:t>
      </w:r>
      <w:proofErr w:type="spellStart"/>
      <w:r w:rsidRPr="00DE668A">
        <w:rPr>
          <w:i/>
          <w:iCs/>
        </w:rPr>
        <w:t>Magyar</w:t>
      </w:r>
      <w:proofErr w:type="spellEnd"/>
      <w:r w:rsidRPr="00DE668A">
        <w:t xml:space="preserve"> politisko konkurentu; tā kā politiskos konkurentus politiskajās debatēs parasti pakļauj arvien lielākai kritikai un polemikai salīdzinājumā ar ikvienu pilsoni, kas nav politiski aktīvs;</w:t>
      </w:r>
      <w:r w:rsidRPr="00DE668A">
        <w:rPr>
          <w:rStyle w:val="doceo-font-family-base"/>
          <w:color w:val="1E1E1F"/>
        </w:rPr>
        <w:t xml:space="preserve"> </w:t>
      </w:r>
      <w:r w:rsidR="00832A79" w:rsidRPr="00DE668A">
        <w:rPr>
          <w:rStyle w:val="doceo-font-family-base"/>
          <w:color w:val="1E1E1F"/>
        </w:rPr>
        <w:t>tā kā šķiet, ka saskaņā ar Ungārijas tiesību aktiem prasības par neslavas celšanas var uzsākt, gan pamatojoties uz krimināltiesībām, gan uz civiltiesībām, būtiski atšķiroties attiecīgajām juridiskajām sekām, tostarp ieslodzījumam;</w:t>
      </w:r>
      <w:r w:rsidRPr="00DE668A">
        <w:rPr>
          <w:rStyle w:val="doceo-font-family-base"/>
          <w:color w:val="1E1E1F"/>
        </w:rPr>
        <w:t xml:space="preserve"> </w:t>
      </w:r>
      <w:r w:rsidR="00832A79" w:rsidRPr="00DE668A">
        <w:t xml:space="preserve">tā kā šajā gadījumā izvēle celt </w:t>
      </w:r>
      <w:proofErr w:type="spellStart"/>
      <w:r w:rsidR="00832A79" w:rsidRPr="00DE668A">
        <w:t>kriminālprasību</w:t>
      </w:r>
      <w:proofErr w:type="spellEnd"/>
      <w:r w:rsidR="00832A79" w:rsidRPr="00DE668A">
        <w:t xml:space="preserve"> rada šaubas par tās mērķi, kas var pārsniegt leģitīmo mērķi atlīdzināt iespējamo nodarīto kaitējumu, un norāda, ka izvirzītais mērķis pārsniedz minēto leģitīmo mērķi un patiesībā ir vērsts uz to, lai kaitētu </w:t>
      </w:r>
      <w:proofErr w:type="spellStart"/>
      <w:r w:rsidR="00832A79" w:rsidRPr="00DE668A">
        <w:rPr>
          <w:i/>
          <w:iCs/>
        </w:rPr>
        <w:t>Péter</w:t>
      </w:r>
      <w:proofErr w:type="spellEnd"/>
      <w:r w:rsidR="00832A79" w:rsidRPr="00DE668A">
        <w:rPr>
          <w:i/>
          <w:iCs/>
        </w:rPr>
        <w:t xml:space="preserve"> </w:t>
      </w:r>
      <w:proofErr w:type="spellStart"/>
      <w:r w:rsidR="00832A79" w:rsidRPr="00DE668A">
        <w:rPr>
          <w:i/>
          <w:iCs/>
        </w:rPr>
        <w:t>Magyar</w:t>
      </w:r>
      <w:proofErr w:type="spellEnd"/>
      <w:r w:rsidR="00832A79" w:rsidRPr="00DE668A">
        <w:t xml:space="preserve"> kā Eiropas Parlamenta deputāta reputācijai;</w:t>
      </w:r>
    </w:p>
    <w:p w14:paraId="17913D97" w14:textId="128CD40B" w:rsidR="00EB6E56" w:rsidRPr="00DE668A" w:rsidRDefault="00EB6E56" w:rsidP="00EB6E56">
      <w:pPr>
        <w:pStyle w:val="doceo-line-height-base"/>
        <w:shd w:val="clear" w:color="auto" w:fill="FFFFFF"/>
        <w:spacing w:before="0" w:beforeAutospacing="0" w:after="240" w:afterAutospacing="0"/>
        <w:ind w:left="567" w:hanging="567"/>
        <w:rPr>
          <w:rFonts w:ascii="Helvetica" w:hAnsi="Helvetica"/>
          <w:color w:val="1E1E1F"/>
          <w:lang w:val="lv-LV"/>
        </w:rPr>
      </w:pPr>
      <w:r w:rsidRPr="00DE668A">
        <w:rPr>
          <w:rStyle w:val="doceo-font-family-base"/>
          <w:color w:val="1E1E1F"/>
          <w:lang w:val="lv-LV"/>
        </w:rPr>
        <w:t>K.</w:t>
      </w:r>
      <w:r w:rsidRPr="00DE668A">
        <w:rPr>
          <w:rStyle w:val="doceo-font-family-base"/>
          <w:color w:val="1E1E1F"/>
          <w:lang w:val="lv-LV"/>
        </w:rPr>
        <w:tab/>
      </w:r>
      <w:r w:rsidRPr="00DE668A">
        <w:rPr>
          <w:lang w:val="lv-LV"/>
        </w:rPr>
        <w:t xml:space="preserve">tā kā iepriekš minētie elementi rada nopietnas </w:t>
      </w:r>
      <w:r w:rsidR="00832A79" w:rsidRPr="00DE668A">
        <w:rPr>
          <w:lang w:val="lv-LV"/>
        </w:rPr>
        <w:t xml:space="preserve">bažas </w:t>
      </w:r>
      <w:r w:rsidRPr="00DE668A">
        <w:rPr>
          <w:lang w:val="lv-LV"/>
        </w:rPr>
        <w:t xml:space="preserve">par iespējamo nodomu kaitēt </w:t>
      </w:r>
      <w:proofErr w:type="spellStart"/>
      <w:r w:rsidRPr="00DE668A">
        <w:rPr>
          <w:i/>
          <w:iCs/>
          <w:lang w:val="lv-LV"/>
        </w:rPr>
        <w:t>Péter</w:t>
      </w:r>
      <w:proofErr w:type="spellEnd"/>
      <w:r w:rsidRPr="00DE668A">
        <w:rPr>
          <w:i/>
          <w:iCs/>
          <w:lang w:val="lv-LV"/>
        </w:rPr>
        <w:t xml:space="preserve"> </w:t>
      </w:r>
      <w:proofErr w:type="spellStart"/>
      <w:r w:rsidRPr="00DE668A">
        <w:rPr>
          <w:i/>
          <w:iCs/>
          <w:lang w:val="lv-LV"/>
        </w:rPr>
        <w:t>Magyar</w:t>
      </w:r>
      <w:proofErr w:type="spellEnd"/>
      <w:r w:rsidRPr="00DE668A">
        <w:rPr>
          <w:lang w:val="lv-LV"/>
        </w:rPr>
        <w:t xml:space="preserve"> politiskajai darbībai un jo īpaši viņa kā Eiropas Parlamenta deputāta darbībai;</w:t>
      </w:r>
    </w:p>
    <w:p w14:paraId="39F483DA" w14:textId="1CC456B2" w:rsidR="00EB6E56" w:rsidRPr="00DE668A" w:rsidRDefault="00EB6E56" w:rsidP="00EB6E56">
      <w:pPr>
        <w:pStyle w:val="doceo-line-height-base"/>
        <w:shd w:val="clear" w:color="auto" w:fill="FFFFFF"/>
        <w:spacing w:before="0" w:beforeAutospacing="0" w:after="240" w:afterAutospacing="0"/>
        <w:ind w:left="567" w:hanging="567"/>
        <w:rPr>
          <w:rFonts w:ascii="Helvetica" w:hAnsi="Helvetica"/>
          <w:color w:val="1E1E1F"/>
          <w:lang w:val="lv-LV"/>
        </w:rPr>
      </w:pPr>
      <w:r w:rsidRPr="00DE668A">
        <w:rPr>
          <w:rStyle w:val="doceo-font-family-base"/>
          <w:color w:val="1E1E1F"/>
          <w:lang w:val="lv-LV"/>
        </w:rPr>
        <w:t>L.</w:t>
      </w:r>
      <w:r w:rsidRPr="00DE668A">
        <w:rPr>
          <w:rStyle w:val="doceo-font-family-base"/>
          <w:rFonts w:ascii="Helvetica" w:hAnsi="Helvetica"/>
          <w:color w:val="1E1E1F"/>
          <w:lang w:val="lv-LV"/>
        </w:rPr>
        <w:tab/>
      </w:r>
      <w:r w:rsidRPr="00DE668A">
        <w:rPr>
          <w:lang w:val="lv-LV"/>
        </w:rPr>
        <w:t xml:space="preserve">tā kā tādēļ šķiet, ka šis ir tas gadījums, kad var konstatēt </w:t>
      </w:r>
      <w:proofErr w:type="spellStart"/>
      <w:r w:rsidRPr="00DE668A">
        <w:rPr>
          <w:i/>
          <w:iCs/>
          <w:lang w:val="lv-LV"/>
        </w:rPr>
        <w:t>fumus</w:t>
      </w:r>
      <w:proofErr w:type="spellEnd"/>
      <w:r w:rsidRPr="00DE668A">
        <w:rPr>
          <w:i/>
          <w:iCs/>
          <w:lang w:val="lv-LV"/>
        </w:rPr>
        <w:t xml:space="preserve"> </w:t>
      </w:r>
      <w:proofErr w:type="spellStart"/>
      <w:r w:rsidRPr="00DE668A">
        <w:rPr>
          <w:i/>
          <w:iCs/>
          <w:lang w:val="lv-LV"/>
        </w:rPr>
        <w:t>persecutionis</w:t>
      </w:r>
      <w:proofErr w:type="spellEnd"/>
      <w:r w:rsidRPr="00DE668A">
        <w:rPr>
          <w:lang w:val="lv-LV"/>
        </w:rPr>
        <w:t>, proti, ir gūti “konkrēti pierādījumi”</w:t>
      </w:r>
      <w:r w:rsidRPr="00DE668A">
        <w:rPr>
          <w:rStyle w:val="FootnoteReference"/>
          <w:color w:val="1E1E1F"/>
        </w:rPr>
        <w:footnoteReference w:id="3"/>
      </w:r>
      <w:r w:rsidRPr="00DE668A">
        <w:rPr>
          <w:lang w:val="lv-LV"/>
        </w:rPr>
        <w:t xml:space="preserve">, kas liecina, </w:t>
      </w:r>
      <w:r w:rsidR="0054706D" w:rsidRPr="00DE668A">
        <w:rPr>
          <w:lang w:val="lv-LV"/>
        </w:rPr>
        <w:t xml:space="preserve">ka attiecīgās tiesvedības pamatā bija nodoms apdraudēt </w:t>
      </w:r>
      <w:proofErr w:type="spellStart"/>
      <w:r w:rsidR="0054706D" w:rsidRPr="00DE668A">
        <w:rPr>
          <w:i/>
          <w:iCs/>
          <w:lang w:val="lv-LV"/>
        </w:rPr>
        <w:t>Péter</w:t>
      </w:r>
      <w:proofErr w:type="spellEnd"/>
      <w:r w:rsidR="0054706D" w:rsidRPr="00DE668A">
        <w:rPr>
          <w:i/>
          <w:iCs/>
          <w:lang w:val="lv-LV"/>
        </w:rPr>
        <w:t xml:space="preserve"> </w:t>
      </w:r>
      <w:proofErr w:type="spellStart"/>
      <w:r w:rsidR="0054706D" w:rsidRPr="00DE668A">
        <w:rPr>
          <w:i/>
          <w:iCs/>
          <w:lang w:val="lv-LV"/>
        </w:rPr>
        <w:t>Magyar</w:t>
      </w:r>
      <w:proofErr w:type="spellEnd"/>
      <w:r w:rsidR="0054706D" w:rsidRPr="00DE668A">
        <w:rPr>
          <w:lang w:val="lv-LV"/>
        </w:rPr>
        <w:t xml:space="preserve"> politisko darbību, pieprasot atcelt imunitāti laikā, kad viņš kandidēja 2024. gada Eiropas vēlēšanās kā savas politiskās partijas saraksta vadītājs;</w:t>
      </w:r>
    </w:p>
    <w:p w14:paraId="74730C4C" w14:textId="77777777" w:rsidR="00EB6E56" w:rsidRPr="00DE668A" w:rsidRDefault="00EB6E56" w:rsidP="00EB6E56">
      <w:pPr>
        <w:pStyle w:val="NormalHanging12a"/>
        <w:widowControl/>
      </w:pPr>
      <w:r w:rsidRPr="00DE668A">
        <w:t>M.</w:t>
      </w:r>
      <w:r w:rsidRPr="00DE668A">
        <w:tab/>
        <w:t>tā kā, no vienas puses, Parlaments nevar tikt pielīdzināts tiesai un, no otras puses, deputāts imunitātes atcelšanas procedūras kontekstā nevar tikt uzskatīts par apsūdzēto</w:t>
      </w:r>
      <w:r w:rsidRPr="00DE668A">
        <w:rPr>
          <w:vertAlign w:val="superscript"/>
        </w:rPr>
        <w:footnoteReference w:id="4"/>
      </w:r>
      <w:r w:rsidRPr="00DE668A">
        <w:t>,</w:t>
      </w:r>
    </w:p>
    <w:p w14:paraId="7CABB219" w14:textId="77777777" w:rsidR="00EB6E56" w:rsidRPr="00DE668A" w:rsidRDefault="00EB6E56" w:rsidP="00EB6E56">
      <w:pPr>
        <w:pStyle w:val="NormalHanging12a"/>
      </w:pPr>
      <w:r w:rsidRPr="00DE668A">
        <w:t>1.</w:t>
      </w:r>
      <w:r w:rsidRPr="00DE668A">
        <w:tab/>
        <w:t xml:space="preserve">nolemj neatcelt </w:t>
      </w:r>
      <w:proofErr w:type="spellStart"/>
      <w:r w:rsidRPr="00DE668A">
        <w:rPr>
          <w:i/>
          <w:iCs/>
        </w:rPr>
        <w:t>Péter</w:t>
      </w:r>
      <w:proofErr w:type="spellEnd"/>
      <w:r w:rsidRPr="00DE668A">
        <w:rPr>
          <w:i/>
          <w:iCs/>
        </w:rPr>
        <w:t> </w:t>
      </w:r>
      <w:proofErr w:type="spellStart"/>
      <w:r w:rsidRPr="00DE668A">
        <w:rPr>
          <w:i/>
          <w:iCs/>
        </w:rPr>
        <w:t>Magyar</w:t>
      </w:r>
      <w:proofErr w:type="spellEnd"/>
      <w:r w:rsidRPr="00DE668A">
        <w:t xml:space="preserve"> imunitāti;</w:t>
      </w:r>
    </w:p>
    <w:p w14:paraId="61DC57E6" w14:textId="77777777" w:rsidR="00EB6E56" w:rsidRPr="00DE668A" w:rsidRDefault="00EB6E56" w:rsidP="00EB6E56">
      <w:pPr>
        <w:pStyle w:val="NormalHanging12a"/>
      </w:pPr>
      <w:r w:rsidRPr="00DE668A">
        <w:t>2.</w:t>
      </w:r>
      <w:r w:rsidRPr="00DE668A">
        <w:tab/>
        <w:t xml:space="preserve">uzdod priekšsēdētājai šo lēmumu un atbildīgās komitejas ziņojumu nekavējoties nosūtīt Ungārijas Republikas kompetentajām iestādēm un </w:t>
      </w:r>
      <w:proofErr w:type="spellStart"/>
      <w:r w:rsidRPr="00DE668A">
        <w:rPr>
          <w:i/>
          <w:iCs/>
        </w:rPr>
        <w:t>Péter</w:t>
      </w:r>
      <w:proofErr w:type="spellEnd"/>
      <w:r w:rsidRPr="00DE668A">
        <w:rPr>
          <w:i/>
          <w:iCs/>
        </w:rPr>
        <w:t> </w:t>
      </w:r>
      <w:proofErr w:type="spellStart"/>
      <w:r w:rsidRPr="00DE668A">
        <w:rPr>
          <w:i/>
          <w:iCs/>
        </w:rPr>
        <w:t>Magyar</w:t>
      </w:r>
      <w:proofErr w:type="spellEnd"/>
      <w:r w:rsidRPr="00DE668A">
        <w:t>.</w:t>
      </w:r>
    </w:p>
    <w:p w14:paraId="74B0CF81" w14:textId="77777777" w:rsidR="00943421" w:rsidRPr="00DE668A" w:rsidRDefault="00943421" w:rsidP="00943421"/>
    <w:sectPr w:rsidR="00943421" w:rsidRPr="00DE668A" w:rsidSect="002113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68543" w14:textId="77777777" w:rsidR="00943421" w:rsidRPr="002113C8" w:rsidRDefault="00943421">
      <w:r w:rsidRPr="002113C8">
        <w:separator/>
      </w:r>
    </w:p>
  </w:endnote>
  <w:endnote w:type="continuationSeparator" w:id="0">
    <w:p w14:paraId="2601FD98" w14:textId="77777777" w:rsidR="00943421" w:rsidRPr="002113C8" w:rsidRDefault="00943421">
      <w:r w:rsidRPr="00211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8D5C2" w14:textId="77777777" w:rsidR="00064002" w:rsidRPr="002113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C1485" w14:textId="77777777" w:rsidR="00064002" w:rsidRPr="002113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EA3B" w14:textId="77777777" w:rsidR="00064002" w:rsidRPr="002113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564C9" w14:textId="77777777" w:rsidR="00943421" w:rsidRPr="002113C8" w:rsidRDefault="00943421">
      <w:r w:rsidRPr="002113C8">
        <w:separator/>
      </w:r>
    </w:p>
  </w:footnote>
  <w:footnote w:type="continuationSeparator" w:id="0">
    <w:p w14:paraId="4143CB36" w14:textId="77777777" w:rsidR="00943421" w:rsidRPr="002113C8" w:rsidRDefault="00943421">
      <w:r w:rsidRPr="002113C8">
        <w:continuationSeparator/>
      </w:r>
    </w:p>
  </w:footnote>
  <w:footnote w:id="1">
    <w:p w14:paraId="5D250545" w14:textId="209D46E0" w:rsidR="00EB6E56" w:rsidRPr="00DE668A" w:rsidRDefault="00EB6E56" w:rsidP="00EB6E56">
      <w:pPr>
        <w:pStyle w:val="FootnoteText"/>
        <w:rPr>
          <w:sz w:val="24"/>
          <w:szCs w:val="24"/>
        </w:rPr>
      </w:pPr>
      <w:r w:rsidRPr="00DE668A">
        <w:rPr>
          <w:rStyle w:val="FootnoteReference"/>
          <w:sz w:val="24"/>
          <w:szCs w:val="24"/>
        </w:rPr>
        <w:footnoteRef/>
      </w:r>
      <w:r w:rsidRPr="00DE668A">
        <w:rPr>
          <w:sz w:val="24"/>
          <w:szCs w:val="24"/>
        </w:rPr>
        <w:t xml:space="preserve"> </w:t>
      </w:r>
      <w:r w:rsidR="009B1A99" w:rsidRPr="00DE668A">
        <w:rPr>
          <w:sz w:val="24"/>
          <w:szCs w:val="24"/>
        </w:rPr>
        <w:tab/>
      </w:r>
      <w:proofErr w:type="spellStart"/>
      <w:r w:rsidRPr="00DE668A">
        <w:rPr>
          <w:sz w:val="24"/>
          <w:szCs w:val="24"/>
        </w:rPr>
        <w:t>Tiesas</w:t>
      </w:r>
      <w:proofErr w:type="spellEnd"/>
      <w:r w:rsidRPr="00DE668A">
        <w:rPr>
          <w:sz w:val="24"/>
          <w:szCs w:val="24"/>
        </w:rPr>
        <w:t xml:space="preserve"> 2008. </w:t>
      </w:r>
      <w:proofErr w:type="spellStart"/>
      <w:proofErr w:type="gramStart"/>
      <w:r w:rsidRPr="00DE668A">
        <w:rPr>
          <w:sz w:val="24"/>
          <w:szCs w:val="24"/>
        </w:rPr>
        <w:t>gada</w:t>
      </w:r>
      <w:proofErr w:type="spellEnd"/>
      <w:proofErr w:type="gramEnd"/>
      <w:r w:rsidRPr="00DE668A">
        <w:rPr>
          <w:sz w:val="24"/>
          <w:szCs w:val="24"/>
        </w:rPr>
        <w:t xml:space="preserve"> 21. </w:t>
      </w:r>
      <w:proofErr w:type="spellStart"/>
      <w:proofErr w:type="gramStart"/>
      <w:r w:rsidRPr="00DE668A">
        <w:rPr>
          <w:sz w:val="24"/>
          <w:szCs w:val="24"/>
        </w:rPr>
        <w:t>oktobra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r w:rsidRPr="00DE668A">
        <w:rPr>
          <w:i/>
          <w:iCs/>
          <w:sz w:val="24"/>
          <w:szCs w:val="24"/>
        </w:rPr>
        <w:t>Marra</w:t>
      </w:r>
      <w:r w:rsidRPr="00DE668A">
        <w:rPr>
          <w:sz w:val="24"/>
          <w:szCs w:val="24"/>
        </w:rPr>
        <w:t>/</w:t>
      </w:r>
      <w:r w:rsidRPr="00DE668A">
        <w:rPr>
          <w:i/>
          <w:iCs/>
          <w:sz w:val="24"/>
          <w:szCs w:val="24"/>
        </w:rPr>
        <w:t>De Gregorio</w:t>
      </w:r>
      <w:r w:rsidRPr="00DE668A">
        <w:rPr>
          <w:sz w:val="24"/>
          <w:szCs w:val="24"/>
        </w:rPr>
        <w:t xml:space="preserve"> un </w:t>
      </w:r>
      <w:proofErr w:type="spellStart"/>
      <w:r w:rsidRPr="00DE668A">
        <w:rPr>
          <w:i/>
          <w:iCs/>
          <w:sz w:val="24"/>
          <w:szCs w:val="24"/>
        </w:rPr>
        <w:t>Clemente</w:t>
      </w:r>
      <w:proofErr w:type="spellEnd"/>
      <w:r w:rsidRPr="00DE668A">
        <w:rPr>
          <w:sz w:val="24"/>
          <w:szCs w:val="24"/>
        </w:rPr>
        <w:t xml:space="preserve">, C-200/07 un C-201/07, ECLI:EU:C:2008:579; </w:t>
      </w:r>
      <w:proofErr w:type="spellStart"/>
      <w:r w:rsidRPr="00DE668A">
        <w:rPr>
          <w:sz w:val="24"/>
          <w:szCs w:val="24"/>
        </w:rPr>
        <w:t>Vispārējās</w:t>
      </w:r>
      <w:proofErr w:type="spellEnd"/>
      <w:r w:rsidRPr="00DE668A">
        <w:rPr>
          <w:sz w:val="24"/>
          <w:szCs w:val="24"/>
        </w:rPr>
        <w:t xml:space="preserve"> </w:t>
      </w:r>
      <w:proofErr w:type="spellStart"/>
      <w:r w:rsidRPr="00DE668A">
        <w:rPr>
          <w:sz w:val="24"/>
          <w:szCs w:val="24"/>
        </w:rPr>
        <w:t>Tiesas</w:t>
      </w:r>
      <w:proofErr w:type="spellEnd"/>
      <w:r w:rsidRPr="00DE668A">
        <w:rPr>
          <w:sz w:val="24"/>
          <w:szCs w:val="24"/>
        </w:rPr>
        <w:t xml:space="preserve"> 2010. </w:t>
      </w:r>
      <w:proofErr w:type="spellStart"/>
      <w:proofErr w:type="gramStart"/>
      <w:r w:rsidRPr="00DE668A">
        <w:rPr>
          <w:sz w:val="24"/>
          <w:szCs w:val="24"/>
        </w:rPr>
        <w:t>gada</w:t>
      </w:r>
      <w:proofErr w:type="spellEnd"/>
      <w:proofErr w:type="gramEnd"/>
      <w:r w:rsidRPr="00DE668A">
        <w:rPr>
          <w:sz w:val="24"/>
          <w:szCs w:val="24"/>
        </w:rPr>
        <w:t xml:space="preserve"> 19. </w:t>
      </w:r>
      <w:proofErr w:type="spellStart"/>
      <w:proofErr w:type="gramStart"/>
      <w:r w:rsidRPr="00DE668A">
        <w:rPr>
          <w:sz w:val="24"/>
          <w:szCs w:val="24"/>
        </w:rPr>
        <w:t>marta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proofErr w:type="spellStart"/>
      <w:r w:rsidRPr="00DE668A">
        <w:rPr>
          <w:i/>
          <w:sz w:val="24"/>
          <w:szCs w:val="24"/>
        </w:rPr>
        <w:t>Gollnisch</w:t>
      </w:r>
      <w:proofErr w:type="spellEnd"/>
      <w:r w:rsidRPr="00DE668A">
        <w:rPr>
          <w:sz w:val="24"/>
          <w:szCs w:val="24"/>
        </w:rPr>
        <w:t>/</w:t>
      </w:r>
      <w:proofErr w:type="spellStart"/>
      <w:r w:rsidRPr="00DE668A">
        <w:rPr>
          <w:sz w:val="24"/>
          <w:szCs w:val="24"/>
        </w:rPr>
        <w:t>Parlaments</w:t>
      </w:r>
      <w:proofErr w:type="spellEnd"/>
      <w:r w:rsidRPr="00DE668A">
        <w:rPr>
          <w:sz w:val="24"/>
          <w:szCs w:val="24"/>
        </w:rPr>
        <w:t xml:space="preserve">, T-42/06, ECLI:EU:T:2010:102; </w:t>
      </w:r>
      <w:proofErr w:type="spellStart"/>
      <w:r w:rsidRPr="00DE668A">
        <w:rPr>
          <w:sz w:val="24"/>
          <w:szCs w:val="24"/>
        </w:rPr>
        <w:t>Tiesas</w:t>
      </w:r>
      <w:proofErr w:type="spellEnd"/>
      <w:r w:rsidRPr="00DE668A">
        <w:rPr>
          <w:sz w:val="24"/>
          <w:szCs w:val="24"/>
        </w:rPr>
        <w:t xml:space="preserve"> 2011. </w:t>
      </w:r>
      <w:proofErr w:type="spellStart"/>
      <w:proofErr w:type="gramStart"/>
      <w:r w:rsidRPr="00DE668A">
        <w:rPr>
          <w:sz w:val="24"/>
          <w:szCs w:val="24"/>
        </w:rPr>
        <w:t>gada</w:t>
      </w:r>
      <w:proofErr w:type="spellEnd"/>
      <w:proofErr w:type="gramEnd"/>
      <w:r w:rsidRPr="00DE668A">
        <w:rPr>
          <w:sz w:val="24"/>
          <w:szCs w:val="24"/>
        </w:rPr>
        <w:t xml:space="preserve"> 6. </w:t>
      </w:r>
      <w:proofErr w:type="spellStart"/>
      <w:proofErr w:type="gramStart"/>
      <w:r w:rsidRPr="00DE668A">
        <w:rPr>
          <w:sz w:val="24"/>
          <w:szCs w:val="24"/>
        </w:rPr>
        <w:t>septembra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proofErr w:type="spellStart"/>
      <w:r w:rsidRPr="00DE668A">
        <w:rPr>
          <w:i/>
          <w:iCs/>
          <w:sz w:val="24"/>
          <w:szCs w:val="24"/>
        </w:rPr>
        <w:t>Patriciello</w:t>
      </w:r>
      <w:proofErr w:type="spellEnd"/>
      <w:r w:rsidRPr="00DE668A">
        <w:rPr>
          <w:sz w:val="24"/>
          <w:szCs w:val="24"/>
        </w:rPr>
        <w:t xml:space="preserve">, C-163/10, ECLI: EU:C:2011:543; </w:t>
      </w:r>
      <w:proofErr w:type="spellStart"/>
      <w:r w:rsidRPr="00DE668A">
        <w:rPr>
          <w:sz w:val="24"/>
          <w:szCs w:val="24"/>
        </w:rPr>
        <w:t>Vispārējās</w:t>
      </w:r>
      <w:proofErr w:type="spellEnd"/>
      <w:r w:rsidRPr="00DE668A">
        <w:rPr>
          <w:sz w:val="24"/>
          <w:szCs w:val="24"/>
        </w:rPr>
        <w:t xml:space="preserve"> </w:t>
      </w:r>
      <w:proofErr w:type="spellStart"/>
      <w:r w:rsidRPr="00DE668A">
        <w:rPr>
          <w:sz w:val="24"/>
          <w:szCs w:val="24"/>
        </w:rPr>
        <w:t>tiesas</w:t>
      </w:r>
      <w:proofErr w:type="spellEnd"/>
      <w:r w:rsidRPr="00DE668A">
        <w:rPr>
          <w:sz w:val="24"/>
          <w:szCs w:val="24"/>
        </w:rPr>
        <w:t xml:space="preserve"> 2013. </w:t>
      </w:r>
      <w:proofErr w:type="spellStart"/>
      <w:proofErr w:type="gramStart"/>
      <w:r w:rsidRPr="00DE668A">
        <w:rPr>
          <w:sz w:val="24"/>
          <w:szCs w:val="24"/>
        </w:rPr>
        <w:t>gada</w:t>
      </w:r>
      <w:proofErr w:type="spellEnd"/>
      <w:proofErr w:type="gramEnd"/>
      <w:r w:rsidRPr="00DE668A">
        <w:rPr>
          <w:sz w:val="24"/>
          <w:szCs w:val="24"/>
        </w:rPr>
        <w:t xml:space="preserve"> 17. </w:t>
      </w:r>
      <w:proofErr w:type="spellStart"/>
      <w:proofErr w:type="gramStart"/>
      <w:r w:rsidRPr="00DE668A">
        <w:rPr>
          <w:sz w:val="24"/>
          <w:szCs w:val="24"/>
        </w:rPr>
        <w:t>janvāra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proofErr w:type="spellStart"/>
      <w:r w:rsidRPr="00DE668A">
        <w:rPr>
          <w:i/>
          <w:iCs/>
          <w:sz w:val="24"/>
          <w:szCs w:val="24"/>
        </w:rPr>
        <w:t>Gollnisch</w:t>
      </w:r>
      <w:proofErr w:type="spellEnd"/>
      <w:r w:rsidRPr="00DE668A">
        <w:rPr>
          <w:sz w:val="24"/>
          <w:szCs w:val="24"/>
        </w:rPr>
        <w:t>/</w:t>
      </w:r>
      <w:proofErr w:type="spellStart"/>
      <w:r w:rsidRPr="00DE668A">
        <w:rPr>
          <w:sz w:val="24"/>
          <w:szCs w:val="24"/>
        </w:rPr>
        <w:t>Parlaments</w:t>
      </w:r>
      <w:proofErr w:type="spellEnd"/>
      <w:r w:rsidRPr="00DE668A">
        <w:rPr>
          <w:sz w:val="24"/>
          <w:szCs w:val="24"/>
        </w:rPr>
        <w:t xml:space="preserve">, T-346/11 un T-347/11, ECLI:EU:T:2013:23. </w:t>
      </w:r>
      <w:proofErr w:type="spellStart"/>
      <w:r w:rsidRPr="00DE668A">
        <w:rPr>
          <w:sz w:val="24"/>
          <w:szCs w:val="24"/>
        </w:rPr>
        <w:t>Tiesas</w:t>
      </w:r>
      <w:proofErr w:type="spellEnd"/>
      <w:r w:rsidRPr="00DE668A">
        <w:rPr>
          <w:sz w:val="24"/>
          <w:szCs w:val="24"/>
        </w:rPr>
        <w:t xml:space="preserve"> 2019. </w:t>
      </w:r>
      <w:proofErr w:type="spellStart"/>
      <w:proofErr w:type="gramStart"/>
      <w:r w:rsidRPr="00DE668A">
        <w:rPr>
          <w:sz w:val="24"/>
          <w:szCs w:val="24"/>
        </w:rPr>
        <w:t>gada</w:t>
      </w:r>
      <w:proofErr w:type="spellEnd"/>
      <w:proofErr w:type="gramEnd"/>
      <w:r w:rsidRPr="00DE668A">
        <w:rPr>
          <w:sz w:val="24"/>
          <w:szCs w:val="24"/>
        </w:rPr>
        <w:t xml:space="preserve"> 19. </w:t>
      </w:r>
      <w:proofErr w:type="spellStart"/>
      <w:proofErr w:type="gramStart"/>
      <w:r w:rsidRPr="00DE668A">
        <w:rPr>
          <w:sz w:val="24"/>
          <w:szCs w:val="24"/>
        </w:rPr>
        <w:t>decembra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proofErr w:type="spellStart"/>
      <w:r w:rsidRPr="00DE668A">
        <w:rPr>
          <w:i/>
          <w:iCs/>
          <w:sz w:val="24"/>
          <w:szCs w:val="24"/>
        </w:rPr>
        <w:t>Junqueras</w:t>
      </w:r>
      <w:proofErr w:type="spellEnd"/>
      <w:r w:rsidRPr="00DE668A">
        <w:rPr>
          <w:i/>
          <w:iCs/>
          <w:sz w:val="24"/>
          <w:szCs w:val="24"/>
        </w:rPr>
        <w:t xml:space="preserve"> Vies</w:t>
      </w:r>
      <w:r w:rsidRPr="00DE668A">
        <w:rPr>
          <w:sz w:val="24"/>
          <w:szCs w:val="24"/>
        </w:rPr>
        <w:t xml:space="preserve">, C-502/19, ECLI:EU:C:2019:1115. </w:t>
      </w:r>
      <w:proofErr w:type="spellStart"/>
      <w:r w:rsidRPr="00DE668A">
        <w:rPr>
          <w:sz w:val="24"/>
          <w:szCs w:val="24"/>
        </w:rPr>
        <w:t>Vispārējās</w:t>
      </w:r>
      <w:proofErr w:type="spellEnd"/>
      <w:r w:rsidRPr="00DE668A">
        <w:rPr>
          <w:sz w:val="24"/>
          <w:szCs w:val="24"/>
        </w:rPr>
        <w:t xml:space="preserve"> </w:t>
      </w:r>
      <w:proofErr w:type="spellStart"/>
      <w:r w:rsidRPr="00DE668A">
        <w:rPr>
          <w:sz w:val="24"/>
          <w:szCs w:val="24"/>
        </w:rPr>
        <w:t>tiesas</w:t>
      </w:r>
      <w:proofErr w:type="spellEnd"/>
      <w:r w:rsidRPr="00DE668A">
        <w:rPr>
          <w:sz w:val="24"/>
          <w:szCs w:val="24"/>
        </w:rPr>
        <w:t xml:space="preserve"> 2023. </w:t>
      </w:r>
      <w:proofErr w:type="spellStart"/>
      <w:proofErr w:type="gramStart"/>
      <w:r w:rsidRPr="00DE668A">
        <w:rPr>
          <w:sz w:val="24"/>
          <w:szCs w:val="24"/>
        </w:rPr>
        <w:t>gada</w:t>
      </w:r>
      <w:proofErr w:type="spellEnd"/>
      <w:proofErr w:type="gramEnd"/>
      <w:r w:rsidRPr="00DE668A">
        <w:rPr>
          <w:sz w:val="24"/>
          <w:szCs w:val="24"/>
        </w:rPr>
        <w:t xml:space="preserve"> 5. </w:t>
      </w:r>
      <w:proofErr w:type="spellStart"/>
      <w:proofErr w:type="gramStart"/>
      <w:r w:rsidRPr="00DE668A">
        <w:rPr>
          <w:sz w:val="24"/>
          <w:szCs w:val="24"/>
        </w:rPr>
        <w:t>jūlija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proofErr w:type="spellStart"/>
      <w:r w:rsidRPr="00DE668A">
        <w:rPr>
          <w:i/>
          <w:iCs/>
          <w:sz w:val="24"/>
          <w:szCs w:val="24"/>
        </w:rPr>
        <w:t>Puigdemont</w:t>
      </w:r>
      <w:proofErr w:type="spellEnd"/>
      <w:r w:rsidRPr="00DE668A">
        <w:rPr>
          <w:i/>
          <w:iCs/>
          <w:sz w:val="24"/>
          <w:szCs w:val="24"/>
        </w:rPr>
        <w:t xml:space="preserve"> i </w:t>
      </w:r>
      <w:proofErr w:type="spellStart"/>
      <w:r w:rsidRPr="00DE668A">
        <w:rPr>
          <w:i/>
          <w:iCs/>
          <w:sz w:val="24"/>
          <w:szCs w:val="24"/>
        </w:rPr>
        <w:t>Casamajó</w:t>
      </w:r>
      <w:proofErr w:type="spellEnd"/>
      <w:r w:rsidRPr="00DE668A">
        <w:rPr>
          <w:sz w:val="24"/>
          <w:szCs w:val="24"/>
        </w:rPr>
        <w:t xml:space="preserve"> </w:t>
      </w:r>
      <w:proofErr w:type="spellStart"/>
      <w:r w:rsidRPr="00DE668A">
        <w:rPr>
          <w:sz w:val="24"/>
          <w:szCs w:val="24"/>
        </w:rPr>
        <w:t>u.c</w:t>
      </w:r>
      <w:proofErr w:type="spellEnd"/>
      <w:r w:rsidRPr="00DE668A">
        <w:rPr>
          <w:sz w:val="24"/>
          <w:szCs w:val="24"/>
        </w:rPr>
        <w:t>. /</w:t>
      </w:r>
      <w:proofErr w:type="spellStart"/>
      <w:r w:rsidRPr="00DE668A">
        <w:rPr>
          <w:sz w:val="24"/>
          <w:szCs w:val="24"/>
        </w:rPr>
        <w:t>Parlaments</w:t>
      </w:r>
      <w:proofErr w:type="spellEnd"/>
      <w:r w:rsidRPr="00DE668A">
        <w:rPr>
          <w:sz w:val="24"/>
          <w:szCs w:val="24"/>
        </w:rPr>
        <w:t>, T-272/21, ECLI:EU:T:2010:373.</w:t>
      </w:r>
    </w:p>
  </w:footnote>
  <w:footnote w:id="2">
    <w:p w14:paraId="7048056D" w14:textId="3CB5B05E" w:rsidR="00EB6E56" w:rsidRPr="00DE668A" w:rsidRDefault="00EB6E56" w:rsidP="00EB6E56">
      <w:pPr>
        <w:pStyle w:val="FootnoteText"/>
        <w:rPr>
          <w:sz w:val="24"/>
          <w:szCs w:val="24"/>
        </w:rPr>
      </w:pPr>
      <w:r w:rsidRPr="00DE668A">
        <w:rPr>
          <w:rStyle w:val="FootnoteReference"/>
          <w:sz w:val="24"/>
          <w:szCs w:val="24"/>
        </w:rPr>
        <w:footnoteRef/>
      </w:r>
      <w:r w:rsidRPr="00DE668A">
        <w:rPr>
          <w:sz w:val="24"/>
          <w:szCs w:val="24"/>
        </w:rPr>
        <w:t xml:space="preserve"> </w:t>
      </w:r>
      <w:r w:rsidR="00346C97" w:rsidRPr="00DE668A">
        <w:rPr>
          <w:sz w:val="24"/>
          <w:szCs w:val="24"/>
        </w:rPr>
        <w:tab/>
      </w:r>
      <w:proofErr w:type="spellStart"/>
      <w:r w:rsidRPr="00DE668A">
        <w:rPr>
          <w:sz w:val="24"/>
          <w:szCs w:val="24"/>
        </w:rPr>
        <w:t>Vispārējās</w:t>
      </w:r>
      <w:proofErr w:type="spellEnd"/>
      <w:r w:rsidRPr="00DE668A">
        <w:rPr>
          <w:sz w:val="24"/>
          <w:szCs w:val="24"/>
        </w:rPr>
        <w:t xml:space="preserve"> </w:t>
      </w:r>
      <w:proofErr w:type="spellStart"/>
      <w:r w:rsidRPr="00DE668A">
        <w:rPr>
          <w:sz w:val="24"/>
          <w:szCs w:val="24"/>
        </w:rPr>
        <w:t>tiesas</w:t>
      </w:r>
      <w:proofErr w:type="spellEnd"/>
      <w:r w:rsidRPr="00DE668A">
        <w:rPr>
          <w:sz w:val="24"/>
          <w:szCs w:val="24"/>
        </w:rPr>
        <w:t xml:space="preserve"> 2013. </w:t>
      </w:r>
      <w:proofErr w:type="spellStart"/>
      <w:proofErr w:type="gramStart"/>
      <w:r w:rsidRPr="00DE668A">
        <w:rPr>
          <w:sz w:val="24"/>
          <w:szCs w:val="24"/>
        </w:rPr>
        <w:t>gada</w:t>
      </w:r>
      <w:proofErr w:type="spellEnd"/>
      <w:proofErr w:type="gramEnd"/>
      <w:r w:rsidRPr="00DE668A">
        <w:rPr>
          <w:sz w:val="24"/>
          <w:szCs w:val="24"/>
        </w:rPr>
        <w:t xml:space="preserve"> 17. </w:t>
      </w:r>
      <w:proofErr w:type="spellStart"/>
      <w:proofErr w:type="gramStart"/>
      <w:r w:rsidRPr="00DE668A">
        <w:rPr>
          <w:sz w:val="24"/>
          <w:szCs w:val="24"/>
        </w:rPr>
        <w:t>janvāra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proofErr w:type="spellStart"/>
      <w:r w:rsidRPr="00DE668A">
        <w:rPr>
          <w:i/>
          <w:iCs/>
          <w:sz w:val="24"/>
          <w:szCs w:val="24"/>
        </w:rPr>
        <w:t>Gollnisch</w:t>
      </w:r>
      <w:proofErr w:type="spellEnd"/>
      <w:r w:rsidRPr="00DE668A">
        <w:rPr>
          <w:sz w:val="24"/>
          <w:szCs w:val="24"/>
        </w:rPr>
        <w:t>/</w:t>
      </w:r>
      <w:proofErr w:type="spellStart"/>
      <w:r w:rsidRPr="00DE668A">
        <w:rPr>
          <w:sz w:val="24"/>
          <w:szCs w:val="24"/>
        </w:rPr>
        <w:t>Parlaments</w:t>
      </w:r>
      <w:proofErr w:type="spellEnd"/>
      <w:r w:rsidRPr="00DE668A">
        <w:rPr>
          <w:sz w:val="24"/>
          <w:szCs w:val="24"/>
        </w:rPr>
        <w:t>, T-346/11 un T-347/11, ECLI:EU:T:2013:23, 59. </w:t>
      </w:r>
      <w:proofErr w:type="spellStart"/>
      <w:r w:rsidRPr="00DE668A">
        <w:rPr>
          <w:sz w:val="24"/>
          <w:szCs w:val="24"/>
        </w:rPr>
        <w:t>punkts</w:t>
      </w:r>
      <w:proofErr w:type="spellEnd"/>
      <w:r w:rsidRPr="00DE668A">
        <w:rPr>
          <w:sz w:val="24"/>
          <w:szCs w:val="24"/>
        </w:rPr>
        <w:t xml:space="preserve"> un </w:t>
      </w:r>
      <w:proofErr w:type="spellStart"/>
      <w:r w:rsidRPr="00DE668A">
        <w:rPr>
          <w:sz w:val="24"/>
          <w:szCs w:val="24"/>
        </w:rPr>
        <w:t>iepriekš</w:t>
      </w:r>
      <w:proofErr w:type="spellEnd"/>
      <w:r w:rsidRPr="00DE668A">
        <w:rPr>
          <w:sz w:val="24"/>
          <w:szCs w:val="24"/>
        </w:rPr>
        <w:t xml:space="preserve"> </w:t>
      </w:r>
      <w:proofErr w:type="spellStart"/>
      <w:r w:rsidRPr="00DE668A">
        <w:rPr>
          <w:sz w:val="24"/>
          <w:szCs w:val="24"/>
        </w:rPr>
        <w:t>citētā</w:t>
      </w:r>
      <w:proofErr w:type="spellEnd"/>
      <w:r w:rsidRPr="00DE668A">
        <w:rPr>
          <w:sz w:val="24"/>
          <w:szCs w:val="24"/>
        </w:rPr>
        <w:t xml:space="preserve"> </w:t>
      </w:r>
      <w:proofErr w:type="spellStart"/>
      <w:r w:rsidRPr="00DE668A">
        <w:rPr>
          <w:sz w:val="24"/>
          <w:szCs w:val="24"/>
        </w:rPr>
        <w:t>judikatūra</w:t>
      </w:r>
      <w:proofErr w:type="spellEnd"/>
      <w:r w:rsidRPr="00DE668A">
        <w:rPr>
          <w:sz w:val="24"/>
          <w:szCs w:val="24"/>
        </w:rPr>
        <w:t>.</w:t>
      </w:r>
    </w:p>
  </w:footnote>
  <w:footnote w:id="3">
    <w:p w14:paraId="16050CE1" w14:textId="0E058E0C" w:rsidR="00EB6E56" w:rsidRPr="00DE668A" w:rsidRDefault="00EB6E56" w:rsidP="00EB6E56">
      <w:pPr>
        <w:pStyle w:val="FootnoteText"/>
        <w:rPr>
          <w:sz w:val="24"/>
          <w:szCs w:val="24"/>
        </w:rPr>
      </w:pPr>
      <w:r w:rsidRPr="00DE668A">
        <w:rPr>
          <w:rStyle w:val="FootnoteReference"/>
          <w:sz w:val="24"/>
          <w:szCs w:val="24"/>
        </w:rPr>
        <w:footnoteRef/>
      </w:r>
      <w:r w:rsidRPr="00DE668A">
        <w:rPr>
          <w:sz w:val="24"/>
          <w:szCs w:val="24"/>
        </w:rPr>
        <w:t xml:space="preserve"> </w:t>
      </w:r>
      <w:r w:rsidR="00346C97" w:rsidRPr="00DE668A">
        <w:rPr>
          <w:sz w:val="24"/>
          <w:szCs w:val="24"/>
        </w:rPr>
        <w:tab/>
      </w:r>
      <w:proofErr w:type="spellStart"/>
      <w:r w:rsidRPr="00DE668A">
        <w:rPr>
          <w:sz w:val="24"/>
          <w:szCs w:val="24"/>
        </w:rPr>
        <w:t>Tiesas</w:t>
      </w:r>
      <w:proofErr w:type="spellEnd"/>
      <w:r w:rsidRPr="00DE668A">
        <w:rPr>
          <w:sz w:val="24"/>
          <w:szCs w:val="24"/>
        </w:rPr>
        <w:t xml:space="preserve"> 2020. </w:t>
      </w:r>
      <w:proofErr w:type="spellStart"/>
      <w:proofErr w:type="gramStart"/>
      <w:r w:rsidRPr="00DE668A">
        <w:rPr>
          <w:sz w:val="24"/>
          <w:szCs w:val="24"/>
        </w:rPr>
        <w:t>gada</w:t>
      </w:r>
      <w:proofErr w:type="spellEnd"/>
      <w:proofErr w:type="gramEnd"/>
      <w:r w:rsidRPr="00DE668A">
        <w:rPr>
          <w:sz w:val="24"/>
          <w:szCs w:val="24"/>
        </w:rPr>
        <w:t xml:space="preserve"> 17. </w:t>
      </w:r>
      <w:proofErr w:type="spellStart"/>
      <w:proofErr w:type="gramStart"/>
      <w:r w:rsidRPr="00DE668A">
        <w:rPr>
          <w:sz w:val="24"/>
          <w:szCs w:val="24"/>
        </w:rPr>
        <w:t>septembra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proofErr w:type="spellStart"/>
      <w:r w:rsidRPr="00DE668A">
        <w:rPr>
          <w:i/>
          <w:iCs/>
          <w:sz w:val="24"/>
          <w:szCs w:val="24"/>
        </w:rPr>
        <w:t>Troszczynski</w:t>
      </w:r>
      <w:proofErr w:type="spellEnd"/>
      <w:r w:rsidRPr="00DE668A">
        <w:rPr>
          <w:sz w:val="24"/>
          <w:szCs w:val="24"/>
        </w:rPr>
        <w:t>/</w:t>
      </w:r>
      <w:proofErr w:type="spellStart"/>
      <w:r w:rsidRPr="00DE668A">
        <w:rPr>
          <w:sz w:val="24"/>
          <w:szCs w:val="24"/>
        </w:rPr>
        <w:t>Parlaments</w:t>
      </w:r>
      <w:proofErr w:type="spellEnd"/>
      <w:r w:rsidRPr="00DE668A">
        <w:rPr>
          <w:sz w:val="24"/>
          <w:szCs w:val="24"/>
        </w:rPr>
        <w:t>, C-12/19, ECLI: EU:C:2011:725, 26. </w:t>
      </w:r>
      <w:proofErr w:type="spellStart"/>
      <w:r w:rsidRPr="00DE668A">
        <w:rPr>
          <w:sz w:val="24"/>
          <w:szCs w:val="24"/>
        </w:rPr>
        <w:t>punkts</w:t>
      </w:r>
      <w:proofErr w:type="spellEnd"/>
      <w:r w:rsidRPr="00DE668A">
        <w:rPr>
          <w:sz w:val="24"/>
          <w:szCs w:val="24"/>
        </w:rPr>
        <w:t>;</w:t>
      </w:r>
    </w:p>
  </w:footnote>
  <w:footnote w:id="4">
    <w:p w14:paraId="5ACBC4F7" w14:textId="2E0CD954" w:rsidR="00EB6E56" w:rsidRPr="00DE668A" w:rsidRDefault="00EB6E56" w:rsidP="00EB6E56">
      <w:pPr>
        <w:pStyle w:val="FootnoteText"/>
        <w:rPr>
          <w:sz w:val="24"/>
          <w:szCs w:val="24"/>
        </w:rPr>
      </w:pPr>
      <w:r w:rsidRPr="00DE668A">
        <w:rPr>
          <w:rStyle w:val="FootnoteReference"/>
          <w:sz w:val="24"/>
          <w:szCs w:val="24"/>
        </w:rPr>
        <w:footnoteRef/>
      </w:r>
      <w:r w:rsidRPr="00DE668A">
        <w:rPr>
          <w:rStyle w:val="FootnoteReference"/>
          <w:sz w:val="24"/>
          <w:szCs w:val="24"/>
        </w:rPr>
        <w:t xml:space="preserve"> </w:t>
      </w:r>
      <w:r w:rsidR="00346C97" w:rsidRPr="00DE668A">
        <w:rPr>
          <w:sz w:val="24"/>
          <w:szCs w:val="24"/>
        </w:rPr>
        <w:tab/>
      </w:r>
      <w:proofErr w:type="spellStart"/>
      <w:r w:rsidRPr="00DE668A">
        <w:rPr>
          <w:sz w:val="24"/>
          <w:szCs w:val="24"/>
        </w:rPr>
        <w:t>Vispārējās</w:t>
      </w:r>
      <w:proofErr w:type="spellEnd"/>
      <w:r w:rsidRPr="00DE668A">
        <w:rPr>
          <w:sz w:val="24"/>
          <w:szCs w:val="24"/>
        </w:rPr>
        <w:t xml:space="preserve"> </w:t>
      </w:r>
      <w:proofErr w:type="spellStart"/>
      <w:r w:rsidRPr="00DE668A">
        <w:rPr>
          <w:sz w:val="24"/>
          <w:szCs w:val="24"/>
        </w:rPr>
        <w:t>tiesas</w:t>
      </w:r>
      <w:proofErr w:type="spellEnd"/>
      <w:r w:rsidRPr="00DE668A">
        <w:rPr>
          <w:sz w:val="24"/>
          <w:szCs w:val="24"/>
        </w:rPr>
        <w:t xml:space="preserve"> 2019. </w:t>
      </w:r>
      <w:proofErr w:type="spellStart"/>
      <w:proofErr w:type="gramStart"/>
      <w:r w:rsidRPr="00DE668A">
        <w:rPr>
          <w:sz w:val="24"/>
          <w:szCs w:val="24"/>
        </w:rPr>
        <w:t>gada</w:t>
      </w:r>
      <w:proofErr w:type="spellEnd"/>
      <w:proofErr w:type="gramEnd"/>
      <w:r w:rsidRPr="00DE668A">
        <w:rPr>
          <w:sz w:val="24"/>
          <w:szCs w:val="24"/>
        </w:rPr>
        <w:t xml:space="preserve"> 30. </w:t>
      </w:r>
      <w:proofErr w:type="spellStart"/>
      <w:proofErr w:type="gramStart"/>
      <w:r w:rsidRPr="00DE668A">
        <w:rPr>
          <w:sz w:val="24"/>
          <w:szCs w:val="24"/>
        </w:rPr>
        <w:t>aprīļa</w:t>
      </w:r>
      <w:proofErr w:type="spellEnd"/>
      <w:proofErr w:type="gramEnd"/>
      <w:r w:rsidRPr="00DE668A">
        <w:rPr>
          <w:sz w:val="24"/>
          <w:szCs w:val="24"/>
        </w:rPr>
        <w:t xml:space="preserve"> </w:t>
      </w:r>
      <w:proofErr w:type="spellStart"/>
      <w:r w:rsidRPr="00DE668A">
        <w:rPr>
          <w:sz w:val="24"/>
          <w:szCs w:val="24"/>
        </w:rPr>
        <w:t>spriedums</w:t>
      </w:r>
      <w:proofErr w:type="spellEnd"/>
      <w:r w:rsidRPr="00DE668A">
        <w:rPr>
          <w:sz w:val="24"/>
          <w:szCs w:val="24"/>
        </w:rPr>
        <w:t xml:space="preserve">, </w:t>
      </w:r>
      <w:r w:rsidRPr="00DE668A">
        <w:rPr>
          <w:i/>
          <w:sz w:val="24"/>
          <w:szCs w:val="24"/>
        </w:rPr>
        <w:t>Briois</w:t>
      </w:r>
      <w:r w:rsidRPr="00DE668A">
        <w:rPr>
          <w:sz w:val="24"/>
          <w:szCs w:val="24"/>
        </w:rPr>
        <w:t>/</w:t>
      </w:r>
      <w:proofErr w:type="spellStart"/>
      <w:r w:rsidRPr="00DE668A">
        <w:rPr>
          <w:sz w:val="24"/>
          <w:szCs w:val="24"/>
        </w:rPr>
        <w:t>Parlaments</w:t>
      </w:r>
      <w:proofErr w:type="spellEnd"/>
      <w:r w:rsidRPr="00DE668A">
        <w:rPr>
          <w:sz w:val="24"/>
          <w:szCs w:val="24"/>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EB82" w14:textId="77777777" w:rsidR="00064002" w:rsidRPr="002113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0D7C" w14:textId="77777777" w:rsidR="00064002" w:rsidRPr="002113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F9E5E" w14:textId="77777777" w:rsidR="00064002" w:rsidRPr="002113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792753">
    <w:abstractNumId w:val="9"/>
  </w:num>
  <w:num w:numId="2" w16cid:durableId="1037581746">
    <w:abstractNumId w:val="9"/>
  </w:num>
  <w:num w:numId="3" w16cid:durableId="954142293">
    <w:abstractNumId w:val="7"/>
  </w:num>
  <w:num w:numId="4" w16cid:durableId="1480609216">
    <w:abstractNumId w:val="7"/>
  </w:num>
  <w:num w:numId="5" w16cid:durableId="1163398615">
    <w:abstractNumId w:val="6"/>
  </w:num>
  <w:num w:numId="6" w16cid:durableId="1531652078">
    <w:abstractNumId w:val="6"/>
  </w:num>
  <w:num w:numId="7" w16cid:durableId="1094596286">
    <w:abstractNumId w:val="5"/>
  </w:num>
  <w:num w:numId="8" w16cid:durableId="1838840653">
    <w:abstractNumId w:val="5"/>
  </w:num>
  <w:num w:numId="9" w16cid:durableId="583074690">
    <w:abstractNumId w:val="4"/>
  </w:num>
  <w:num w:numId="10" w16cid:durableId="890917804">
    <w:abstractNumId w:val="4"/>
  </w:num>
  <w:num w:numId="11" w16cid:durableId="101875464">
    <w:abstractNumId w:val="8"/>
  </w:num>
  <w:num w:numId="12" w16cid:durableId="1128357652">
    <w:abstractNumId w:val="8"/>
  </w:num>
  <w:num w:numId="13" w16cid:durableId="1541630321">
    <w:abstractNumId w:val="3"/>
  </w:num>
  <w:num w:numId="14" w16cid:durableId="999817295">
    <w:abstractNumId w:val="3"/>
  </w:num>
  <w:num w:numId="15" w16cid:durableId="1912040211">
    <w:abstractNumId w:val="2"/>
  </w:num>
  <w:num w:numId="16" w16cid:durableId="463625110">
    <w:abstractNumId w:val="2"/>
  </w:num>
  <w:num w:numId="17" w16cid:durableId="1028608338">
    <w:abstractNumId w:val="1"/>
  </w:num>
  <w:num w:numId="18" w16cid:durableId="2115443484">
    <w:abstractNumId w:val="1"/>
  </w:num>
  <w:num w:numId="19" w16cid:durableId="597446429">
    <w:abstractNumId w:val="0"/>
  </w:num>
  <w:num w:numId="20" w16cid:durableId="1307709524">
    <w:abstractNumId w:val="0"/>
  </w:num>
  <w:num w:numId="21" w16cid:durableId="1405182201">
    <w:abstractNumId w:val="9"/>
  </w:num>
  <w:num w:numId="22" w16cid:durableId="1785886038">
    <w:abstractNumId w:val="7"/>
  </w:num>
  <w:num w:numId="23" w16cid:durableId="1774206768">
    <w:abstractNumId w:val="6"/>
  </w:num>
  <w:num w:numId="24" w16cid:durableId="1647855976">
    <w:abstractNumId w:val="5"/>
  </w:num>
  <w:num w:numId="25" w16cid:durableId="1318414450">
    <w:abstractNumId w:val="4"/>
  </w:num>
  <w:num w:numId="26" w16cid:durableId="1607351061">
    <w:abstractNumId w:val="8"/>
  </w:num>
  <w:num w:numId="27" w16cid:durableId="340014057">
    <w:abstractNumId w:val="3"/>
  </w:num>
  <w:num w:numId="28" w16cid:durableId="2025090369">
    <w:abstractNumId w:val="2"/>
  </w:num>
  <w:num w:numId="29" w16cid:durableId="1196574044">
    <w:abstractNumId w:val="1"/>
  </w:num>
  <w:num w:numId="30" w16cid:durableId="1730961476">
    <w:abstractNumId w:val="0"/>
  </w:num>
  <w:num w:numId="31" w16cid:durableId="1446120959">
    <w:abstractNumId w:val="9"/>
  </w:num>
  <w:num w:numId="32" w16cid:durableId="1141506370">
    <w:abstractNumId w:val="7"/>
  </w:num>
  <w:num w:numId="33" w16cid:durableId="950747419">
    <w:abstractNumId w:val="6"/>
  </w:num>
  <w:num w:numId="34" w16cid:durableId="1611862336">
    <w:abstractNumId w:val="5"/>
  </w:num>
  <w:num w:numId="35" w16cid:durableId="617298741">
    <w:abstractNumId w:val="4"/>
  </w:num>
  <w:num w:numId="36" w16cid:durableId="784883012">
    <w:abstractNumId w:val="8"/>
  </w:num>
  <w:num w:numId="37" w16cid:durableId="884951311">
    <w:abstractNumId w:val="3"/>
  </w:num>
  <w:num w:numId="38" w16cid:durableId="1997957120">
    <w:abstractNumId w:val="2"/>
  </w:num>
  <w:num w:numId="39" w16cid:durableId="708913375">
    <w:abstractNumId w:val="1"/>
  </w:num>
  <w:num w:numId="40" w16cid:durableId="408581454">
    <w:abstractNumId w:val="0"/>
  </w:num>
  <w:num w:numId="41" w16cid:durableId="724328895">
    <w:abstractNumId w:val="10"/>
  </w:num>
  <w:num w:numId="42" w16cid:durableId="1278951117">
    <w:abstractNumId w:val="10"/>
  </w:num>
  <w:num w:numId="43" w16cid:durableId="1472795406">
    <w:abstractNumId w:val="10"/>
  </w:num>
  <w:num w:numId="44" w16cid:durableId="422075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LV"/>
    <w:docVar w:name="dvnumam" w:val="0"/>
    <w:docVar w:name="dvpe" w:val="775.580"/>
    <w:docVar w:name="dvrapporteur" w:val="Referents: "/>
    <w:docVar w:name="dvtitre" w:val="Eiropas Parlamenta 2025. gada XX. XXX lēmums par pieprasījumu atcelt Péter Magyar imunitāti(2025/2096(IMM))"/>
  </w:docVars>
  <w:rsids>
    <w:rsidRoot w:val="00943421"/>
    <w:rsid w:val="00002272"/>
    <w:rsid w:val="00064002"/>
    <w:rsid w:val="000677B9"/>
    <w:rsid w:val="000831BA"/>
    <w:rsid w:val="000A42CC"/>
    <w:rsid w:val="000E7DD9"/>
    <w:rsid w:val="0010095E"/>
    <w:rsid w:val="00125B37"/>
    <w:rsid w:val="00187494"/>
    <w:rsid w:val="001F32AE"/>
    <w:rsid w:val="00200755"/>
    <w:rsid w:val="002113C8"/>
    <w:rsid w:val="002767FF"/>
    <w:rsid w:val="002B18FE"/>
    <w:rsid w:val="002B5493"/>
    <w:rsid w:val="00305181"/>
    <w:rsid w:val="00343214"/>
    <w:rsid w:val="00346C9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F95"/>
    <w:rsid w:val="0054706D"/>
    <w:rsid w:val="00560270"/>
    <w:rsid w:val="005C2568"/>
    <w:rsid w:val="005F1B17"/>
    <w:rsid w:val="006037C0"/>
    <w:rsid w:val="00626828"/>
    <w:rsid w:val="006631B6"/>
    <w:rsid w:val="00680577"/>
    <w:rsid w:val="006F74FA"/>
    <w:rsid w:val="00731ADD"/>
    <w:rsid w:val="00734777"/>
    <w:rsid w:val="00747932"/>
    <w:rsid w:val="00751A4A"/>
    <w:rsid w:val="00756632"/>
    <w:rsid w:val="00762C74"/>
    <w:rsid w:val="00786EC0"/>
    <w:rsid w:val="007970EA"/>
    <w:rsid w:val="007D1690"/>
    <w:rsid w:val="007E22AD"/>
    <w:rsid w:val="00817416"/>
    <w:rsid w:val="00832A79"/>
    <w:rsid w:val="00842779"/>
    <w:rsid w:val="00865F67"/>
    <w:rsid w:val="008766F1"/>
    <w:rsid w:val="00881A7B"/>
    <w:rsid w:val="008840E5"/>
    <w:rsid w:val="00887B3E"/>
    <w:rsid w:val="008C2AC6"/>
    <w:rsid w:val="00930C23"/>
    <w:rsid w:val="0093193B"/>
    <w:rsid w:val="00943421"/>
    <w:rsid w:val="009509D8"/>
    <w:rsid w:val="00950B64"/>
    <w:rsid w:val="00962FDD"/>
    <w:rsid w:val="00981893"/>
    <w:rsid w:val="00991CC7"/>
    <w:rsid w:val="009B1A9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68A"/>
    <w:rsid w:val="00E365E1"/>
    <w:rsid w:val="00E820A4"/>
    <w:rsid w:val="00EB006A"/>
    <w:rsid w:val="00EB4772"/>
    <w:rsid w:val="00EB6E5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0076D"/>
  <w15:chartTrackingRefBased/>
  <w15:docId w15:val="{B2A9F347-DDED-45BC-9280-CBA49CA2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05181"/>
    <w:pPr>
      <w:keepNext/>
      <w:spacing w:after="480"/>
      <w:jc w:val="center"/>
    </w:pPr>
    <w:rPr>
      <w:rFonts w:ascii="Arial" w:hAnsi="Arial" w:cs="Arial"/>
      <w:b/>
    </w:rPr>
  </w:style>
  <w:style w:type="paragraph" w:customStyle="1" w:styleId="NormalHanging12a">
    <w:name w:val="NormalHanging12a"/>
    <w:basedOn w:val="Normal"/>
    <w:rsid w:val="00305181"/>
    <w:pPr>
      <w:spacing w:after="240"/>
      <w:ind w:left="567" w:hanging="567"/>
    </w:pPr>
  </w:style>
  <w:style w:type="character" w:customStyle="1" w:styleId="doceo-font-family-base">
    <w:name w:val="doceo-font-family-base"/>
    <w:basedOn w:val="DefaultParagraphFont"/>
    <w:rsid w:val="00305181"/>
  </w:style>
  <w:style w:type="paragraph" w:customStyle="1" w:styleId="doceo-line-height-base">
    <w:name w:val="doceo-line-height-base"/>
    <w:basedOn w:val="Normal"/>
    <w:rsid w:val="00305181"/>
    <w:pPr>
      <w:widowControl/>
      <w:spacing w:before="100" w:beforeAutospacing="1" w:after="100" w:afterAutospacing="1"/>
    </w:pPr>
    <w:rPr>
      <w:szCs w:val="24"/>
      <w:lang w:val="en-GB"/>
    </w:rPr>
  </w:style>
  <w:style w:type="paragraph" w:customStyle="1" w:styleId="EPComma">
    <w:name w:val="EPComma"/>
    <w:basedOn w:val="Normal"/>
    <w:rsid w:val="00EB6E56"/>
    <w:pPr>
      <w:spacing w:before="480" w:after="240"/>
    </w:pPr>
  </w:style>
  <w:style w:type="paragraph" w:styleId="Revision">
    <w:name w:val="Revision"/>
    <w:hidden/>
    <w:uiPriority w:val="99"/>
    <w:semiHidden/>
    <w:rsid w:val="009B1A9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916</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2025-10-07T12:54:00Z</dcterms:created>
  <dcterms:modified xsi:type="dcterms:W3CDTF">2025-10-07T12:54:00Z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A10-0182/2025</vt:lpwstr>
  </property>
  <property fmtid="{D5CDD505-2E9C-101B-9397-08002B2CF9AE}" pid="4" name="&lt;Type&gt;">
    <vt:lpwstr>RR</vt:lpwstr>
  </property>
</Properties>
</file>