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54E2" w14:paraId="677FF3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DECA82" w14:textId="77777777" w:rsidR="00751A4A" w:rsidRPr="003E54E2" w:rsidRDefault="008F7A4F" w:rsidP="0010095E">
            <w:pPr>
              <w:pStyle w:val="EPName"/>
            </w:pPr>
            <w:r w:rsidRPr="003E54E2">
              <w:t>Parlament Europejski</w:t>
            </w:r>
          </w:p>
          <w:p w14:paraId="1B0BC2AF" w14:textId="77777777" w:rsidR="00751A4A" w:rsidRPr="003E54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54E2">
              <w:t>2024</w:t>
            </w:r>
            <w:r w:rsidR="00817416" w:rsidRPr="003E54E2">
              <w:t>-202</w:t>
            </w:r>
            <w:r w:rsidRPr="003E54E2">
              <w:t>9</w:t>
            </w:r>
          </w:p>
        </w:tc>
        <w:tc>
          <w:tcPr>
            <w:tcW w:w="2268" w:type="dxa"/>
            <w:shd w:val="clear" w:color="auto" w:fill="auto"/>
          </w:tcPr>
          <w:p w14:paraId="2D3864CE" w14:textId="77777777" w:rsidR="00751A4A" w:rsidRPr="003E54E2" w:rsidRDefault="00187494" w:rsidP="0010095E">
            <w:pPr>
              <w:pStyle w:val="EPLogo"/>
            </w:pPr>
            <w:r w:rsidRPr="003E54E2">
              <w:rPr>
                <w:noProof/>
                <w:lang w:eastAsia="ja-JP"/>
              </w:rPr>
              <w:drawing>
                <wp:inline distT="0" distB="0" distL="0" distR="0" wp14:anchorId="7CFFA454" wp14:editId="765014E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A4A65D" w14:textId="77777777" w:rsidR="00D058B8" w:rsidRPr="003E54E2" w:rsidRDefault="00D058B8" w:rsidP="004C5D52">
      <w:pPr>
        <w:pStyle w:val="LineTop"/>
      </w:pPr>
    </w:p>
    <w:p w14:paraId="718F00C5" w14:textId="77777777" w:rsidR="00680577" w:rsidRPr="003E54E2" w:rsidRDefault="008F7A4F" w:rsidP="00680577">
      <w:pPr>
        <w:pStyle w:val="EPBodyTA1"/>
      </w:pPr>
      <w:r w:rsidRPr="003E54E2">
        <w:t>TEKSTY PRZYJĘTE</w:t>
      </w:r>
    </w:p>
    <w:p w14:paraId="161D6E3E" w14:textId="77777777" w:rsidR="00D058B8" w:rsidRPr="003E54E2" w:rsidRDefault="00D058B8" w:rsidP="00D058B8">
      <w:pPr>
        <w:pStyle w:val="LineBottom"/>
      </w:pPr>
    </w:p>
    <w:p w14:paraId="021B10ED" w14:textId="51732E2D" w:rsidR="008F7A4F" w:rsidRPr="003E54E2" w:rsidRDefault="008F7A4F" w:rsidP="008F7A4F">
      <w:pPr>
        <w:pStyle w:val="ATHeading1"/>
      </w:pPr>
      <w:bookmarkStart w:id="0" w:name="TANumber"/>
      <w:r w:rsidRPr="003E54E2">
        <w:t>P10_TA(2025)0</w:t>
      </w:r>
      <w:r w:rsidR="00B16550">
        <w:t>205</w:t>
      </w:r>
      <w:bookmarkEnd w:id="0"/>
    </w:p>
    <w:p w14:paraId="636503C0" w14:textId="77777777" w:rsidR="008F7A4F" w:rsidRPr="003E54E2" w:rsidRDefault="008F7A4F" w:rsidP="008F7A4F">
      <w:pPr>
        <w:pStyle w:val="ATHeading2"/>
      </w:pPr>
      <w:bookmarkStart w:id="1" w:name="title"/>
      <w:r w:rsidRPr="003E54E2">
        <w:t xml:space="preserve">Wniosek o uchylenie immunitetu </w:t>
      </w:r>
      <w:proofErr w:type="spellStart"/>
      <w:r w:rsidRPr="003E54E2">
        <w:t>Pétera</w:t>
      </w:r>
      <w:proofErr w:type="spellEnd"/>
      <w:r w:rsidRPr="003E54E2">
        <w:t xml:space="preserve"> </w:t>
      </w:r>
      <w:proofErr w:type="spellStart"/>
      <w:r w:rsidRPr="003E54E2">
        <w:t>Magyara</w:t>
      </w:r>
      <w:bookmarkEnd w:id="1"/>
      <w:proofErr w:type="spellEnd"/>
    </w:p>
    <w:p w14:paraId="354DCAAC" w14:textId="77777777" w:rsidR="008F7A4F" w:rsidRPr="003E54E2" w:rsidRDefault="008F7A4F" w:rsidP="008F7A4F">
      <w:pPr>
        <w:rPr>
          <w:i/>
          <w:vanish/>
        </w:rPr>
      </w:pPr>
      <w:r w:rsidRPr="003E54E2">
        <w:rPr>
          <w:i/>
        </w:rPr>
        <w:fldChar w:fldCharType="begin"/>
      </w:r>
      <w:r w:rsidRPr="003E54E2">
        <w:rPr>
          <w:i/>
        </w:rPr>
        <w:instrText xml:space="preserve"> TC"(</w:instrText>
      </w:r>
      <w:bookmarkStart w:id="2" w:name="DocNumber"/>
      <w:r w:rsidRPr="003E54E2">
        <w:rPr>
          <w:i/>
        </w:rPr>
        <w:instrText>A10-0182/2025</w:instrText>
      </w:r>
      <w:bookmarkEnd w:id="2"/>
      <w:r w:rsidRPr="003E54E2">
        <w:rPr>
          <w:i/>
        </w:rPr>
        <w:instrText xml:space="preserve"> - Sprawozdawca: Ilhan Kyuchyuk )"\l3 \n&gt; \* MERGEFORMAT </w:instrText>
      </w:r>
      <w:r w:rsidRPr="003E54E2">
        <w:rPr>
          <w:i/>
        </w:rPr>
        <w:fldChar w:fldCharType="end"/>
      </w:r>
    </w:p>
    <w:p w14:paraId="046504E0" w14:textId="77777777" w:rsidR="008F7A4F" w:rsidRPr="003E54E2" w:rsidRDefault="008F7A4F" w:rsidP="008F7A4F">
      <w:pPr>
        <w:rPr>
          <w:vanish/>
        </w:rPr>
      </w:pPr>
      <w:bookmarkStart w:id="3" w:name="Commission"/>
      <w:r w:rsidRPr="003E54E2">
        <w:rPr>
          <w:vanish/>
        </w:rPr>
        <w:t>Komisja Prawna</w:t>
      </w:r>
      <w:bookmarkEnd w:id="3"/>
    </w:p>
    <w:p w14:paraId="3278B76E" w14:textId="77777777" w:rsidR="008F7A4F" w:rsidRPr="003E54E2" w:rsidRDefault="008F7A4F" w:rsidP="008F7A4F">
      <w:pPr>
        <w:rPr>
          <w:vanish/>
        </w:rPr>
      </w:pPr>
      <w:bookmarkStart w:id="4" w:name="PE"/>
      <w:r w:rsidRPr="003E54E2">
        <w:rPr>
          <w:vanish/>
        </w:rPr>
        <w:t>PE775.580</w:t>
      </w:r>
      <w:bookmarkEnd w:id="4"/>
    </w:p>
    <w:p w14:paraId="5C21B753" w14:textId="2B08AE6E" w:rsidR="008F7A4F" w:rsidRPr="003E54E2" w:rsidRDefault="008F7A4F" w:rsidP="008F7A4F">
      <w:pPr>
        <w:pStyle w:val="ATHeading3"/>
      </w:pPr>
      <w:bookmarkStart w:id="5" w:name="Sujet"/>
      <w:r w:rsidRPr="003E54E2">
        <w:t xml:space="preserve">Decyzja Parlamentu Europejskiego z dnia </w:t>
      </w:r>
      <w:r w:rsidR="00AB546F">
        <w:t>7 października</w:t>
      </w:r>
      <w:r w:rsidRPr="003E54E2">
        <w:t xml:space="preserve"> 2025 r. w sprawie wniosku o uchylenie immunitetu </w:t>
      </w:r>
      <w:proofErr w:type="spellStart"/>
      <w:r w:rsidRPr="003E54E2">
        <w:t>Pétera</w:t>
      </w:r>
      <w:proofErr w:type="spellEnd"/>
      <w:r w:rsidRPr="003E54E2">
        <w:t xml:space="preserve"> </w:t>
      </w:r>
      <w:proofErr w:type="spellStart"/>
      <w:r w:rsidRPr="003E54E2">
        <w:t>Magyara</w:t>
      </w:r>
      <w:bookmarkEnd w:id="5"/>
      <w:proofErr w:type="spellEnd"/>
      <w:r w:rsidRPr="003E54E2">
        <w:t xml:space="preserve"> </w:t>
      </w:r>
      <w:bookmarkStart w:id="6" w:name="References"/>
      <w:r w:rsidRPr="003E54E2">
        <w:t>(2025/2096(IMM))</w:t>
      </w:r>
      <w:bookmarkEnd w:id="6"/>
    </w:p>
    <w:p w14:paraId="5AC811D3" w14:textId="77777777" w:rsidR="00FC53F0" w:rsidRPr="003E54E2" w:rsidRDefault="00FC53F0" w:rsidP="00FC53F0">
      <w:pPr>
        <w:pStyle w:val="EPComma"/>
      </w:pPr>
      <w:bookmarkStart w:id="7" w:name="TextBodyBegin"/>
      <w:bookmarkEnd w:id="7"/>
      <w:r w:rsidRPr="003E54E2">
        <w:rPr>
          <w:i/>
        </w:rPr>
        <w:t>Parlament Europejski</w:t>
      </w:r>
      <w:r w:rsidRPr="003E54E2">
        <w:t>,</w:t>
      </w:r>
    </w:p>
    <w:p w14:paraId="4860BB98" w14:textId="68604705" w:rsidR="00FC53F0" w:rsidRPr="003E54E2" w:rsidRDefault="00FC53F0" w:rsidP="00FC53F0">
      <w:pPr>
        <w:pStyle w:val="NormalHanging12a"/>
      </w:pPr>
      <w:r w:rsidRPr="003E54E2">
        <w:t>–</w:t>
      </w:r>
      <w:r w:rsidRPr="003E54E2">
        <w:tab/>
        <w:t xml:space="preserve">uwzględniając wniosek </w:t>
      </w:r>
      <w:r w:rsidR="00AB546F" w:rsidRPr="001149C3">
        <w:t xml:space="preserve">o uchylenie immunitetu </w:t>
      </w:r>
      <w:proofErr w:type="spellStart"/>
      <w:r w:rsidR="00AB546F" w:rsidRPr="001149C3">
        <w:t>Pétera</w:t>
      </w:r>
      <w:proofErr w:type="spellEnd"/>
      <w:r w:rsidR="00AB546F" w:rsidRPr="001149C3">
        <w:t xml:space="preserve"> </w:t>
      </w:r>
      <w:proofErr w:type="spellStart"/>
      <w:r w:rsidR="00AB546F" w:rsidRPr="001149C3">
        <w:t>Magyara</w:t>
      </w:r>
      <w:proofErr w:type="spellEnd"/>
      <w:r w:rsidR="00AB546F" w:rsidRPr="001149C3">
        <w:t xml:space="preserve"> z</w:t>
      </w:r>
      <w:r w:rsidRPr="003E54E2">
        <w:t xml:space="preserve">21 marca 2025 r. </w:t>
      </w:r>
      <w:r w:rsidR="00AB546F" w:rsidRPr="001149C3">
        <w:t>złożony przez Centralny Sąd Rejonowy w Peszcie na Węgrzech</w:t>
      </w:r>
      <w:r w:rsidRPr="003E54E2">
        <w:t xml:space="preserve"> w związku z prowadzonym przeciwko niemu postępowaniem karnym</w:t>
      </w:r>
      <w:r w:rsidR="00282703">
        <w:t xml:space="preserve"> z powództwa prywatnego</w:t>
      </w:r>
      <w:r w:rsidRPr="003E54E2">
        <w:t xml:space="preserve">, </w:t>
      </w:r>
      <w:r w:rsidR="00282703">
        <w:t>ogłoszony</w:t>
      </w:r>
      <w:r w:rsidR="00282703" w:rsidRPr="003E54E2">
        <w:t xml:space="preserve"> </w:t>
      </w:r>
      <w:r w:rsidRPr="003E54E2">
        <w:t>na posiedzeniu plenarnym w dniu 5 maja 2025 r.,</w:t>
      </w:r>
    </w:p>
    <w:p w14:paraId="42099E4B" w14:textId="509183C0" w:rsidR="00FC53F0" w:rsidRPr="003E54E2" w:rsidRDefault="00FC53F0" w:rsidP="00FC53F0">
      <w:pPr>
        <w:pStyle w:val="NormalHanging12a"/>
      </w:pPr>
      <w:r w:rsidRPr="003E54E2">
        <w:t>–</w:t>
      </w:r>
      <w:r w:rsidRPr="003E54E2">
        <w:tab/>
        <w:t xml:space="preserve">uwzględniając okoliczność, że </w:t>
      </w:r>
      <w:proofErr w:type="spellStart"/>
      <w:r w:rsidRPr="003E54E2">
        <w:t>Péter</w:t>
      </w:r>
      <w:proofErr w:type="spellEnd"/>
      <w:r w:rsidRPr="003E54E2">
        <w:t xml:space="preserve"> </w:t>
      </w:r>
      <w:proofErr w:type="spellStart"/>
      <w:r w:rsidRPr="003E54E2">
        <w:t>Magyar</w:t>
      </w:r>
      <w:proofErr w:type="spellEnd"/>
      <w:r w:rsidRPr="003E54E2">
        <w:t xml:space="preserve"> zrzekł się prawa do bycia wysłuchanym </w:t>
      </w:r>
      <w:r w:rsidR="00282703">
        <w:t>zgodnie z</w:t>
      </w:r>
      <w:r w:rsidRPr="003E54E2">
        <w:t xml:space="preserve"> art. 9 ust. 6 regulaminu Parlamentu Europejskiego,</w:t>
      </w:r>
    </w:p>
    <w:p w14:paraId="060A888E" w14:textId="77777777" w:rsidR="00FC53F0" w:rsidRPr="003E54E2" w:rsidRDefault="00FC53F0" w:rsidP="00FC53F0">
      <w:pPr>
        <w:pStyle w:val="NormalHanging12a"/>
      </w:pPr>
      <w:r w:rsidRPr="003E54E2">
        <w:t>–</w:t>
      </w:r>
      <w:r w:rsidRPr="003E54E2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14:paraId="5D2552E0" w14:textId="77777777" w:rsidR="00FC53F0" w:rsidRPr="003E54E2" w:rsidRDefault="00FC53F0" w:rsidP="00FC53F0">
      <w:pPr>
        <w:pStyle w:val="NormalHanging12a"/>
      </w:pPr>
      <w:r w:rsidRPr="003E54E2">
        <w:t>–</w:t>
      </w:r>
      <w:r w:rsidRPr="003E54E2">
        <w:tab/>
        <w:t xml:space="preserve">uwzględniając </w:t>
      </w:r>
      <w:r w:rsidRPr="003E54E2">
        <w:rPr>
          <w:color w:val="000000"/>
          <w:shd w:val="clear" w:color="auto" w:fill="FFFFFF"/>
        </w:rPr>
        <w:t>art. 4 ust. 2 węgierskiej ustawy zasadniczej,</w:t>
      </w:r>
    </w:p>
    <w:p w14:paraId="7BE94A6A" w14:textId="77777777" w:rsidR="00FC53F0" w:rsidRPr="003E54E2" w:rsidRDefault="00FC53F0" w:rsidP="00FC53F0">
      <w:pPr>
        <w:pStyle w:val="NormalHanging12a"/>
      </w:pPr>
      <w:r w:rsidRPr="003E54E2">
        <w:t>–</w:t>
      </w:r>
      <w:r w:rsidRPr="003E54E2">
        <w:tab/>
        <w:t>uwzględniając wyroki wydane przez Trybunał Sprawiedliwości Unii Europejskiej 21 października 2008 r., 19 marca 2010 r., 6 września 2011 r., 17 stycznia 2013 r., 19 grudnia 2019 r. i 5 lipca 2023 r.</w:t>
      </w:r>
      <w:r w:rsidRPr="003E54E2">
        <w:rPr>
          <w:rStyle w:val="FootnoteReference"/>
        </w:rPr>
        <w:footnoteReference w:id="1"/>
      </w:r>
      <w:r w:rsidRPr="003E54E2">
        <w:t>,</w:t>
      </w:r>
    </w:p>
    <w:p w14:paraId="3FD8CC0E" w14:textId="77777777" w:rsidR="00FC53F0" w:rsidRPr="003E54E2" w:rsidRDefault="00FC53F0" w:rsidP="00FC53F0">
      <w:pPr>
        <w:pStyle w:val="NormalHanging12a"/>
      </w:pPr>
      <w:r w:rsidRPr="003E54E2">
        <w:t>–</w:t>
      </w:r>
      <w:r w:rsidRPr="003E54E2">
        <w:tab/>
        <w:t>uwzględniając art. 5 ust. 2, art. 6 ust. 1 oraz art. 9 Regulaminu,</w:t>
      </w:r>
    </w:p>
    <w:p w14:paraId="7B18FF30" w14:textId="77777777" w:rsidR="00FC53F0" w:rsidRPr="003E54E2" w:rsidRDefault="00FC53F0" w:rsidP="00FC53F0">
      <w:pPr>
        <w:pStyle w:val="NormalHanging12a"/>
      </w:pPr>
      <w:r w:rsidRPr="003E54E2">
        <w:lastRenderedPageBreak/>
        <w:t>–</w:t>
      </w:r>
      <w:r w:rsidRPr="003E54E2">
        <w:tab/>
        <w:t>uwzględniając sprawozdanie Komisji Prawnej (A10-0182/2025),</w:t>
      </w:r>
    </w:p>
    <w:p w14:paraId="0902C6EE" w14:textId="2D247E3B" w:rsidR="00FC53F0" w:rsidRPr="003E54E2" w:rsidRDefault="00FC53F0" w:rsidP="00FC53F0">
      <w:pPr>
        <w:pStyle w:val="NormalHanging12a"/>
        <w:widowControl/>
      </w:pPr>
      <w:r w:rsidRPr="003E54E2">
        <w:t>A.</w:t>
      </w:r>
      <w:r w:rsidRPr="003E54E2">
        <w:tab/>
        <w:t xml:space="preserve">mając na uwadze, że w </w:t>
      </w:r>
      <w:r w:rsidR="00282703">
        <w:t>dniu</w:t>
      </w:r>
      <w:r w:rsidRPr="003E54E2">
        <w:t xml:space="preserve"> 21 marca 2025 r. </w:t>
      </w:r>
      <w:r w:rsidR="00282703">
        <w:t xml:space="preserve">Centralny </w:t>
      </w:r>
      <w:r w:rsidRPr="003E54E2">
        <w:t xml:space="preserve">Sąd Rejonowy w Peszcie złożył w postępowaniu karnym o zniesławienie, wszczętym przez osobę prywatną przeciwko </w:t>
      </w:r>
      <w:proofErr w:type="spellStart"/>
      <w:r w:rsidRPr="003E54E2">
        <w:t>Péterowi</w:t>
      </w:r>
      <w:proofErr w:type="spellEnd"/>
      <w:r w:rsidRPr="003E54E2">
        <w:t xml:space="preserve"> </w:t>
      </w:r>
      <w:proofErr w:type="spellStart"/>
      <w:r w:rsidRPr="003E54E2">
        <w:t>Magyarowi</w:t>
      </w:r>
      <w:proofErr w:type="spellEnd"/>
      <w:r w:rsidRPr="003E54E2">
        <w:t xml:space="preserve">, </w:t>
      </w:r>
      <w:r w:rsidR="00282703">
        <w:t xml:space="preserve">posłowi do Parlamentu Europejskiego wybranemu na Węgrzech, </w:t>
      </w:r>
      <w:r w:rsidRPr="003E54E2">
        <w:t xml:space="preserve">wniosek o uchylenie </w:t>
      </w:r>
      <w:r w:rsidR="00282703">
        <w:t xml:space="preserve">jego </w:t>
      </w:r>
      <w:r w:rsidRPr="003E54E2">
        <w:t xml:space="preserve">immunitetu w związku z podejrzeniem popełnienia przestępstwa z § 226 ust. 1 węgierskiej ustawy nr C z 2012 r. – kodeks karny, </w:t>
      </w:r>
      <w:r w:rsidRPr="003E54E2">
        <w:rPr>
          <w:color w:val="000000"/>
          <w:shd w:val="clear" w:color="auto" w:fill="FFFFFF"/>
        </w:rPr>
        <w:t>w postaci czynów dokonanych w kwietniu 2024 r.</w:t>
      </w:r>
      <w:r w:rsidRPr="003E54E2">
        <w:t>;</w:t>
      </w:r>
    </w:p>
    <w:p w14:paraId="4A9660EB" w14:textId="77777777" w:rsidR="00FC53F0" w:rsidRPr="003E54E2" w:rsidRDefault="00FC53F0" w:rsidP="00FC53F0">
      <w:pPr>
        <w:pStyle w:val="NormalHanging12a"/>
        <w:widowControl/>
      </w:pPr>
      <w:r w:rsidRPr="003E54E2">
        <w:rPr>
          <w:shd w:val="clear" w:color="auto" w:fill="FFFFFF"/>
        </w:rPr>
        <w:t>B.</w:t>
      </w:r>
      <w:r w:rsidRPr="003E54E2">
        <w:rPr>
          <w:shd w:val="clear" w:color="auto" w:fill="FFFFFF"/>
        </w:rPr>
        <w:tab/>
      </w:r>
      <w:r w:rsidRPr="003E54E2">
        <w:t xml:space="preserve">B. mając na uwadze, że we wniosku o uchylenie immunitetu wskazano, iż </w:t>
      </w:r>
      <w:proofErr w:type="spellStart"/>
      <w:r w:rsidRPr="003E54E2">
        <w:t>Péter</w:t>
      </w:r>
      <w:proofErr w:type="spellEnd"/>
      <w:r w:rsidRPr="003E54E2">
        <w:t xml:space="preserve"> </w:t>
      </w:r>
      <w:proofErr w:type="spellStart"/>
      <w:r w:rsidRPr="003E54E2">
        <w:t>Magyar</w:t>
      </w:r>
      <w:proofErr w:type="spellEnd"/>
      <w:r w:rsidRPr="003E54E2">
        <w:t xml:space="preserve"> jest oskarżony o publiczne wygłoszenie podczas demonstracji wypowiedzi zawierających fałszywe twierdzenia oraz o rozpowszechnianie pogłosek mogących zaszkodzić reputacji ruchu politycznego „Mi </w:t>
      </w:r>
      <w:proofErr w:type="spellStart"/>
      <w:r w:rsidRPr="003E54E2">
        <w:t>Hazánk</w:t>
      </w:r>
      <w:proofErr w:type="spellEnd"/>
      <w:r w:rsidRPr="003E54E2">
        <w:t xml:space="preserve"> </w:t>
      </w:r>
      <w:proofErr w:type="spellStart"/>
      <w:r w:rsidRPr="003E54E2">
        <w:t>Mozgalom</w:t>
      </w:r>
      <w:proofErr w:type="spellEnd"/>
      <w:r w:rsidRPr="003E54E2">
        <w:t xml:space="preserve">” (Ruch Nasza Ojczyzna) i jednego z jego wiceprzewodniczących, posła do parlamentu węgierskiego; mając na uwadze, że 13 maja 2024 r. przeciwko </w:t>
      </w:r>
      <w:proofErr w:type="spellStart"/>
      <w:r w:rsidRPr="003E54E2">
        <w:t>Péterowi</w:t>
      </w:r>
      <w:proofErr w:type="spellEnd"/>
      <w:r w:rsidRPr="003E54E2">
        <w:t xml:space="preserve"> </w:t>
      </w:r>
      <w:proofErr w:type="spellStart"/>
      <w:r w:rsidRPr="003E54E2">
        <w:t>Magyarowi</w:t>
      </w:r>
      <w:proofErr w:type="spellEnd"/>
      <w:r w:rsidRPr="003E54E2">
        <w:t xml:space="preserve"> wszczęto postępowanie prywatnoskargowe na podstawie oskarżenia prywatnego o popełnienie przestępstwa zniesławienia;</w:t>
      </w:r>
    </w:p>
    <w:p w14:paraId="0610E3A7" w14:textId="2EF94F8A" w:rsidR="00FC53F0" w:rsidRPr="003E54E2" w:rsidRDefault="00FC53F0" w:rsidP="00FC53F0">
      <w:pPr>
        <w:pStyle w:val="NormalHanging12a"/>
        <w:widowControl/>
      </w:pPr>
      <w:r w:rsidRPr="003E54E2">
        <w:t>C.</w:t>
      </w:r>
      <w:r w:rsidRPr="003E54E2">
        <w:tab/>
        <w:t xml:space="preserve">mając na uwadze, że </w:t>
      </w:r>
      <w:proofErr w:type="spellStart"/>
      <w:r w:rsidRPr="003E54E2">
        <w:t>Péter</w:t>
      </w:r>
      <w:proofErr w:type="spellEnd"/>
      <w:r w:rsidRPr="003E54E2">
        <w:t xml:space="preserve"> </w:t>
      </w:r>
      <w:proofErr w:type="spellStart"/>
      <w:r w:rsidRPr="003E54E2">
        <w:t>Magyar</w:t>
      </w:r>
      <w:proofErr w:type="spellEnd"/>
      <w:r w:rsidRPr="003E54E2">
        <w:t xml:space="preserve"> </w:t>
      </w:r>
      <w:r w:rsidRPr="003E54E2">
        <w:rPr>
          <w:shd w:val="clear" w:color="auto" w:fill="FFFFFF"/>
        </w:rPr>
        <w:t>został wybrany w wyborach europejskich w czerwcu 2024 r.</w:t>
      </w:r>
      <w:r w:rsidRPr="003E54E2">
        <w:t xml:space="preserve">, a </w:t>
      </w:r>
      <w:r w:rsidRPr="003E54E2">
        <w:rPr>
          <w:shd w:val="clear" w:color="auto" w:fill="FFFFFF"/>
        </w:rPr>
        <w:t xml:space="preserve">w momencie </w:t>
      </w:r>
      <w:r w:rsidR="00282703">
        <w:rPr>
          <w:shd w:val="clear" w:color="auto" w:fill="FFFFFF"/>
        </w:rPr>
        <w:t>wniesienia</w:t>
      </w:r>
      <w:r w:rsidR="00282703" w:rsidRPr="003E54E2">
        <w:rPr>
          <w:shd w:val="clear" w:color="auto" w:fill="FFFFFF"/>
        </w:rPr>
        <w:t xml:space="preserve"> </w:t>
      </w:r>
      <w:r w:rsidRPr="003E54E2">
        <w:rPr>
          <w:shd w:val="clear" w:color="auto" w:fill="FFFFFF"/>
        </w:rPr>
        <w:t xml:space="preserve">przeciwko niemu </w:t>
      </w:r>
      <w:r w:rsidR="00282703">
        <w:rPr>
          <w:shd w:val="clear" w:color="auto" w:fill="FFFFFF"/>
        </w:rPr>
        <w:t xml:space="preserve">powództwa karnego </w:t>
      </w:r>
      <w:r w:rsidRPr="003E54E2">
        <w:rPr>
          <w:shd w:val="clear" w:color="auto" w:fill="FFFFFF"/>
        </w:rPr>
        <w:t>był w trakcie kampanii wyborczej przed wyborami do Parlamentu Europejskiego</w:t>
      </w:r>
      <w:r w:rsidRPr="003E54E2">
        <w:t>;</w:t>
      </w:r>
    </w:p>
    <w:p w14:paraId="50FA2DB2" w14:textId="2D6D2BEA" w:rsidR="00FC53F0" w:rsidRPr="003E54E2" w:rsidRDefault="00FC53F0" w:rsidP="00FC53F0">
      <w:pPr>
        <w:pStyle w:val="NormalHanging12a"/>
        <w:widowControl/>
      </w:pPr>
      <w:r w:rsidRPr="003E54E2">
        <w:t>D.</w:t>
      </w:r>
      <w:r w:rsidRPr="003E54E2">
        <w:tab/>
        <w:t>mając na uwadze, że zarzucany czyn</w:t>
      </w:r>
      <w:r w:rsidR="00282703">
        <w:t xml:space="preserve"> nie stanowi</w:t>
      </w:r>
      <w:r w:rsidRPr="003E54E2">
        <w:t xml:space="preserve"> i późniejszy wniosek o uchylenie immunitetu nie dotycz</w:t>
      </w:r>
      <w:r w:rsidR="00282703">
        <w:t>y</w:t>
      </w:r>
      <w:r w:rsidRPr="003E54E2">
        <w:t xml:space="preserve"> opinii ani stanowiska zajętego przez </w:t>
      </w:r>
      <w:proofErr w:type="spellStart"/>
      <w:r w:rsidRPr="003E54E2">
        <w:t>Pétera</w:t>
      </w:r>
      <w:proofErr w:type="spellEnd"/>
      <w:r w:rsidRPr="003E54E2">
        <w:t> </w:t>
      </w:r>
      <w:proofErr w:type="spellStart"/>
      <w:r w:rsidRPr="003E54E2">
        <w:t>Magyara</w:t>
      </w:r>
      <w:proofErr w:type="spellEnd"/>
      <w:r w:rsidRPr="003E54E2">
        <w:t xml:space="preserve"> w głosowaniu w czasie wykonywania przezeń obowiązków posła w rozumieniu art. 8 Protokołu nr 7 w sprawie przywilejów i immunitetów Unii Europejskiej;</w:t>
      </w:r>
    </w:p>
    <w:p w14:paraId="28B7F010" w14:textId="503A6E1F" w:rsidR="00FC53F0" w:rsidRPr="003E54E2" w:rsidRDefault="00FC53F0" w:rsidP="00FC53F0">
      <w:pPr>
        <w:pStyle w:val="NormalHanging12a"/>
        <w:widowControl/>
      </w:pPr>
      <w:r w:rsidRPr="003E54E2">
        <w:t>E.</w:t>
      </w:r>
      <w:r w:rsidRPr="003E54E2">
        <w:tab/>
        <w:t xml:space="preserve">mając na uwadze, że zgodnie z art. 9 akapit pierwszy lit. a) Protokołu nr 7 w sprawie przywilejów i immunitetów Unii Europejskiej posłowie do Parlamentu Europejskiego korzystają na terytorium swoich państw z immunitetów przyznawanych członkom </w:t>
      </w:r>
      <w:r w:rsidR="00282703">
        <w:t xml:space="preserve">ich </w:t>
      </w:r>
      <w:r w:rsidRPr="003E54E2">
        <w:t>parlamentu;</w:t>
      </w:r>
    </w:p>
    <w:p w14:paraId="33816CF5" w14:textId="4A68C268" w:rsidR="00FC53F0" w:rsidRDefault="00FC53F0" w:rsidP="00FC53F0">
      <w:pPr>
        <w:pStyle w:val="NormalHanging12a"/>
        <w:rPr>
          <w:color w:val="000000"/>
          <w:shd w:val="clear" w:color="auto" w:fill="FFFFFF"/>
        </w:rPr>
      </w:pPr>
      <w:r w:rsidRPr="003E54E2">
        <w:t>F.</w:t>
      </w:r>
      <w:r w:rsidRPr="003E54E2">
        <w:tab/>
        <w:t xml:space="preserve">mając na uwadze, że </w:t>
      </w:r>
      <w:r w:rsidRPr="003E54E2">
        <w:rPr>
          <w:color w:val="000000"/>
          <w:shd w:val="clear" w:color="auto" w:fill="FFFFFF"/>
        </w:rPr>
        <w:t>zgodnie z art. 4 ust. 2 węgierskiej ustawy zasadniczej posłom do węgierskiego parlamentu przysługuje immunitet</w:t>
      </w:r>
      <w:r w:rsidRPr="003E54E2">
        <w:t>;</w:t>
      </w:r>
      <w:r w:rsidRPr="003E54E2">
        <w:rPr>
          <w:color w:val="000000"/>
          <w:shd w:val="clear" w:color="auto" w:fill="FFFFFF"/>
        </w:rPr>
        <w:t xml:space="preserve"> mając na uwadze, że zgodnie z § 79 ust. 2 ustawy nr XXXVI z 2012 r. o Zgromadzeniu Narodowym</w:t>
      </w:r>
      <w:r w:rsidRPr="003E54E2">
        <w:t xml:space="preserve"> osobie prawomocnie zarejestrowanej jako kandydat przysługuje taki sam immunitet jak posłom do czasu, gdy wynik wyborów stanie się ostateczny i wiążący, oraz mając na uwadze, że w każdym przypadku zgodnie z § 79 ust. 1 tej ustawy posłom przysługuje immunitet od dnia ich wyboru; </w:t>
      </w:r>
      <w:r w:rsidRPr="003E54E2">
        <w:rPr>
          <w:color w:val="000000"/>
          <w:shd w:val="clear" w:color="auto" w:fill="FFFFFF"/>
        </w:rPr>
        <w:t xml:space="preserve">mając na uwadze, że zgodnie z § 74 ust. 1 węgierskiej ustawy nr XXXVI z 2012 r. o Zgromadzeniu Narodowym, można wszcząć lub prowadzić postępowanie karne lub – w przypadku immunitetu, którego w danej sprawie nie można się zrzec – postępowanie w sprawie o wykroczenie oraz zastosować środki przymusu wobec posła </w:t>
      </w:r>
      <w:r w:rsidR="00282703">
        <w:rPr>
          <w:color w:val="000000"/>
          <w:shd w:val="clear" w:color="auto" w:fill="FFFFFF"/>
        </w:rPr>
        <w:t xml:space="preserve">w ramach postępowania karnego </w:t>
      </w:r>
      <w:r w:rsidRPr="003E54E2">
        <w:rPr>
          <w:color w:val="000000"/>
          <w:shd w:val="clear" w:color="auto" w:fill="FFFFFF"/>
        </w:rPr>
        <w:t>tylko za uprzednią zgodą Zgromadzenia Narodowego;</w:t>
      </w:r>
    </w:p>
    <w:p w14:paraId="5577E9E7" w14:textId="2B17A295" w:rsidR="00AB546F" w:rsidRPr="003E54E2" w:rsidRDefault="00AB546F" w:rsidP="00FC53F0">
      <w:pPr>
        <w:pStyle w:val="NormalHanging12a"/>
      </w:pPr>
      <w:r>
        <w:t>G</w:t>
      </w:r>
      <w:r w:rsidRPr="003E54E2">
        <w:t>.</w:t>
      </w:r>
      <w:r w:rsidRPr="003E54E2">
        <w:tab/>
        <w:t xml:space="preserve">mając na uwadze, że zgodnie z art. 5 ust. 2 Regulaminu immunitet parlamentarny nie jest osobistym przywilejem posła, lecz gwarancją niezależności Parlamentu </w:t>
      </w:r>
      <w:r w:rsidR="00830ACC">
        <w:t xml:space="preserve">Europejskiego </w:t>
      </w:r>
      <w:r w:rsidRPr="003E54E2">
        <w:t>jako całości oraz jego posłów;</w:t>
      </w:r>
    </w:p>
    <w:p w14:paraId="073DB000" w14:textId="544B1747" w:rsidR="00FC53F0" w:rsidRPr="003E54E2" w:rsidRDefault="00AB546F" w:rsidP="00FC53F0">
      <w:pPr>
        <w:pStyle w:val="NormalHanging12a"/>
        <w:widowControl/>
      </w:pPr>
      <w:r>
        <w:t>H</w:t>
      </w:r>
      <w:r w:rsidR="00FC53F0" w:rsidRPr="003E54E2">
        <w:t>.</w:t>
      </w:r>
      <w:r w:rsidR="00FC53F0" w:rsidRPr="003E54E2">
        <w:tab/>
        <w:t xml:space="preserve">mając na uwadze, że immunitet </w:t>
      </w:r>
      <w:r w:rsidR="00282703">
        <w:t>określony w protokole nr 7 w sprawie przywilejów i immunitetów Unii Europejskiej</w:t>
      </w:r>
      <w:r w:rsidR="00282703" w:rsidRPr="003E54E2">
        <w:t xml:space="preserve"> </w:t>
      </w:r>
      <w:r w:rsidR="00FC53F0" w:rsidRPr="003E54E2">
        <w:t xml:space="preserve">ma chronić Parlament i posłów do niego przed </w:t>
      </w:r>
      <w:r w:rsidR="00FC53F0" w:rsidRPr="003E54E2">
        <w:lastRenderedPageBreak/>
        <w:t>postępowaniami sądowymi w związku z działaniami podejmowanymi w ramach wykonywania obowiązków parlamentarnych i niemożliwych do oddzielenia od tych obowiązków;</w:t>
      </w:r>
    </w:p>
    <w:p w14:paraId="64959DEE" w14:textId="38C157A7" w:rsidR="00FC53F0" w:rsidRPr="003E54E2" w:rsidRDefault="00FC53F0" w:rsidP="00FC53F0">
      <w:pPr>
        <w:pStyle w:val="NormalHanging12a"/>
        <w:widowControl/>
      </w:pPr>
    </w:p>
    <w:p w14:paraId="5AD89A90" w14:textId="77777777" w:rsidR="00FC53F0" w:rsidRPr="003E54E2" w:rsidRDefault="00FC53F0" w:rsidP="00FC53F0">
      <w:pPr>
        <w:pStyle w:val="NormalHanging12a"/>
      </w:pPr>
      <w:r w:rsidRPr="003E54E2">
        <w:t>I.</w:t>
      </w:r>
      <w:r w:rsidRPr="003E54E2">
        <w:tab/>
        <w:t>mając na uwadze, że z orzecznictwa Trybunału Sprawiedliwości Unii Europejskiej wynika, iż Parlament dysponuje „bardzo szerokim zakresem uznania co do kierunku, jaki zamierza nadać decyzji w następstwie wniosku o uchylenie immunitetu (...), ze względu na polityczny charakter takiej decyzji”</w:t>
      </w:r>
      <w:r w:rsidRPr="003E54E2">
        <w:rPr>
          <w:vertAlign w:val="superscript"/>
        </w:rPr>
        <w:footnoteReference w:id="2"/>
      </w:r>
      <w:r w:rsidRPr="003E54E2">
        <w:t>;</w:t>
      </w:r>
    </w:p>
    <w:p w14:paraId="42AE5DC1" w14:textId="562355A0" w:rsidR="00FC53F0" w:rsidRPr="003E54E2" w:rsidRDefault="00FC53F0" w:rsidP="00FC53F0">
      <w:pPr>
        <w:pStyle w:val="NormalHanging12a"/>
        <w:widowControl/>
      </w:pPr>
      <w:r w:rsidRPr="003E54E2">
        <w:t>J.</w:t>
      </w:r>
      <w:r w:rsidRPr="003E54E2">
        <w:tab/>
      </w:r>
      <w:r w:rsidRPr="003E54E2">
        <w:rPr>
          <w:rStyle w:val="doceo-font-family-base"/>
          <w:color w:val="1E1E1F"/>
        </w:rPr>
        <w:t xml:space="preserve">mając na uwadze, że </w:t>
      </w:r>
      <w:proofErr w:type="spellStart"/>
      <w:r w:rsidRPr="003E54E2">
        <w:rPr>
          <w:rStyle w:val="doceo-font-family-base"/>
          <w:color w:val="1E1E1F"/>
        </w:rPr>
        <w:t>Péter</w:t>
      </w:r>
      <w:proofErr w:type="spellEnd"/>
      <w:r w:rsidRPr="003E54E2">
        <w:rPr>
          <w:rStyle w:val="doceo-font-family-base"/>
          <w:color w:val="1E1E1F"/>
        </w:rPr>
        <w:t xml:space="preserve"> </w:t>
      </w:r>
      <w:proofErr w:type="spellStart"/>
      <w:r w:rsidRPr="003E54E2">
        <w:rPr>
          <w:rStyle w:val="doceo-font-family-base"/>
          <w:color w:val="1E1E1F"/>
        </w:rPr>
        <w:t>Magyar</w:t>
      </w:r>
      <w:proofErr w:type="spellEnd"/>
      <w:r w:rsidRPr="003E54E2">
        <w:t xml:space="preserve"> jest przewodniczącym partii TISZA („</w:t>
      </w:r>
      <w:proofErr w:type="spellStart"/>
      <w:r w:rsidRPr="003E54E2">
        <w:t>Tisztelet</w:t>
      </w:r>
      <w:proofErr w:type="spellEnd"/>
      <w:r w:rsidRPr="003E54E2">
        <w:t xml:space="preserve"> </w:t>
      </w:r>
      <w:proofErr w:type="spellStart"/>
      <w:r w:rsidRPr="003E54E2">
        <w:t>és</w:t>
      </w:r>
      <w:proofErr w:type="spellEnd"/>
      <w:r w:rsidRPr="003E54E2">
        <w:t xml:space="preserve"> </w:t>
      </w:r>
      <w:proofErr w:type="spellStart"/>
      <w:r w:rsidRPr="003E54E2">
        <w:t>Szabadság</w:t>
      </w:r>
      <w:proofErr w:type="spellEnd"/>
      <w:r w:rsidRPr="003E54E2">
        <w:t xml:space="preserve"> </w:t>
      </w:r>
      <w:proofErr w:type="spellStart"/>
      <w:r w:rsidRPr="003E54E2">
        <w:t>Párt</w:t>
      </w:r>
      <w:proofErr w:type="spellEnd"/>
      <w:r w:rsidRPr="003E54E2">
        <w:t>”), a także głównym kandydatem tej partii w wyborach europejskich w 2024 r.</w:t>
      </w:r>
      <w:r w:rsidRPr="003E54E2">
        <w:rPr>
          <w:rStyle w:val="doceo-font-family-base"/>
          <w:color w:val="1E1E1F"/>
        </w:rPr>
        <w:t xml:space="preserve">; </w:t>
      </w:r>
      <w:r w:rsidRPr="003E54E2">
        <w:t xml:space="preserve">mając na uwadze, że ruch polityczny „Mi </w:t>
      </w:r>
      <w:proofErr w:type="spellStart"/>
      <w:r w:rsidRPr="003E54E2">
        <w:t>Hazánk</w:t>
      </w:r>
      <w:proofErr w:type="spellEnd"/>
      <w:r w:rsidRPr="003E54E2">
        <w:t xml:space="preserve"> </w:t>
      </w:r>
      <w:proofErr w:type="spellStart"/>
      <w:r w:rsidRPr="003E54E2">
        <w:t>Mozgalom</w:t>
      </w:r>
      <w:proofErr w:type="spellEnd"/>
      <w:r w:rsidRPr="003E54E2">
        <w:t xml:space="preserve">” (Ruch Nasza Ojczyzna) również uczestniczył w wyborach europejskich w 2024 r. i w związku z tym można go uznać za bezpośredniego konkurenta politycznego </w:t>
      </w:r>
      <w:proofErr w:type="spellStart"/>
      <w:r w:rsidRPr="003E54E2">
        <w:rPr>
          <w:rStyle w:val="doceo-font-family-base"/>
          <w:color w:val="1E1E1F"/>
        </w:rPr>
        <w:t>Pétera</w:t>
      </w:r>
      <w:proofErr w:type="spellEnd"/>
      <w:r w:rsidRPr="003E54E2">
        <w:rPr>
          <w:rStyle w:val="doceo-font-family-base"/>
          <w:color w:val="1E1E1F"/>
        </w:rPr>
        <w:t xml:space="preserve"> </w:t>
      </w:r>
      <w:proofErr w:type="spellStart"/>
      <w:r w:rsidRPr="003E54E2">
        <w:rPr>
          <w:rStyle w:val="doceo-font-family-base"/>
          <w:color w:val="1E1E1F"/>
        </w:rPr>
        <w:t>Magyara</w:t>
      </w:r>
      <w:proofErr w:type="spellEnd"/>
      <w:r w:rsidRPr="003E54E2">
        <w:t>; mając na uwadze, że konkurenci polityczni podlegają zazwyczaj zaostrzonej krytyce i polemice w debacie politycznej w porównaniu z obywatelami, którzy nie są czynni politycznie</w:t>
      </w:r>
      <w:r w:rsidRPr="003E54E2">
        <w:rPr>
          <w:rStyle w:val="doceo-font-family-base"/>
          <w:color w:val="1E1E1F"/>
        </w:rPr>
        <w:t xml:space="preserve">; mając na uwadze, że wydaje się, iż zgodnie z prawem węgierskim sprawy o zniesławienie mogą być </w:t>
      </w:r>
      <w:r w:rsidR="00282703">
        <w:rPr>
          <w:rStyle w:val="doceo-font-family-base"/>
          <w:color w:val="1E1E1F"/>
        </w:rPr>
        <w:t>prowadzone</w:t>
      </w:r>
      <w:r w:rsidR="00282703" w:rsidRPr="003E54E2">
        <w:rPr>
          <w:rStyle w:val="doceo-font-family-base"/>
          <w:color w:val="1E1E1F"/>
        </w:rPr>
        <w:t xml:space="preserve"> </w:t>
      </w:r>
      <w:r w:rsidRPr="003E54E2">
        <w:rPr>
          <w:rStyle w:val="doceo-font-family-base"/>
          <w:color w:val="1E1E1F"/>
        </w:rPr>
        <w:t xml:space="preserve">zarówno </w:t>
      </w:r>
      <w:r w:rsidR="00282703">
        <w:rPr>
          <w:rStyle w:val="doceo-font-family-base"/>
          <w:color w:val="1E1E1F"/>
        </w:rPr>
        <w:t>na podstawie prawa</w:t>
      </w:r>
      <w:r w:rsidRPr="003E54E2">
        <w:rPr>
          <w:rStyle w:val="doceo-font-family-base"/>
          <w:color w:val="1E1E1F"/>
        </w:rPr>
        <w:t xml:space="preserve"> karnego, jak i </w:t>
      </w:r>
      <w:r w:rsidR="00282703">
        <w:rPr>
          <w:rStyle w:val="doceo-font-family-base"/>
          <w:color w:val="1E1E1F"/>
        </w:rPr>
        <w:t>na podstawie prawa</w:t>
      </w:r>
      <w:r w:rsidRPr="003E54E2">
        <w:rPr>
          <w:rStyle w:val="doceo-font-family-base"/>
          <w:color w:val="1E1E1F"/>
        </w:rPr>
        <w:t xml:space="preserve"> cywilnego, które pociągają za sobą </w:t>
      </w:r>
      <w:r w:rsidR="00282703">
        <w:rPr>
          <w:rStyle w:val="doceo-font-family-base"/>
          <w:color w:val="1E1E1F"/>
        </w:rPr>
        <w:t>znaczne różnice w odpowiednich skutkach</w:t>
      </w:r>
      <w:r w:rsidRPr="003E54E2">
        <w:rPr>
          <w:rStyle w:val="doceo-font-family-base"/>
          <w:color w:val="1E1E1F"/>
        </w:rPr>
        <w:t xml:space="preserve"> prawn</w:t>
      </w:r>
      <w:r w:rsidR="00282703">
        <w:rPr>
          <w:rStyle w:val="doceo-font-family-base"/>
          <w:color w:val="1E1E1F"/>
        </w:rPr>
        <w:t>ych</w:t>
      </w:r>
      <w:r w:rsidRPr="003E54E2">
        <w:rPr>
          <w:rStyle w:val="doceo-font-family-base"/>
          <w:color w:val="1E1E1F"/>
        </w:rPr>
        <w:t xml:space="preserve">, w tym w kwestii pozbawienia wolności; mając na uwadze, że w niniejszej sprawie wybór drogi karnej budzi wątpliwości co do celu postępowania, który może wykraczać poza uprawnione żądanie naprawienia podnoszonej szkody, i pozwala wierzyć, że zamiarem stojącym za wszczęciem postępowania nie jest rzeczone uprawnione żądanie, lecz w rzeczywistości zmierza ono do naruszenia dobrego imienia </w:t>
      </w:r>
      <w:proofErr w:type="spellStart"/>
      <w:r w:rsidRPr="003E54E2">
        <w:rPr>
          <w:rStyle w:val="doceo-font-family-base"/>
          <w:color w:val="1E1E1F"/>
        </w:rPr>
        <w:t>Pétera</w:t>
      </w:r>
      <w:proofErr w:type="spellEnd"/>
      <w:r w:rsidRPr="003E54E2">
        <w:rPr>
          <w:rStyle w:val="doceo-font-family-base"/>
          <w:color w:val="1E1E1F"/>
        </w:rPr>
        <w:t xml:space="preserve"> </w:t>
      </w:r>
      <w:proofErr w:type="spellStart"/>
      <w:r w:rsidRPr="003E54E2">
        <w:rPr>
          <w:rStyle w:val="doceo-font-family-base"/>
          <w:color w:val="1E1E1F"/>
        </w:rPr>
        <w:t>Magyara</w:t>
      </w:r>
      <w:proofErr w:type="spellEnd"/>
      <w:r w:rsidRPr="003E54E2">
        <w:rPr>
          <w:rStyle w:val="doceo-font-family-base"/>
          <w:color w:val="1E1E1F"/>
        </w:rPr>
        <w:t xml:space="preserve"> jako posła do Parlamentu Europejskiego</w:t>
      </w:r>
      <w:r w:rsidRPr="003E54E2">
        <w:t>;</w:t>
      </w:r>
    </w:p>
    <w:p w14:paraId="364F8DFB" w14:textId="77777777" w:rsidR="00FC53F0" w:rsidRPr="003E54E2" w:rsidRDefault="00FC53F0" w:rsidP="00FC53F0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3E54E2">
        <w:rPr>
          <w:rStyle w:val="doceo-font-family-base"/>
          <w:color w:val="1E1E1F"/>
        </w:rPr>
        <w:t>K.</w:t>
      </w:r>
      <w:r w:rsidRPr="003E54E2">
        <w:rPr>
          <w:rStyle w:val="doceo-font-family-base"/>
          <w:color w:val="1E1E1F"/>
        </w:rPr>
        <w:tab/>
        <w:t>mając na uwadze, że przedstawione powyżej elementy budzą poważne podejrzenia ewentualnego zamiaru zaszkodzenia działalności politycznej</w:t>
      </w:r>
      <w:r w:rsidRPr="003E54E2">
        <w:t xml:space="preserve"> </w:t>
      </w:r>
      <w:proofErr w:type="spellStart"/>
      <w:r w:rsidRPr="003E54E2">
        <w:t>Pétera</w:t>
      </w:r>
      <w:proofErr w:type="spellEnd"/>
      <w:r w:rsidRPr="003E54E2">
        <w:t xml:space="preserve"> </w:t>
      </w:r>
      <w:proofErr w:type="spellStart"/>
      <w:r w:rsidRPr="003E54E2">
        <w:t>Magyara</w:t>
      </w:r>
      <w:proofErr w:type="spellEnd"/>
      <w:r w:rsidRPr="003E54E2">
        <w:t xml:space="preserve">, </w:t>
      </w:r>
      <w:r w:rsidRPr="003E54E2">
        <w:rPr>
          <w:rStyle w:val="doceo-font-family-base"/>
          <w:color w:val="1E1E1F"/>
        </w:rPr>
        <w:t>a w szczególności jego działalności jako posła do Parlamentu Europejskiego</w:t>
      </w:r>
      <w:r w:rsidRPr="003E54E2">
        <w:t>;</w:t>
      </w:r>
    </w:p>
    <w:p w14:paraId="250699FF" w14:textId="77777777" w:rsidR="00FC53F0" w:rsidRPr="003E54E2" w:rsidRDefault="00FC53F0" w:rsidP="00FC53F0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3E54E2">
        <w:rPr>
          <w:rStyle w:val="doceo-font-family-base"/>
          <w:color w:val="1E1E1F"/>
        </w:rPr>
        <w:t>L.</w:t>
      </w:r>
      <w:r w:rsidRPr="003E54E2">
        <w:rPr>
          <w:rStyle w:val="doceo-font-family-base"/>
          <w:rFonts w:ascii="Helvetica" w:hAnsi="Helvetica"/>
          <w:color w:val="1E1E1F"/>
        </w:rPr>
        <w:tab/>
      </w:r>
      <w:r w:rsidRPr="003E54E2">
        <w:rPr>
          <w:rStyle w:val="doceo-font-family-base"/>
        </w:rPr>
        <w:t xml:space="preserve">mając na uwadze, że w związku z tym wydaje się, iż w rozpatrywanej sprawie istnieje </w:t>
      </w:r>
      <w:proofErr w:type="spellStart"/>
      <w:r w:rsidRPr="003E54E2">
        <w:rPr>
          <w:rStyle w:val="doceo-font-family-base"/>
        </w:rPr>
        <w:t>fumus</w:t>
      </w:r>
      <w:proofErr w:type="spellEnd"/>
      <w:r w:rsidRPr="003E54E2">
        <w:rPr>
          <w:rStyle w:val="doceo-font-family-base"/>
        </w:rPr>
        <w:t xml:space="preserve"> </w:t>
      </w:r>
      <w:proofErr w:type="spellStart"/>
      <w:r w:rsidRPr="003E54E2">
        <w:rPr>
          <w:rStyle w:val="doceo-font-family-base"/>
        </w:rPr>
        <w:t>persecutionis</w:t>
      </w:r>
      <w:proofErr w:type="spellEnd"/>
      <w:r w:rsidRPr="003E54E2">
        <w:rPr>
          <w:rStyle w:val="doceo-font-family-base"/>
        </w:rPr>
        <w:t>, tj. „konkretny dowód”</w:t>
      </w:r>
      <w:r w:rsidRPr="003E54E2">
        <w:rPr>
          <w:rStyle w:val="FootnoteReference"/>
          <w:color w:val="1E1E1F"/>
        </w:rPr>
        <w:footnoteReference w:id="3"/>
      </w:r>
      <w:r w:rsidRPr="003E54E2">
        <w:rPr>
          <w:rStyle w:val="doceo-font-family-base"/>
        </w:rPr>
        <w:t xml:space="preserve"> wskazujący na to, że postępowanie sądowe wszczęto z zamiarem zaszkodzenia działalności politycznej </w:t>
      </w:r>
      <w:proofErr w:type="spellStart"/>
      <w:r w:rsidRPr="003E54E2">
        <w:t>Pétera</w:t>
      </w:r>
      <w:proofErr w:type="spellEnd"/>
      <w:r w:rsidRPr="003E54E2">
        <w:t> </w:t>
      </w:r>
      <w:proofErr w:type="spellStart"/>
      <w:r w:rsidRPr="003E54E2">
        <w:t>Magyara</w:t>
      </w:r>
      <w:proofErr w:type="spellEnd"/>
      <w:r w:rsidRPr="003E54E2">
        <w:rPr>
          <w:rStyle w:val="doceo-font-family-base"/>
          <w:color w:val="1E1E1F"/>
        </w:rPr>
        <w:t xml:space="preserve"> za pomocą wniosku o uchylenie immunitetu, w szczególności mając na względzie okoliczność, że w wyborach europejskich w 2024 r. otwierał on listę swojej partii politycznej</w:t>
      </w:r>
      <w:r w:rsidRPr="003E54E2">
        <w:t>;</w:t>
      </w:r>
    </w:p>
    <w:p w14:paraId="094E8DE1" w14:textId="77777777" w:rsidR="00FC53F0" w:rsidRPr="003E54E2" w:rsidRDefault="00FC53F0" w:rsidP="00FC53F0">
      <w:pPr>
        <w:pStyle w:val="NormalHanging12a"/>
        <w:widowControl/>
      </w:pPr>
      <w:r w:rsidRPr="003E54E2">
        <w:t>M.</w:t>
      </w:r>
      <w:r w:rsidRPr="003E54E2">
        <w:tab/>
        <w:t>mając na uwadze, że w procedurze uchylenia immunitetu Parlamentu nie można uznawać za sąd, a posła – za oskarżonego</w:t>
      </w:r>
      <w:r w:rsidRPr="003E54E2">
        <w:rPr>
          <w:vertAlign w:val="superscript"/>
        </w:rPr>
        <w:footnoteReference w:id="4"/>
      </w:r>
      <w:r w:rsidRPr="003E54E2">
        <w:t>;</w:t>
      </w:r>
    </w:p>
    <w:p w14:paraId="25A593BB" w14:textId="77777777" w:rsidR="00FC53F0" w:rsidRPr="003E54E2" w:rsidRDefault="00FC53F0" w:rsidP="00FC53F0">
      <w:pPr>
        <w:pStyle w:val="NormalHanging12a"/>
      </w:pPr>
      <w:r w:rsidRPr="003E54E2">
        <w:t>1.</w:t>
      </w:r>
      <w:r w:rsidRPr="003E54E2">
        <w:tab/>
        <w:t xml:space="preserve">podejmuje decyzję o odmowie uchylenia immunitetu </w:t>
      </w:r>
      <w:proofErr w:type="spellStart"/>
      <w:r w:rsidRPr="003E54E2">
        <w:t>Pétera</w:t>
      </w:r>
      <w:proofErr w:type="spellEnd"/>
      <w:r w:rsidRPr="003E54E2">
        <w:t> </w:t>
      </w:r>
      <w:proofErr w:type="spellStart"/>
      <w:r w:rsidRPr="003E54E2">
        <w:t>Magyara</w:t>
      </w:r>
      <w:proofErr w:type="spellEnd"/>
      <w:r w:rsidRPr="003E54E2">
        <w:t>;</w:t>
      </w:r>
    </w:p>
    <w:p w14:paraId="5C21401A" w14:textId="3E8F9085" w:rsidR="003E54E2" w:rsidRPr="003E54E2" w:rsidRDefault="00FC53F0" w:rsidP="003E54E2">
      <w:pPr>
        <w:pStyle w:val="NormalHanging12a"/>
      </w:pPr>
      <w:r w:rsidRPr="003E54E2">
        <w:t>2.</w:t>
      </w:r>
      <w:r w:rsidRPr="003E54E2">
        <w:tab/>
        <w:t xml:space="preserve">zobowiązuje swoją przewodniczącą do bezzwłocznego przekazania niniejszej decyzji i </w:t>
      </w:r>
      <w:r w:rsidRPr="003E54E2">
        <w:lastRenderedPageBreak/>
        <w:t xml:space="preserve">sprawozdania właściwej komisji właściwym organom Węgier i </w:t>
      </w:r>
      <w:proofErr w:type="spellStart"/>
      <w:r w:rsidRPr="003E54E2">
        <w:t>Péterowi</w:t>
      </w:r>
      <w:proofErr w:type="spellEnd"/>
      <w:r w:rsidRPr="003E54E2">
        <w:t> </w:t>
      </w:r>
      <w:proofErr w:type="spellStart"/>
      <w:r w:rsidRPr="003E54E2">
        <w:t>Magyarowi</w:t>
      </w:r>
      <w:proofErr w:type="spellEnd"/>
      <w:r w:rsidRPr="003E54E2">
        <w:t>.</w:t>
      </w:r>
    </w:p>
    <w:p w14:paraId="6192F2A9" w14:textId="2E2D7688" w:rsidR="00E365E1" w:rsidRPr="003E54E2" w:rsidRDefault="00E365E1" w:rsidP="008F7A4F"/>
    <w:sectPr w:rsidR="00E365E1" w:rsidRPr="003E54E2" w:rsidSect="003E54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B6ED7" w14:textId="77777777" w:rsidR="008F7A4F" w:rsidRPr="003E54E2" w:rsidRDefault="008F7A4F">
      <w:r w:rsidRPr="003E54E2">
        <w:separator/>
      </w:r>
    </w:p>
  </w:endnote>
  <w:endnote w:type="continuationSeparator" w:id="0">
    <w:p w14:paraId="2E5AAE0A" w14:textId="77777777" w:rsidR="008F7A4F" w:rsidRPr="003E54E2" w:rsidRDefault="008F7A4F">
      <w:r w:rsidRPr="003E54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E4240" w14:textId="77777777" w:rsidR="00064002" w:rsidRPr="003E54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CD479" w14:textId="77777777" w:rsidR="00064002" w:rsidRPr="003E54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20BFD" w14:textId="77777777" w:rsidR="00064002" w:rsidRPr="003E54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D913D" w14:textId="77777777" w:rsidR="008F7A4F" w:rsidRPr="003E54E2" w:rsidRDefault="008F7A4F">
      <w:r w:rsidRPr="003E54E2">
        <w:separator/>
      </w:r>
    </w:p>
  </w:footnote>
  <w:footnote w:type="continuationSeparator" w:id="0">
    <w:p w14:paraId="516BB04D" w14:textId="77777777" w:rsidR="008F7A4F" w:rsidRPr="003E54E2" w:rsidRDefault="008F7A4F">
      <w:r w:rsidRPr="003E54E2">
        <w:continuationSeparator/>
      </w:r>
    </w:p>
  </w:footnote>
  <w:footnote w:id="1">
    <w:p w14:paraId="12747C12" w14:textId="309373F6" w:rsidR="00FC53F0" w:rsidRPr="003E54E2" w:rsidRDefault="00FC53F0" w:rsidP="003E54E2">
      <w:pPr>
        <w:pStyle w:val="FootnoteText"/>
        <w:ind w:left="567" w:hanging="567"/>
        <w:rPr>
          <w:sz w:val="24"/>
          <w:lang w:val="pl-PL"/>
        </w:rPr>
      </w:pPr>
      <w:r w:rsidRPr="003E54E2">
        <w:rPr>
          <w:rStyle w:val="FootnoteReference"/>
          <w:sz w:val="24"/>
          <w:lang w:val="pl-PL"/>
        </w:rPr>
        <w:footnoteRef/>
      </w:r>
      <w:r w:rsidR="003E54E2" w:rsidRPr="003E54E2">
        <w:rPr>
          <w:sz w:val="24"/>
          <w:lang w:val="pl-PL"/>
        </w:rPr>
        <w:t xml:space="preserve"> </w:t>
      </w:r>
      <w:r w:rsidR="003E54E2" w:rsidRPr="003E54E2">
        <w:rPr>
          <w:sz w:val="24"/>
          <w:lang w:val="pl-PL"/>
        </w:rPr>
        <w:tab/>
      </w:r>
      <w:r w:rsidRPr="003E54E2">
        <w:rPr>
          <w:sz w:val="24"/>
          <w:lang w:val="pl-PL"/>
        </w:rPr>
        <w:t xml:space="preserve">Wyrok Trybunału Sprawiedliwości z 21 października 2008 r., </w:t>
      </w:r>
      <w:proofErr w:type="spellStart"/>
      <w:r w:rsidRPr="003E54E2">
        <w:rPr>
          <w:sz w:val="24"/>
          <w:lang w:val="pl-PL"/>
        </w:rPr>
        <w:t>Marra</w:t>
      </w:r>
      <w:proofErr w:type="spellEnd"/>
      <w:r w:rsidRPr="003E54E2">
        <w:rPr>
          <w:sz w:val="24"/>
          <w:lang w:val="pl-PL"/>
        </w:rPr>
        <w:t xml:space="preserve">, C-200/07 i C-201/07, ECLI:EU:C:2008:579; wyrok Sądu z 19 marca 2010 r., </w:t>
      </w:r>
      <w:proofErr w:type="spellStart"/>
      <w:r w:rsidRPr="003E54E2">
        <w:rPr>
          <w:sz w:val="24"/>
          <w:lang w:val="pl-PL"/>
        </w:rPr>
        <w:t>Gollnisch</w:t>
      </w:r>
      <w:proofErr w:type="spellEnd"/>
      <w:r w:rsidRPr="003E54E2">
        <w:rPr>
          <w:sz w:val="24"/>
          <w:lang w:val="pl-PL"/>
        </w:rPr>
        <w:t xml:space="preserve">/Parlament, T-42/06, ECLI:EU:T:2010:102; wyrok Trybunału Sprawiedliwości z 6 września 2011 r., </w:t>
      </w:r>
      <w:proofErr w:type="spellStart"/>
      <w:r w:rsidRPr="003E54E2">
        <w:rPr>
          <w:sz w:val="24"/>
          <w:lang w:val="pl-PL"/>
        </w:rPr>
        <w:t>Patriciello</w:t>
      </w:r>
      <w:proofErr w:type="spellEnd"/>
      <w:r w:rsidRPr="003E54E2">
        <w:rPr>
          <w:sz w:val="24"/>
          <w:lang w:val="pl-PL"/>
        </w:rPr>
        <w:t xml:space="preserve">, C-163/10, ECLI: EU:C:2011:543; wyrok Sądu z 17 stycznia 2013 r., </w:t>
      </w:r>
      <w:proofErr w:type="spellStart"/>
      <w:r w:rsidRPr="003E54E2">
        <w:rPr>
          <w:sz w:val="24"/>
          <w:lang w:val="pl-PL"/>
        </w:rPr>
        <w:t>Gollnisch</w:t>
      </w:r>
      <w:proofErr w:type="spellEnd"/>
      <w:r w:rsidRPr="003E54E2">
        <w:rPr>
          <w:sz w:val="24"/>
          <w:lang w:val="pl-PL"/>
        </w:rPr>
        <w:t xml:space="preserve">/Parlament, T-346/11 i T-347/11, ECLI:EU:T:2013:23; wyrok Trybunału Sprawiedliwości z 19 grudnia 2019 r., </w:t>
      </w:r>
      <w:proofErr w:type="spellStart"/>
      <w:r w:rsidRPr="003E54E2">
        <w:rPr>
          <w:sz w:val="24"/>
          <w:lang w:val="pl-PL"/>
        </w:rPr>
        <w:t>Junqueras</w:t>
      </w:r>
      <w:proofErr w:type="spellEnd"/>
      <w:r w:rsidRPr="003E54E2">
        <w:rPr>
          <w:sz w:val="24"/>
          <w:lang w:val="pl-PL"/>
        </w:rPr>
        <w:t xml:space="preserve"> </w:t>
      </w:r>
      <w:proofErr w:type="spellStart"/>
      <w:r w:rsidRPr="003E54E2">
        <w:rPr>
          <w:sz w:val="24"/>
          <w:lang w:val="pl-PL"/>
        </w:rPr>
        <w:t>Vies</w:t>
      </w:r>
      <w:proofErr w:type="spellEnd"/>
      <w:r w:rsidRPr="003E54E2">
        <w:rPr>
          <w:sz w:val="24"/>
          <w:lang w:val="pl-PL"/>
        </w:rPr>
        <w:t xml:space="preserve">, C-502/19, ECLI:EU:C:2019:1115; wyrok Sądu z 5 lipca 2023 r., </w:t>
      </w:r>
      <w:proofErr w:type="spellStart"/>
      <w:r w:rsidRPr="003E54E2">
        <w:rPr>
          <w:sz w:val="24"/>
          <w:lang w:val="pl-PL"/>
        </w:rPr>
        <w:t>Puigdemont</w:t>
      </w:r>
      <w:proofErr w:type="spellEnd"/>
      <w:r w:rsidRPr="003E54E2">
        <w:rPr>
          <w:sz w:val="24"/>
          <w:lang w:val="pl-PL"/>
        </w:rPr>
        <w:t xml:space="preserve"> i </w:t>
      </w:r>
      <w:proofErr w:type="spellStart"/>
      <w:r w:rsidRPr="003E54E2">
        <w:rPr>
          <w:sz w:val="24"/>
          <w:lang w:val="pl-PL"/>
        </w:rPr>
        <w:t>Casamajó</w:t>
      </w:r>
      <w:proofErr w:type="spellEnd"/>
      <w:r w:rsidRPr="003E54E2">
        <w:rPr>
          <w:sz w:val="24"/>
          <w:lang w:val="pl-PL"/>
        </w:rPr>
        <w:t xml:space="preserve"> i in./Parlament, T-272/21, ECLI:EU:T:2023:373.</w:t>
      </w:r>
    </w:p>
  </w:footnote>
  <w:footnote w:id="2">
    <w:p w14:paraId="19C86B6D" w14:textId="280C1F2C" w:rsidR="00FC53F0" w:rsidRPr="003E54E2" w:rsidRDefault="00FC53F0" w:rsidP="003E54E2">
      <w:pPr>
        <w:pStyle w:val="FootnoteText"/>
        <w:ind w:left="567" w:hanging="567"/>
        <w:rPr>
          <w:sz w:val="24"/>
          <w:lang w:val="pl-PL"/>
        </w:rPr>
      </w:pPr>
      <w:r w:rsidRPr="003E54E2">
        <w:rPr>
          <w:rStyle w:val="FootnoteReference"/>
          <w:sz w:val="24"/>
          <w:lang w:val="pl-PL"/>
        </w:rPr>
        <w:footnoteRef/>
      </w:r>
      <w:r w:rsidR="003E54E2" w:rsidRPr="003E54E2">
        <w:rPr>
          <w:sz w:val="24"/>
          <w:lang w:val="pl-PL"/>
        </w:rPr>
        <w:t xml:space="preserve"> </w:t>
      </w:r>
      <w:r w:rsidR="003E54E2" w:rsidRPr="003E54E2">
        <w:rPr>
          <w:sz w:val="24"/>
          <w:lang w:val="pl-PL"/>
        </w:rPr>
        <w:tab/>
      </w:r>
      <w:r w:rsidRPr="003E54E2">
        <w:rPr>
          <w:sz w:val="24"/>
          <w:lang w:val="pl-PL"/>
        </w:rPr>
        <w:t xml:space="preserve">Wyrok Sądu z 17 stycznia 2013 r., </w:t>
      </w:r>
      <w:proofErr w:type="spellStart"/>
      <w:r w:rsidRPr="003E54E2">
        <w:rPr>
          <w:sz w:val="24"/>
          <w:lang w:val="pl-PL"/>
        </w:rPr>
        <w:t>Gollnisch</w:t>
      </w:r>
      <w:proofErr w:type="spellEnd"/>
      <w:r w:rsidRPr="003E54E2">
        <w:rPr>
          <w:sz w:val="24"/>
          <w:lang w:val="pl-PL"/>
        </w:rPr>
        <w:t>/Parlament, T-346/11 i T-347/11, ECLI:EU:T:2013:23, pkt 59 i przytoczone orzecznictwo.</w:t>
      </w:r>
    </w:p>
  </w:footnote>
  <w:footnote w:id="3">
    <w:p w14:paraId="38CDF782" w14:textId="565637C2" w:rsidR="00FC53F0" w:rsidRPr="003E54E2" w:rsidRDefault="00FC53F0" w:rsidP="003E54E2">
      <w:pPr>
        <w:pStyle w:val="FootnoteText"/>
        <w:ind w:left="567" w:hanging="567"/>
        <w:rPr>
          <w:sz w:val="24"/>
          <w:lang w:val="pl-PL"/>
        </w:rPr>
      </w:pPr>
      <w:r w:rsidRPr="003E54E2">
        <w:rPr>
          <w:rStyle w:val="FootnoteReference"/>
          <w:sz w:val="24"/>
          <w:lang w:val="pl-PL"/>
        </w:rPr>
        <w:footnoteRef/>
      </w:r>
      <w:r w:rsidR="003E54E2" w:rsidRPr="003E54E2">
        <w:rPr>
          <w:sz w:val="24"/>
          <w:lang w:val="pl-PL"/>
        </w:rPr>
        <w:t xml:space="preserve"> </w:t>
      </w:r>
      <w:r w:rsidR="003E54E2" w:rsidRPr="003E54E2">
        <w:rPr>
          <w:sz w:val="24"/>
          <w:lang w:val="pl-PL"/>
        </w:rPr>
        <w:tab/>
      </w:r>
      <w:r w:rsidRPr="003E54E2">
        <w:rPr>
          <w:sz w:val="24"/>
          <w:lang w:val="pl-PL"/>
        </w:rPr>
        <w:t xml:space="preserve">Wyrok Trybunału Sprawiedliwości z 17 września 2020 r., </w:t>
      </w:r>
      <w:proofErr w:type="spellStart"/>
      <w:r w:rsidRPr="003E54E2">
        <w:rPr>
          <w:sz w:val="24"/>
          <w:lang w:val="pl-PL"/>
        </w:rPr>
        <w:t>Troszczynski</w:t>
      </w:r>
      <w:proofErr w:type="spellEnd"/>
      <w:r w:rsidRPr="003E54E2">
        <w:rPr>
          <w:sz w:val="24"/>
          <w:lang w:val="pl-PL"/>
        </w:rPr>
        <w:t>/Parlament, C-12/19, ECLI:EU:C:2020:725, pkt 26.</w:t>
      </w:r>
    </w:p>
  </w:footnote>
  <w:footnote w:id="4">
    <w:p w14:paraId="509D17EF" w14:textId="2E14C42A" w:rsidR="00FC53F0" w:rsidRPr="003E54E2" w:rsidRDefault="00FC53F0" w:rsidP="003E54E2">
      <w:pPr>
        <w:pStyle w:val="FootnoteText"/>
        <w:ind w:left="567" w:hanging="567"/>
        <w:rPr>
          <w:sz w:val="24"/>
          <w:lang w:val="pl-PL"/>
        </w:rPr>
      </w:pPr>
      <w:r w:rsidRPr="003E54E2">
        <w:rPr>
          <w:rStyle w:val="FootnoteReference"/>
          <w:sz w:val="24"/>
          <w:lang w:val="pl-PL"/>
        </w:rPr>
        <w:footnoteRef/>
      </w:r>
      <w:r w:rsidR="003E54E2" w:rsidRPr="003E54E2">
        <w:rPr>
          <w:sz w:val="24"/>
          <w:lang w:val="pl-PL"/>
        </w:rPr>
        <w:t xml:space="preserve"> </w:t>
      </w:r>
      <w:r w:rsidR="003E54E2" w:rsidRPr="003E54E2">
        <w:rPr>
          <w:sz w:val="24"/>
          <w:lang w:val="pl-PL"/>
        </w:rPr>
        <w:tab/>
      </w:r>
      <w:r w:rsidRPr="003E54E2">
        <w:rPr>
          <w:sz w:val="24"/>
          <w:lang w:val="pl-PL"/>
        </w:rPr>
        <w:t xml:space="preserve">Wyrok Sądu z dnia 30 kwietnia 2019 r., </w:t>
      </w:r>
      <w:proofErr w:type="spellStart"/>
      <w:r w:rsidRPr="003E54E2">
        <w:rPr>
          <w:sz w:val="24"/>
          <w:lang w:val="pl-PL"/>
        </w:rPr>
        <w:t>Briois</w:t>
      </w:r>
      <w:proofErr w:type="spellEnd"/>
      <w:r w:rsidRPr="003E54E2">
        <w:rPr>
          <w:sz w:val="24"/>
          <w:lang w:val="pl-PL"/>
        </w:rPr>
        <w:t>/</w:t>
      </w:r>
      <w:proofErr w:type="spellStart"/>
      <w:r w:rsidRPr="003E54E2">
        <w:rPr>
          <w:sz w:val="24"/>
          <w:lang w:val="pl-PL"/>
        </w:rPr>
        <w:t>Parlement</w:t>
      </w:r>
      <w:proofErr w:type="spellEnd"/>
      <w:r w:rsidRPr="003E54E2">
        <w:rPr>
          <w:sz w:val="24"/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DE3D" w14:textId="77777777" w:rsidR="00064002" w:rsidRPr="003E54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1D9C7" w14:textId="77777777" w:rsidR="00064002" w:rsidRPr="003E54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61017" w14:textId="77777777" w:rsidR="00064002" w:rsidRPr="003E54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7086825">
    <w:abstractNumId w:val="9"/>
  </w:num>
  <w:num w:numId="2" w16cid:durableId="1668944865">
    <w:abstractNumId w:val="9"/>
  </w:num>
  <w:num w:numId="3" w16cid:durableId="2073691413">
    <w:abstractNumId w:val="7"/>
  </w:num>
  <w:num w:numId="4" w16cid:durableId="403837073">
    <w:abstractNumId w:val="7"/>
  </w:num>
  <w:num w:numId="5" w16cid:durableId="371272283">
    <w:abstractNumId w:val="6"/>
  </w:num>
  <w:num w:numId="6" w16cid:durableId="570894123">
    <w:abstractNumId w:val="6"/>
  </w:num>
  <w:num w:numId="7" w16cid:durableId="345912059">
    <w:abstractNumId w:val="5"/>
  </w:num>
  <w:num w:numId="8" w16cid:durableId="605430116">
    <w:abstractNumId w:val="5"/>
  </w:num>
  <w:num w:numId="9" w16cid:durableId="1099178603">
    <w:abstractNumId w:val="4"/>
  </w:num>
  <w:num w:numId="10" w16cid:durableId="1323462208">
    <w:abstractNumId w:val="4"/>
  </w:num>
  <w:num w:numId="11" w16cid:durableId="1133327196">
    <w:abstractNumId w:val="8"/>
  </w:num>
  <w:num w:numId="12" w16cid:durableId="1898591221">
    <w:abstractNumId w:val="8"/>
  </w:num>
  <w:num w:numId="13" w16cid:durableId="1008141618">
    <w:abstractNumId w:val="3"/>
  </w:num>
  <w:num w:numId="14" w16cid:durableId="404113151">
    <w:abstractNumId w:val="3"/>
  </w:num>
  <w:num w:numId="15" w16cid:durableId="193541311">
    <w:abstractNumId w:val="2"/>
  </w:num>
  <w:num w:numId="16" w16cid:durableId="713239459">
    <w:abstractNumId w:val="2"/>
  </w:num>
  <w:num w:numId="17" w16cid:durableId="632054627">
    <w:abstractNumId w:val="1"/>
  </w:num>
  <w:num w:numId="18" w16cid:durableId="1665090839">
    <w:abstractNumId w:val="1"/>
  </w:num>
  <w:num w:numId="19" w16cid:durableId="73826173">
    <w:abstractNumId w:val="0"/>
  </w:num>
  <w:num w:numId="20" w16cid:durableId="16930055">
    <w:abstractNumId w:val="0"/>
  </w:num>
  <w:num w:numId="21" w16cid:durableId="206726356">
    <w:abstractNumId w:val="9"/>
  </w:num>
  <w:num w:numId="22" w16cid:durableId="394864257">
    <w:abstractNumId w:val="7"/>
  </w:num>
  <w:num w:numId="23" w16cid:durableId="1400326425">
    <w:abstractNumId w:val="6"/>
  </w:num>
  <w:num w:numId="24" w16cid:durableId="198055110">
    <w:abstractNumId w:val="5"/>
  </w:num>
  <w:num w:numId="25" w16cid:durableId="1270891915">
    <w:abstractNumId w:val="4"/>
  </w:num>
  <w:num w:numId="26" w16cid:durableId="292954693">
    <w:abstractNumId w:val="8"/>
  </w:num>
  <w:num w:numId="27" w16cid:durableId="594674147">
    <w:abstractNumId w:val="3"/>
  </w:num>
  <w:num w:numId="28" w16cid:durableId="180823014">
    <w:abstractNumId w:val="2"/>
  </w:num>
  <w:num w:numId="29" w16cid:durableId="742217424">
    <w:abstractNumId w:val="1"/>
  </w:num>
  <w:num w:numId="30" w16cid:durableId="437066274">
    <w:abstractNumId w:val="0"/>
  </w:num>
  <w:num w:numId="31" w16cid:durableId="597449772">
    <w:abstractNumId w:val="9"/>
  </w:num>
  <w:num w:numId="32" w16cid:durableId="2107843597">
    <w:abstractNumId w:val="7"/>
  </w:num>
  <w:num w:numId="33" w16cid:durableId="916790000">
    <w:abstractNumId w:val="6"/>
  </w:num>
  <w:num w:numId="34" w16cid:durableId="2043242360">
    <w:abstractNumId w:val="5"/>
  </w:num>
  <w:num w:numId="35" w16cid:durableId="732315846">
    <w:abstractNumId w:val="4"/>
  </w:num>
  <w:num w:numId="36" w16cid:durableId="1906993276">
    <w:abstractNumId w:val="8"/>
  </w:num>
  <w:num w:numId="37" w16cid:durableId="571547688">
    <w:abstractNumId w:val="3"/>
  </w:num>
  <w:num w:numId="38" w16cid:durableId="344865624">
    <w:abstractNumId w:val="2"/>
  </w:num>
  <w:num w:numId="39" w16cid:durableId="501357543">
    <w:abstractNumId w:val="1"/>
  </w:num>
  <w:num w:numId="40" w16cid:durableId="1278027561">
    <w:abstractNumId w:val="0"/>
  </w:num>
  <w:num w:numId="41" w16cid:durableId="1098065442">
    <w:abstractNumId w:val="10"/>
  </w:num>
  <w:num w:numId="42" w16cid:durableId="277834235">
    <w:abstractNumId w:val="10"/>
  </w:num>
  <w:num w:numId="43" w16cid:durableId="1346326433">
    <w:abstractNumId w:val="10"/>
  </w:num>
  <w:num w:numId="44" w16cid:durableId="1050835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2/2025"/>
    <w:docVar w:name="dvlangue" w:val="PL"/>
    <w:docVar w:name="dvnumam" w:val="0"/>
    <w:docVar w:name="dvpe" w:val="775.580"/>
    <w:docVar w:name="dvrapporteur" w:val="Sprawozdawca: "/>
    <w:docVar w:name="dvtitre" w:val="Decyzja Parlamentu Europejskiego z dnia  2025 r. w sprawie wniosku o uchylenie immunitetu Pétera Magyara(2025/2096(IMM))"/>
  </w:docVars>
  <w:rsids>
    <w:rsidRoot w:val="008F7A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2703"/>
    <w:rsid w:val="002B18FE"/>
    <w:rsid w:val="002B5493"/>
    <w:rsid w:val="00336AF7"/>
    <w:rsid w:val="00343214"/>
    <w:rsid w:val="00361C00"/>
    <w:rsid w:val="00395FA1"/>
    <w:rsid w:val="003E15D4"/>
    <w:rsid w:val="003E54E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34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ACC"/>
    <w:rsid w:val="00842779"/>
    <w:rsid w:val="00865F67"/>
    <w:rsid w:val="00881A7B"/>
    <w:rsid w:val="008840E5"/>
    <w:rsid w:val="00887B3E"/>
    <w:rsid w:val="008C2AC6"/>
    <w:rsid w:val="008F7A4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46F"/>
    <w:rsid w:val="00AB6293"/>
    <w:rsid w:val="00AE0928"/>
    <w:rsid w:val="00AF3B82"/>
    <w:rsid w:val="00B12E95"/>
    <w:rsid w:val="00B16550"/>
    <w:rsid w:val="00B22876"/>
    <w:rsid w:val="00B51C5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3F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F6B8C"/>
  <w15:chartTrackingRefBased/>
  <w15:docId w15:val="{99040280-F08C-41AF-840A-E7981F474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C53F0"/>
    <w:pPr>
      <w:spacing w:after="240"/>
      <w:ind w:left="567" w:hanging="567"/>
    </w:pPr>
  </w:style>
  <w:style w:type="paragraph" w:customStyle="1" w:styleId="EPComma">
    <w:name w:val="EPComma"/>
    <w:basedOn w:val="Normal"/>
    <w:rsid w:val="00FC53F0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FC53F0"/>
  </w:style>
  <w:style w:type="paragraph" w:customStyle="1" w:styleId="doceo-line-height-base">
    <w:name w:val="doceo-line-height-base"/>
    <w:basedOn w:val="Normal"/>
    <w:rsid w:val="00FC53F0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AB546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2025-10-07T12:11:00Z</dcterms:created>
  <dcterms:modified xsi:type="dcterms:W3CDTF">2025-10-07T12:11:00Z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P10_TA(2025)0205_</vt:lpwstr>
  </property>
  <property fmtid="{D5CDD505-2E9C-101B-9397-08002B2CF9AE}" pid="4" name="&lt;Type&gt;">
    <vt:lpwstr>RR</vt:lpwstr>
  </property>
</Properties>
</file>