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1105" w14:paraId="1EEC8C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9277F9" w14:textId="77777777" w:rsidR="00751A4A" w:rsidRPr="007D1105" w:rsidRDefault="00E91985" w:rsidP="0010095E">
            <w:pPr>
              <w:pStyle w:val="EPName"/>
            </w:pPr>
            <w:r w:rsidRPr="007D1105">
              <w:t xml:space="preserve">Parlamento </w:t>
            </w:r>
            <w:proofErr w:type="gramStart"/>
            <w:r w:rsidRPr="007D1105">
              <w:t>Europeu</w:t>
            </w:r>
            <w:proofErr w:type="gramEnd"/>
          </w:p>
          <w:p w14:paraId="411160A7" w14:textId="77777777" w:rsidR="00751A4A" w:rsidRPr="007D11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1105">
              <w:t>2024</w:t>
            </w:r>
            <w:r w:rsidR="00817416" w:rsidRPr="007D1105">
              <w:t>-202</w:t>
            </w:r>
            <w:r w:rsidRPr="007D1105">
              <w:t>9</w:t>
            </w:r>
          </w:p>
        </w:tc>
        <w:tc>
          <w:tcPr>
            <w:tcW w:w="2268" w:type="dxa"/>
            <w:shd w:val="clear" w:color="auto" w:fill="auto"/>
          </w:tcPr>
          <w:p w14:paraId="52B5AE4C" w14:textId="77777777" w:rsidR="00751A4A" w:rsidRPr="007D1105" w:rsidRDefault="00187494" w:rsidP="0010095E">
            <w:pPr>
              <w:pStyle w:val="EPLogo"/>
            </w:pPr>
            <w:r w:rsidRPr="007D1105">
              <w:rPr>
                <w:noProof/>
                <w:lang w:eastAsia="ja-JP"/>
              </w:rPr>
              <w:drawing>
                <wp:inline distT="0" distB="0" distL="0" distR="0" wp14:anchorId="461DF75B" wp14:editId="06A744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D02983" w14:textId="77777777" w:rsidR="00D058B8" w:rsidRPr="007D1105" w:rsidRDefault="00D058B8" w:rsidP="004C5D52">
      <w:pPr>
        <w:pStyle w:val="LineTop"/>
      </w:pPr>
    </w:p>
    <w:p w14:paraId="13D56CDF" w14:textId="77777777" w:rsidR="00680577" w:rsidRPr="007D1105" w:rsidRDefault="00E91985" w:rsidP="00680577">
      <w:pPr>
        <w:pStyle w:val="EPBodyTA1"/>
      </w:pPr>
      <w:r w:rsidRPr="007D1105">
        <w:t>TEXTOS APROVADOS</w:t>
      </w:r>
    </w:p>
    <w:p w14:paraId="7DBE583C" w14:textId="77777777" w:rsidR="00D058B8" w:rsidRPr="007D1105" w:rsidRDefault="00D058B8" w:rsidP="00D058B8">
      <w:pPr>
        <w:pStyle w:val="LineBottom"/>
      </w:pPr>
    </w:p>
    <w:p w14:paraId="0A4C02F7" w14:textId="529C3BEF" w:rsidR="00E91985" w:rsidRPr="007D1105" w:rsidRDefault="00E91985" w:rsidP="00E91985">
      <w:pPr>
        <w:pStyle w:val="ATHeading1"/>
      </w:pPr>
      <w:bookmarkStart w:id="0" w:name="TANumber"/>
      <w:r w:rsidRPr="007D1105">
        <w:t>P10_</w:t>
      </w:r>
      <w:proofErr w:type="gramStart"/>
      <w:r w:rsidRPr="007D1105">
        <w:t>TA(</w:t>
      </w:r>
      <w:proofErr w:type="gramEnd"/>
      <w:r w:rsidRPr="007D1105">
        <w:t>2025)0</w:t>
      </w:r>
      <w:r w:rsidR="005E59B9" w:rsidRPr="007D1105">
        <w:t>205</w:t>
      </w:r>
      <w:bookmarkEnd w:id="0"/>
    </w:p>
    <w:p w14:paraId="211A794D" w14:textId="77777777" w:rsidR="00E91985" w:rsidRPr="007D1105" w:rsidRDefault="00E91985" w:rsidP="00E91985">
      <w:pPr>
        <w:pStyle w:val="ATHeading2"/>
      </w:pPr>
      <w:bookmarkStart w:id="1" w:name="title"/>
      <w:r w:rsidRPr="007D1105">
        <w:t xml:space="preserve">Pedido de levantamento da imunidade de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bookmarkEnd w:id="1"/>
      <w:proofErr w:type="spellEnd"/>
    </w:p>
    <w:p w14:paraId="0FAC41F6" w14:textId="77777777" w:rsidR="00E91985" w:rsidRPr="007D1105" w:rsidRDefault="00E91985" w:rsidP="00E91985">
      <w:pPr>
        <w:rPr>
          <w:i/>
          <w:vanish/>
        </w:rPr>
      </w:pPr>
      <w:r w:rsidRPr="007D1105">
        <w:rPr>
          <w:i/>
        </w:rPr>
        <w:fldChar w:fldCharType="begin"/>
      </w:r>
      <w:r w:rsidRPr="007D1105">
        <w:rPr>
          <w:i/>
        </w:rPr>
        <w:instrText xml:space="preserve"> TC"(</w:instrText>
      </w:r>
      <w:bookmarkStart w:id="2" w:name="DocNumber"/>
      <w:r w:rsidRPr="007D1105">
        <w:rPr>
          <w:i/>
        </w:rPr>
        <w:instrText>A10-0182/2025</w:instrText>
      </w:r>
      <w:bookmarkEnd w:id="2"/>
      <w:r w:rsidRPr="007D1105">
        <w:rPr>
          <w:i/>
        </w:rPr>
        <w:instrText xml:space="preserve"> - Relator: Ilhan Kyuchyuk )"\l3 \n&gt; \* MERGEFORMAT </w:instrText>
      </w:r>
      <w:r w:rsidRPr="007D1105">
        <w:rPr>
          <w:i/>
        </w:rPr>
        <w:fldChar w:fldCharType="end"/>
      </w:r>
    </w:p>
    <w:p w14:paraId="5E6B3CAD" w14:textId="77777777" w:rsidR="00E91985" w:rsidRPr="007D1105" w:rsidRDefault="00E91985" w:rsidP="00E91985">
      <w:pPr>
        <w:rPr>
          <w:vanish/>
        </w:rPr>
      </w:pPr>
      <w:bookmarkStart w:id="3" w:name="Commission"/>
      <w:r w:rsidRPr="007D1105">
        <w:rPr>
          <w:vanish/>
        </w:rPr>
        <w:t>Comissão dos Assuntos Jurídicos</w:t>
      </w:r>
      <w:bookmarkEnd w:id="3"/>
    </w:p>
    <w:p w14:paraId="5303AF89" w14:textId="77777777" w:rsidR="00E91985" w:rsidRPr="007D1105" w:rsidRDefault="00E91985" w:rsidP="00E91985">
      <w:pPr>
        <w:rPr>
          <w:vanish/>
        </w:rPr>
      </w:pPr>
      <w:bookmarkStart w:id="4" w:name="PE"/>
      <w:r w:rsidRPr="007D1105">
        <w:rPr>
          <w:vanish/>
        </w:rPr>
        <w:t>PE775.580</w:t>
      </w:r>
      <w:bookmarkEnd w:id="4"/>
    </w:p>
    <w:p w14:paraId="6023E8F7" w14:textId="4B7B1036" w:rsidR="00E91985" w:rsidRPr="007D1105" w:rsidRDefault="00E91985" w:rsidP="00E91985">
      <w:pPr>
        <w:pStyle w:val="ATHeading3"/>
      </w:pPr>
      <w:bookmarkStart w:id="5" w:name="Sujet"/>
      <w:r w:rsidRPr="007D1105">
        <w:t xml:space="preserve">Decisão do Parlamento Europeu, de </w:t>
      </w:r>
      <w:r w:rsidR="00511329" w:rsidRPr="007D1105">
        <w:t xml:space="preserve">7 </w:t>
      </w:r>
      <w:r w:rsidRPr="007D1105">
        <w:t xml:space="preserve">de </w:t>
      </w:r>
      <w:r w:rsidR="00511329" w:rsidRPr="007D1105">
        <w:t xml:space="preserve">outubro </w:t>
      </w:r>
      <w:r w:rsidRPr="007D1105">
        <w:t xml:space="preserve">de 2025, sobre o pedido de levantamento da imunidade de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bookmarkEnd w:id="5"/>
      <w:proofErr w:type="spellEnd"/>
      <w:r w:rsidRPr="007D1105">
        <w:t xml:space="preserve"> </w:t>
      </w:r>
      <w:bookmarkStart w:id="6" w:name="References"/>
      <w:r w:rsidRPr="007D1105">
        <w:t>(2025/2096(IMM))</w:t>
      </w:r>
      <w:bookmarkEnd w:id="6"/>
    </w:p>
    <w:p w14:paraId="5549608F" w14:textId="77777777" w:rsidR="00CE4A85" w:rsidRPr="007D1105" w:rsidRDefault="00CE4A85" w:rsidP="00CE4A85">
      <w:pPr>
        <w:pStyle w:val="EPComma"/>
      </w:pPr>
      <w:bookmarkStart w:id="7" w:name="TextBodyBegin"/>
      <w:bookmarkEnd w:id="7"/>
      <w:r w:rsidRPr="007D1105">
        <w:rPr>
          <w:i/>
          <w:iCs/>
        </w:rPr>
        <w:t>O Parlamento Europeu</w:t>
      </w:r>
      <w:r w:rsidRPr="007D1105">
        <w:t>,</w:t>
      </w:r>
    </w:p>
    <w:p w14:paraId="7B0A398B" w14:textId="0679D4D5" w:rsidR="00CE4A85" w:rsidRPr="007D1105" w:rsidRDefault="00CE4A85" w:rsidP="00CE4A85">
      <w:pPr>
        <w:pStyle w:val="NormalHanging12a"/>
      </w:pPr>
      <w:r w:rsidRPr="007D1105">
        <w:t>–</w:t>
      </w:r>
      <w:r w:rsidRPr="007D1105">
        <w:tab/>
        <w:t xml:space="preserve">Tendo recebido um pedido de levantamento da imunidade de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proofErr w:type="spellEnd"/>
      <w:r w:rsidRPr="007D1105">
        <w:t xml:space="preserve">, transmitido em 21 de março de 2025 pelo Tribunal da Comarca de </w:t>
      </w:r>
      <w:proofErr w:type="spellStart"/>
      <w:r w:rsidRPr="007D1105">
        <w:t>Pest</w:t>
      </w:r>
      <w:proofErr w:type="spellEnd"/>
      <w:r w:rsidRPr="007D1105">
        <w:noBreakHyphen/>
        <w:t>Centro</w:t>
      </w:r>
      <w:r w:rsidR="00B57FE8" w:rsidRPr="007D1105">
        <w:t xml:space="preserve"> na Hungria</w:t>
      </w:r>
      <w:r w:rsidRPr="007D1105">
        <w:t xml:space="preserve">, no âmbito de uma ação penal instaurada contra </w:t>
      </w:r>
      <w:proofErr w:type="spellStart"/>
      <w:r w:rsidR="00724961" w:rsidRPr="007D1105">
        <w:t>Péter</w:t>
      </w:r>
      <w:proofErr w:type="spellEnd"/>
      <w:r w:rsidR="00724961" w:rsidRPr="007D1105">
        <w:t xml:space="preserve"> </w:t>
      </w:r>
      <w:proofErr w:type="spellStart"/>
      <w:r w:rsidR="00724961" w:rsidRPr="007D1105">
        <w:t>Magyar</w:t>
      </w:r>
      <w:proofErr w:type="spellEnd"/>
      <w:r w:rsidRPr="007D1105">
        <w:t xml:space="preserve">, o qual foi </w:t>
      </w:r>
      <w:r w:rsidR="00616539" w:rsidRPr="007D1105">
        <w:t xml:space="preserve">anunciado </w:t>
      </w:r>
      <w:r w:rsidRPr="007D1105">
        <w:t>na sessão plenária de 5 de maio de 2025,</w:t>
      </w:r>
    </w:p>
    <w:p w14:paraId="524E8367" w14:textId="4E0AF155" w:rsidR="00CE4A85" w:rsidRPr="007D1105" w:rsidRDefault="00CE4A85" w:rsidP="00CE4A85">
      <w:pPr>
        <w:pStyle w:val="NormalHanging12a"/>
      </w:pPr>
      <w:r w:rsidRPr="007D1105">
        <w:t>–</w:t>
      </w:r>
      <w:r w:rsidRPr="007D1105">
        <w:tab/>
        <w:t xml:space="preserve">Tendo em conta que </w:t>
      </w:r>
      <w:proofErr w:type="spellStart"/>
      <w:r w:rsidRPr="007D1105">
        <w:t>Péter</w:t>
      </w:r>
      <w:proofErr w:type="spellEnd"/>
      <w:r w:rsidRPr="007D1105">
        <w:t> </w:t>
      </w:r>
      <w:proofErr w:type="spellStart"/>
      <w:r w:rsidRPr="007D1105">
        <w:t>Magyar</w:t>
      </w:r>
      <w:proofErr w:type="spellEnd"/>
      <w:r w:rsidRPr="007D1105">
        <w:t xml:space="preserve"> renunciou ao seu direito a ser ouvido </w:t>
      </w:r>
      <w:r w:rsidR="001773EC" w:rsidRPr="007D1105">
        <w:t>nos termos</w:t>
      </w:r>
      <w:r w:rsidRPr="007D1105">
        <w:t xml:space="preserve"> do artigo 9.º, n.º 6, do </w:t>
      </w:r>
      <w:r w:rsidR="001773EC" w:rsidRPr="007D1105">
        <w:t xml:space="preserve">seu </w:t>
      </w:r>
      <w:r w:rsidRPr="007D1105">
        <w:t>Regimento,</w:t>
      </w:r>
    </w:p>
    <w:p w14:paraId="2913F4A4" w14:textId="77777777" w:rsidR="00CE4A85" w:rsidRPr="007D1105" w:rsidRDefault="00CE4A85" w:rsidP="00CE4A85">
      <w:pPr>
        <w:pStyle w:val="NormalHanging12a"/>
      </w:pPr>
      <w:r w:rsidRPr="007D1105">
        <w:t>–</w:t>
      </w:r>
      <w:r w:rsidRPr="007D1105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7D9CF278" w14:textId="77777777" w:rsidR="00CE4A85" w:rsidRPr="007D1105" w:rsidRDefault="00CE4A85" w:rsidP="00CE4A85">
      <w:pPr>
        <w:pStyle w:val="NormalHanging12a"/>
      </w:pPr>
      <w:r w:rsidRPr="007D1105">
        <w:t>–</w:t>
      </w:r>
      <w:r w:rsidRPr="007D1105">
        <w:tab/>
        <w:t xml:space="preserve">Tendo em conta </w:t>
      </w:r>
      <w:r w:rsidRPr="007D1105">
        <w:rPr>
          <w:color w:val="000000"/>
          <w:shd w:val="clear" w:color="auto" w:fill="FFFFFF"/>
        </w:rPr>
        <w:t>o artigo 4.º, n.º 2, da lei fundamental da Hungria,</w:t>
      </w:r>
    </w:p>
    <w:p w14:paraId="090EDCF5" w14:textId="77777777" w:rsidR="00CE4A85" w:rsidRPr="007D1105" w:rsidRDefault="00CE4A85" w:rsidP="00CE4A85">
      <w:pPr>
        <w:pStyle w:val="NormalHanging12a"/>
      </w:pPr>
      <w:r w:rsidRPr="007D1105">
        <w:t>–</w:t>
      </w:r>
      <w:r w:rsidRPr="007D1105">
        <w:tab/>
        <w:t>Tendo em conta os Acórdãos proferidos pelo Tribunal de Justiça da União Europeia em 21 de outubro de 2008, 19 de março de 2010, 6 de setembro de 2011, 17 de janeiro de 2013, 19 de dezembro de 2019 e 5 de julho de 2023</w:t>
      </w:r>
      <w:r w:rsidRPr="007D1105">
        <w:rPr>
          <w:rStyle w:val="FootnoteReference"/>
        </w:rPr>
        <w:footnoteReference w:id="1"/>
      </w:r>
      <w:r w:rsidRPr="007D1105">
        <w:t>,</w:t>
      </w:r>
    </w:p>
    <w:p w14:paraId="1A3F641F" w14:textId="77777777" w:rsidR="00CE4A85" w:rsidRPr="007D1105" w:rsidRDefault="00CE4A85" w:rsidP="00CE4A85">
      <w:pPr>
        <w:pStyle w:val="NormalHanging12a"/>
      </w:pPr>
      <w:r w:rsidRPr="007D1105">
        <w:lastRenderedPageBreak/>
        <w:t>–</w:t>
      </w:r>
      <w:r w:rsidRPr="007D1105">
        <w:tab/>
        <w:t>Tendo em conta o artigo 5.º, n.º 2, o artigo 6.º, n.º 1, e o artigo 9.º do seu Regimento,</w:t>
      </w:r>
    </w:p>
    <w:p w14:paraId="0CF0A6D2" w14:textId="77777777" w:rsidR="00CE4A85" w:rsidRPr="007D1105" w:rsidRDefault="00CE4A85" w:rsidP="00CE4A85">
      <w:pPr>
        <w:pStyle w:val="NormalHanging12a"/>
      </w:pPr>
      <w:r w:rsidRPr="007D1105">
        <w:t>–</w:t>
      </w:r>
      <w:r w:rsidRPr="007D1105">
        <w:tab/>
        <w:t>Tendo em conta o relatório da Comissão dos Assuntos Jurídicos (A10</w:t>
      </w:r>
      <w:r w:rsidRPr="007D1105">
        <w:noBreakHyphen/>
        <w:t>0182/2025),</w:t>
      </w:r>
    </w:p>
    <w:p w14:paraId="073C8A8D" w14:textId="653F434B" w:rsidR="00CE4A85" w:rsidRPr="007D1105" w:rsidRDefault="00CE4A85" w:rsidP="00CE4A85">
      <w:pPr>
        <w:pStyle w:val="NormalHanging12a"/>
        <w:widowControl/>
      </w:pPr>
      <w:r w:rsidRPr="007D1105">
        <w:t>A.</w:t>
      </w:r>
      <w:r w:rsidRPr="007D1105">
        <w:tab/>
        <w:t xml:space="preserve">Considerando que, </w:t>
      </w:r>
      <w:r w:rsidR="008518C9" w:rsidRPr="007D1105">
        <w:t>em</w:t>
      </w:r>
      <w:r w:rsidRPr="007D1105">
        <w:t xml:space="preserve"> 21 de março de 2025, o Tribunal da Comarca de </w:t>
      </w:r>
      <w:proofErr w:type="spellStart"/>
      <w:r w:rsidRPr="007D1105">
        <w:t>Pest</w:t>
      </w:r>
      <w:proofErr w:type="spellEnd"/>
      <w:r w:rsidRPr="007D1105">
        <w:noBreakHyphen/>
      </w:r>
      <w:r w:rsidR="00751D78" w:rsidRPr="007D1105">
        <w:t>C</w:t>
      </w:r>
      <w:r w:rsidRPr="007D1105">
        <w:t xml:space="preserve">entro apresentou um pedido de levantamento da imunidade de </w:t>
      </w:r>
      <w:proofErr w:type="spellStart"/>
      <w:r w:rsidRPr="007D1105">
        <w:t>Péter</w:t>
      </w:r>
      <w:proofErr w:type="spellEnd"/>
      <w:r w:rsidRPr="007D1105">
        <w:t> </w:t>
      </w:r>
      <w:proofErr w:type="spellStart"/>
      <w:r w:rsidRPr="007D1105">
        <w:t>Magyar</w:t>
      </w:r>
      <w:proofErr w:type="spellEnd"/>
      <w:r w:rsidRPr="007D1105">
        <w:t xml:space="preserve">, </w:t>
      </w:r>
      <w:r w:rsidR="008518C9" w:rsidRPr="007D1105">
        <w:t xml:space="preserve">deputado ao Parlamento Europeu eleito na Hungria, </w:t>
      </w:r>
      <w:r w:rsidRPr="007D1105">
        <w:t xml:space="preserve">relacionado com uma alegada </w:t>
      </w:r>
      <w:r w:rsidR="008518C9" w:rsidRPr="007D1105">
        <w:t xml:space="preserve">infração nos termos </w:t>
      </w:r>
      <w:r w:rsidRPr="007D1105">
        <w:t xml:space="preserve">do artigo 226.º, n.º 1, da Lei C de 2012, que aprova o Código Penal húngaro, </w:t>
      </w:r>
      <w:r w:rsidRPr="007D1105">
        <w:rPr>
          <w:color w:val="000000"/>
          <w:shd w:val="clear" w:color="auto" w:fill="FFFFFF"/>
        </w:rPr>
        <w:t>por factos ocorridos em abril de 2024</w:t>
      </w:r>
      <w:r w:rsidRPr="007D1105">
        <w:t xml:space="preserve"> numa ação penal por difamação instaurad</w:t>
      </w:r>
      <w:r w:rsidR="005C333A" w:rsidRPr="007D1105">
        <w:t>o contra ele</w:t>
      </w:r>
      <w:r w:rsidRPr="007D1105">
        <w:t xml:space="preserve"> na sequência de acusação particular;</w:t>
      </w:r>
    </w:p>
    <w:p w14:paraId="389C08E8" w14:textId="47058D8E" w:rsidR="00CE4A85" w:rsidRPr="007D1105" w:rsidRDefault="00CE4A85" w:rsidP="00CE4A85">
      <w:pPr>
        <w:pStyle w:val="NormalHanging12a"/>
        <w:widowControl/>
      </w:pPr>
      <w:r w:rsidRPr="007D1105">
        <w:rPr>
          <w:shd w:val="clear" w:color="auto" w:fill="FFFFFF"/>
        </w:rPr>
        <w:t>B.</w:t>
      </w:r>
      <w:r w:rsidRPr="007D1105">
        <w:rPr>
          <w:shd w:val="clear" w:color="auto" w:fill="FFFFFF"/>
        </w:rPr>
        <w:tab/>
      </w:r>
      <w:r w:rsidRPr="007D1105">
        <w:t xml:space="preserve">Considerando que o pedido de levantamento da imunidade indica que </w:t>
      </w:r>
      <w:proofErr w:type="spellStart"/>
      <w:r w:rsidRPr="007D1105">
        <w:t>Péter</w:t>
      </w:r>
      <w:proofErr w:type="spellEnd"/>
      <w:r w:rsidRPr="007D1105">
        <w:t> </w:t>
      </w:r>
      <w:proofErr w:type="spellStart"/>
      <w:r w:rsidRPr="007D1105">
        <w:t>Magyar</w:t>
      </w:r>
      <w:proofErr w:type="spellEnd"/>
      <w:r w:rsidRPr="007D1105">
        <w:t xml:space="preserve"> é acusado de ter proferido publicamente afirmações falsas durante uma manifestação e de ter divulgado rumores suscetíveis de prejudicar a reputação do movimento político «Mi </w:t>
      </w:r>
      <w:proofErr w:type="spellStart"/>
      <w:r w:rsidRPr="007D1105">
        <w:t>Hazánk</w:t>
      </w:r>
      <w:proofErr w:type="spellEnd"/>
      <w:r w:rsidRPr="007D1105">
        <w:t xml:space="preserve"> </w:t>
      </w:r>
      <w:proofErr w:type="spellStart"/>
      <w:r w:rsidRPr="007D1105">
        <w:t>Mozgalom</w:t>
      </w:r>
      <w:proofErr w:type="spellEnd"/>
      <w:r w:rsidRPr="007D1105">
        <w:t>» [Movimento a Nossa Pátria] e de um dos seus vice</w:t>
      </w:r>
      <w:r w:rsidRPr="007D1105">
        <w:noBreakHyphen/>
        <w:t>presidentes, deputado ao Parlamento húngaro</w:t>
      </w:r>
      <w:r w:rsidR="001773EC" w:rsidRPr="007D1105">
        <w:t>; considerando que</w:t>
      </w:r>
      <w:r w:rsidRPr="007D1105">
        <w:t xml:space="preserve">, na sequência de acusação particular por difamação, foi instaurada uma ação penal contra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proofErr w:type="spellEnd"/>
      <w:r w:rsidRPr="007D1105">
        <w:t xml:space="preserve"> em 13 de maio de 2024;</w:t>
      </w:r>
    </w:p>
    <w:p w14:paraId="550E8346" w14:textId="174DF43B" w:rsidR="00CE4A85" w:rsidRPr="007D1105" w:rsidRDefault="00CE4A85" w:rsidP="00CE4A85">
      <w:pPr>
        <w:pStyle w:val="NormalHanging12a"/>
        <w:widowControl/>
      </w:pPr>
      <w:r w:rsidRPr="007D1105">
        <w:t>C.</w:t>
      </w:r>
      <w:r w:rsidRPr="007D1105">
        <w:tab/>
        <w:t xml:space="preserve">Considerando que </w:t>
      </w:r>
      <w:proofErr w:type="spellStart"/>
      <w:r w:rsidRPr="007D1105">
        <w:t>Péter</w:t>
      </w:r>
      <w:proofErr w:type="spellEnd"/>
      <w:r w:rsidRPr="007D1105">
        <w:t> </w:t>
      </w:r>
      <w:proofErr w:type="spellStart"/>
      <w:r w:rsidRPr="007D1105">
        <w:t>Magyar</w:t>
      </w:r>
      <w:proofErr w:type="spellEnd"/>
      <w:r w:rsidRPr="007D1105">
        <w:t xml:space="preserve"> </w:t>
      </w:r>
      <w:r w:rsidRPr="007D1105">
        <w:rPr>
          <w:shd w:val="clear" w:color="auto" w:fill="FFFFFF"/>
        </w:rPr>
        <w:t>foi eleito nas eleições europeias de junho de 2024</w:t>
      </w:r>
      <w:r w:rsidRPr="007D1105">
        <w:t xml:space="preserve"> e que </w:t>
      </w:r>
      <w:r w:rsidRPr="007D1105">
        <w:rPr>
          <w:shd w:val="clear" w:color="auto" w:fill="FFFFFF"/>
        </w:rPr>
        <w:t xml:space="preserve">se encontrava em campanha eleitoral para </w:t>
      </w:r>
      <w:r w:rsidR="00924DD6" w:rsidRPr="007D1105">
        <w:rPr>
          <w:shd w:val="clear" w:color="auto" w:fill="FFFFFF"/>
        </w:rPr>
        <w:t>ser eleito deputado ao Parlamento Europeu</w:t>
      </w:r>
      <w:r w:rsidRPr="007D1105">
        <w:rPr>
          <w:shd w:val="clear" w:color="auto" w:fill="FFFFFF"/>
        </w:rPr>
        <w:t xml:space="preserve"> no momento da apresentação da queixa</w:t>
      </w:r>
      <w:r w:rsidR="00751D78" w:rsidRPr="007D1105">
        <w:rPr>
          <w:shd w:val="clear" w:color="auto" w:fill="FFFFFF"/>
        </w:rPr>
        <w:t>-crime</w:t>
      </w:r>
      <w:r w:rsidRPr="007D1105">
        <w:rPr>
          <w:shd w:val="clear" w:color="auto" w:fill="FFFFFF"/>
        </w:rPr>
        <w:t xml:space="preserve"> contra ele;</w:t>
      </w:r>
    </w:p>
    <w:p w14:paraId="28CEE9DA" w14:textId="1566935A" w:rsidR="00CE4A85" w:rsidRPr="007D1105" w:rsidRDefault="00CE4A85" w:rsidP="00CE4A85">
      <w:pPr>
        <w:pStyle w:val="NormalHanging12a"/>
        <w:widowControl/>
      </w:pPr>
      <w:r w:rsidRPr="007D1105">
        <w:t>D.</w:t>
      </w:r>
      <w:r w:rsidRPr="007D1105">
        <w:tab/>
        <w:t xml:space="preserve">Considerando que a alegada infração </w:t>
      </w:r>
      <w:r w:rsidR="008D72F4" w:rsidRPr="007D1105">
        <w:t>não constitui</w:t>
      </w:r>
      <w:r w:rsidRPr="007D1105">
        <w:t xml:space="preserve"> uma opinião</w:t>
      </w:r>
      <w:r w:rsidR="00F30F82" w:rsidRPr="007D1105">
        <w:t xml:space="preserve"> expressa</w:t>
      </w:r>
      <w:r w:rsidRPr="007D1105">
        <w:t xml:space="preserve"> ou um voto </w:t>
      </w:r>
      <w:r w:rsidR="00F30F82" w:rsidRPr="007D1105">
        <w:t xml:space="preserve">emitido </w:t>
      </w:r>
      <w:r w:rsidRPr="007D1105">
        <w:t xml:space="preserve">por </w:t>
      </w:r>
      <w:proofErr w:type="spellStart"/>
      <w:r w:rsidRPr="007D1105">
        <w:t>Péter</w:t>
      </w:r>
      <w:proofErr w:type="spellEnd"/>
      <w:r w:rsidRPr="007D1105">
        <w:t> </w:t>
      </w:r>
      <w:proofErr w:type="spellStart"/>
      <w:r w:rsidRPr="007D1105">
        <w:t>Magyar</w:t>
      </w:r>
      <w:proofErr w:type="spellEnd"/>
      <w:r w:rsidRPr="007D1105">
        <w:t xml:space="preserve"> no exercício das suas funções, na aceção do artigo 8.º do Protocolo n.º 7 relativo aos Privilégios e Imunidades da União Europeia</w:t>
      </w:r>
      <w:r w:rsidR="00F30F82" w:rsidRPr="007D1105">
        <w:t xml:space="preserve">, nem o pedido subsequente de levantamento da imunidade de </w:t>
      </w:r>
      <w:proofErr w:type="spellStart"/>
      <w:r w:rsidR="00F30F82" w:rsidRPr="007D1105">
        <w:t>Péter</w:t>
      </w:r>
      <w:proofErr w:type="spellEnd"/>
      <w:r w:rsidR="00F30F82" w:rsidRPr="007D1105">
        <w:t xml:space="preserve"> </w:t>
      </w:r>
      <w:proofErr w:type="spellStart"/>
      <w:r w:rsidR="00F30F82" w:rsidRPr="007D1105">
        <w:t>Magyar</w:t>
      </w:r>
      <w:proofErr w:type="spellEnd"/>
      <w:r w:rsidR="00F30F82" w:rsidRPr="007D1105">
        <w:t xml:space="preserve"> está relacionado com tal opinião ou voto</w:t>
      </w:r>
      <w:r w:rsidRPr="007D1105">
        <w:t>;</w:t>
      </w:r>
    </w:p>
    <w:p w14:paraId="24EE065F" w14:textId="77777777" w:rsidR="00CE4A85" w:rsidRPr="007D1105" w:rsidRDefault="00CE4A85" w:rsidP="00CE4A85">
      <w:pPr>
        <w:pStyle w:val="NormalHanging12a"/>
        <w:widowControl/>
      </w:pPr>
      <w:r w:rsidRPr="007D1105">
        <w:t>E.</w:t>
      </w:r>
      <w:r w:rsidRPr="007D1105">
        <w:tab/>
        <w:t>Considerando que o artigo 9.º, primeiro parágrafo, alínea a), do Protocolo n.º 7 relativo aos Privilégios e Imunidades da União Europeia prevê que os deputados ao Parlamento Europeu beneficiem, no seu território nacional, das imunidades reconhecidas aos deputados do parlamento do seu país;</w:t>
      </w:r>
    </w:p>
    <w:p w14:paraId="5A772A80" w14:textId="49CBB4DD" w:rsidR="00CE4A85" w:rsidRPr="007D1105" w:rsidRDefault="00CE4A85" w:rsidP="00CE4A85">
      <w:pPr>
        <w:pStyle w:val="NormalHanging12a"/>
      </w:pPr>
      <w:r w:rsidRPr="007D1105">
        <w:t>F.</w:t>
      </w:r>
      <w:r w:rsidRPr="007D1105">
        <w:tab/>
        <w:t xml:space="preserve">Considerando que, </w:t>
      </w:r>
      <w:r w:rsidRPr="007D1105">
        <w:rPr>
          <w:color w:val="000000"/>
          <w:shd w:val="clear" w:color="auto" w:fill="FFFFFF"/>
        </w:rPr>
        <w:t>nos termos do artigo 4.º, n.º 2, da Lei Fundamental da Hungria, os deputados ao Parlamento húngaro beneficiam de imunidade parlamentar</w:t>
      </w:r>
      <w:r w:rsidR="001773EC" w:rsidRPr="007D1105">
        <w:rPr>
          <w:color w:val="000000"/>
          <w:shd w:val="clear" w:color="auto" w:fill="FFFFFF"/>
        </w:rPr>
        <w:t>; considerando que</w:t>
      </w:r>
      <w:r w:rsidRPr="007D1105">
        <w:rPr>
          <w:color w:val="000000"/>
          <w:shd w:val="clear" w:color="auto" w:fill="FFFFFF"/>
        </w:rPr>
        <w:t xml:space="preserve">, nos termos do artigo 79.º, n.º 2, da Lei n.º XXXVI, de 2012, relativa </w:t>
      </w:r>
      <w:r w:rsidR="002634DE" w:rsidRPr="007D1105">
        <w:rPr>
          <w:color w:val="000000"/>
          <w:shd w:val="clear" w:color="auto" w:fill="FFFFFF"/>
        </w:rPr>
        <w:t>ao Parlamento húngaro</w:t>
      </w:r>
      <w:r w:rsidRPr="007D1105">
        <w:rPr>
          <w:color w:val="000000"/>
          <w:shd w:val="clear" w:color="auto" w:fill="FFFFFF"/>
        </w:rPr>
        <w:t>,</w:t>
      </w:r>
      <w:r w:rsidRPr="007D1105">
        <w:t xml:space="preserve"> uma pessoa registada com efeito definitivo e vinculativo como candidato goza da mesma imunidade que os deputados até que o resultado das eleições se torne definitivo e vinculativo e que, em todo o caso, nos termos do artigo 79.º, n.º 1, da mesma lei, os deputados gozam de imunidade a partir do dia da sua eleição</w:t>
      </w:r>
      <w:r w:rsidR="001773EC" w:rsidRPr="007D1105">
        <w:t>; considerando que</w:t>
      </w:r>
      <w:r w:rsidRPr="007D1105">
        <w:rPr>
          <w:color w:val="000000"/>
          <w:shd w:val="clear" w:color="auto" w:fill="FFFFFF"/>
        </w:rPr>
        <w:t xml:space="preserve">, nos termos do artigo 74.º, n.º 1, da Lei n.º XXXVI, de 2012, relativa </w:t>
      </w:r>
      <w:r w:rsidR="002634DE" w:rsidRPr="007D1105">
        <w:rPr>
          <w:color w:val="000000"/>
          <w:shd w:val="clear" w:color="auto" w:fill="FFFFFF"/>
        </w:rPr>
        <w:t>ao Parlamento húngaro</w:t>
      </w:r>
      <w:r w:rsidRPr="007D1105">
        <w:rPr>
          <w:color w:val="000000"/>
          <w:shd w:val="clear" w:color="auto" w:fill="FFFFFF"/>
        </w:rPr>
        <w:t xml:space="preserve">, as ações penais, ou, caso a imunidade não seja voluntariamente levantada no processo em causa, os processos </w:t>
      </w:r>
      <w:r w:rsidR="001C0D66" w:rsidRPr="007D1105">
        <w:rPr>
          <w:color w:val="000000"/>
          <w:shd w:val="clear" w:color="auto" w:fill="FFFFFF"/>
        </w:rPr>
        <w:t>por infração</w:t>
      </w:r>
      <w:r w:rsidRPr="007D1105">
        <w:rPr>
          <w:color w:val="000000"/>
          <w:shd w:val="clear" w:color="auto" w:fill="FFFFFF"/>
        </w:rPr>
        <w:t>, não podem ser instaurados</w:t>
      </w:r>
      <w:r w:rsidR="001C0D66" w:rsidRPr="007D1105">
        <w:rPr>
          <w:color w:val="000000"/>
          <w:shd w:val="clear" w:color="auto" w:fill="FFFFFF"/>
        </w:rPr>
        <w:t xml:space="preserve"> ou prosseguidos e não podem ser aplicadas medidas de coação no âmbito de um processo penal contra um deputado</w:t>
      </w:r>
      <w:r w:rsidR="00C13C03" w:rsidRPr="007D1105">
        <w:rPr>
          <w:color w:val="000000"/>
          <w:shd w:val="clear" w:color="auto" w:fill="FFFFFF"/>
        </w:rPr>
        <w:t>,</w:t>
      </w:r>
      <w:r w:rsidRPr="007D1105">
        <w:rPr>
          <w:color w:val="000000"/>
          <w:shd w:val="clear" w:color="auto" w:fill="FFFFFF"/>
        </w:rPr>
        <w:t xml:space="preserve"> sem o acordo prévio </w:t>
      </w:r>
      <w:r w:rsidR="002634DE" w:rsidRPr="007D1105">
        <w:rPr>
          <w:color w:val="000000"/>
          <w:shd w:val="clear" w:color="auto" w:fill="FFFFFF"/>
        </w:rPr>
        <w:t>do Parlamento húngaro</w:t>
      </w:r>
      <w:r w:rsidRPr="007D1105">
        <w:rPr>
          <w:color w:val="000000"/>
          <w:shd w:val="clear" w:color="auto" w:fill="FFFFFF"/>
        </w:rPr>
        <w:t>;</w:t>
      </w:r>
    </w:p>
    <w:p w14:paraId="62BA386C" w14:textId="0EA5CBC8" w:rsidR="001C0D66" w:rsidRPr="007D1105" w:rsidRDefault="00CE4A85" w:rsidP="00CE4A85">
      <w:pPr>
        <w:pStyle w:val="NormalHanging12a"/>
        <w:widowControl/>
      </w:pPr>
      <w:r w:rsidRPr="007D1105">
        <w:t>G.</w:t>
      </w:r>
      <w:r w:rsidRPr="007D1105">
        <w:tab/>
      </w:r>
      <w:r w:rsidR="001C0D66" w:rsidRPr="007D1105">
        <w:t xml:space="preserve">Considerando que, nos termos do artigo 5.º, n.º 2, do Regimento, a imunidade parlamentar não é um privilégio pessoal dos deputados, mas sim uma garantia da independência do Parlamento </w:t>
      </w:r>
      <w:r w:rsidR="005E59B9" w:rsidRPr="007D1105">
        <w:t xml:space="preserve">Europeu </w:t>
      </w:r>
      <w:r w:rsidR="001C0D66" w:rsidRPr="007D1105">
        <w:t>como um todo e dos seus membros;</w:t>
      </w:r>
    </w:p>
    <w:p w14:paraId="28A64EFC" w14:textId="2E81DED3" w:rsidR="00CE4A85" w:rsidRPr="007D1105" w:rsidRDefault="001C0D66" w:rsidP="00CE4A85">
      <w:pPr>
        <w:pStyle w:val="NormalHanging12a"/>
        <w:widowControl/>
      </w:pPr>
      <w:r w:rsidRPr="007D1105">
        <w:lastRenderedPageBreak/>
        <w:t>H.</w:t>
      </w:r>
      <w:r w:rsidRPr="007D1105">
        <w:tab/>
      </w:r>
      <w:r w:rsidR="00CE4A85" w:rsidRPr="007D1105">
        <w:t xml:space="preserve">Considerando que o objetivo da imunidade </w:t>
      </w:r>
      <w:r w:rsidR="00C13C03" w:rsidRPr="007D1105">
        <w:t xml:space="preserve">prevista no Protocolo n.º 7 relativo aos Privilégios e Imunidades da União Europeia </w:t>
      </w:r>
      <w:r w:rsidR="00CE4A85" w:rsidRPr="007D1105">
        <w:t xml:space="preserve">é proteger o Parlamento e os seus deputados de processos judiciais relacionados com atividades realizadas no </w:t>
      </w:r>
      <w:r w:rsidR="00C13C03" w:rsidRPr="007D1105">
        <w:t xml:space="preserve">desempenho </w:t>
      </w:r>
      <w:r w:rsidR="00CE4A85" w:rsidRPr="007D1105">
        <w:t>das</w:t>
      </w:r>
      <w:r w:rsidR="00C13C03" w:rsidRPr="007D1105">
        <w:t xml:space="preserve"> suas</w:t>
      </w:r>
      <w:r w:rsidR="00CE4A85" w:rsidRPr="007D1105">
        <w:t xml:space="preserve"> funções parlamentares e </w:t>
      </w:r>
      <w:r w:rsidR="00C13C03" w:rsidRPr="007D1105">
        <w:t>que não podem ser separadas dessas funções</w:t>
      </w:r>
      <w:r w:rsidR="00CE4A85" w:rsidRPr="007D1105">
        <w:t>;</w:t>
      </w:r>
    </w:p>
    <w:p w14:paraId="643DCB67" w14:textId="77777777" w:rsidR="00CE4A85" w:rsidRPr="007D1105" w:rsidRDefault="00CE4A85" w:rsidP="005E59B9">
      <w:pPr>
        <w:pStyle w:val="NormalHanging12a"/>
        <w:widowControl/>
      </w:pPr>
      <w:r w:rsidRPr="007D1105">
        <w:t>I.</w:t>
      </w:r>
      <w:r w:rsidRPr="007D1105">
        <w:tab/>
        <w:t>Considerando que decorre da jurisprudência do Tribunal de Justiça da União Europeia que o Parlamento dispõe de um «amplo poder de apreciação quanto à orientação que entende dar a uma decisão na sequência de um pedido de levantamento da imunidade [...], devido ao caráter político que essa decisão reveste»</w:t>
      </w:r>
      <w:r w:rsidRPr="007D1105">
        <w:rPr>
          <w:vertAlign w:val="superscript"/>
        </w:rPr>
        <w:footnoteReference w:id="2"/>
      </w:r>
      <w:r w:rsidRPr="007D1105">
        <w:t>;</w:t>
      </w:r>
    </w:p>
    <w:p w14:paraId="31B113DF" w14:textId="7BFFEBD1" w:rsidR="00CE4A85" w:rsidRPr="007D1105" w:rsidRDefault="00CE4A85" w:rsidP="00CE4A85">
      <w:pPr>
        <w:pStyle w:val="NormalHanging12a"/>
        <w:widowControl/>
      </w:pPr>
      <w:r w:rsidRPr="007D1105">
        <w:t>J.</w:t>
      </w:r>
      <w:r w:rsidRPr="007D1105">
        <w:tab/>
      </w:r>
      <w:r w:rsidRPr="007D1105">
        <w:rPr>
          <w:rStyle w:val="doceo-font-family-base"/>
          <w:color w:val="1E1E1F"/>
        </w:rPr>
        <w:t xml:space="preserve">Considerando que </w:t>
      </w:r>
      <w:proofErr w:type="spellStart"/>
      <w:r w:rsidRPr="007D1105">
        <w:rPr>
          <w:rStyle w:val="doceo-font-family-base"/>
          <w:color w:val="1E1E1F"/>
        </w:rPr>
        <w:t>Péter</w:t>
      </w:r>
      <w:proofErr w:type="spellEnd"/>
      <w:r w:rsidRPr="007D1105">
        <w:rPr>
          <w:rStyle w:val="doceo-font-family-base"/>
          <w:color w:val="1E1E1F"/>
        </w:rPr>
        <w:t xml:space="preserve"> </w:t>
      </w:r>
      <w:proofErr w:type="spellStart"/>
      <w:r w:rsidRPr="007D1105">
        <w:rPr>
          <w:rStyle w:val="doceo-font-family-base"/>
          <w:color w:val="1E1E1F"/>
        </w:rPr>
        <w:t>Magyar</w:t>
      </w:r>
      <w:proofErr w:type="spellEnd"/>
      <w:r w:rsidRPr="007D1105">
        <w:rPr>
          <w:rStyle w:val="doceo-font-family-base"/>
          <w:color w:val="1E1E1F"/>
        </w:rPr>
        <w:t xml:space="preserve"> </w:t>
      </w:r>
      <w:r w:rsidRPr="007D1105">
        <w:t>é o presidente do Partido TISZA («</w:t>
      </w:r>
      <w:proofErr w:type="spellStart"/>
      <w:r w:rsidRPr="007D1105">
        <w:t>Tisztelet</w:t>
      </w:r>
      <w:proofErr w:type="spellEnd"/>
      <w:r w:rsidRPr="007D1105">
        <w:t xml:space="preserve"> és </w:t>
      </w:r>
      <w:proofErr w:type="spellStart"/>
      <w:r w:rsidRPr="007D1105">
        <w:t>Szabadság</w:t>
      </w:r>
      <w:proofErr w:type="spellEnd"/>
      <w:r w:rsidRPr="007D1105">
        <w:t xml:space="preserve"> </w:t>
      </w:r>
      <w:proofErr w:type="spellStart"/>
      <w:r w:rsidRPr="007D1105">
        <w:t>Párt</w:t>
      </w:r>
      <w:proofErr w:type="spellEnd"/>
      <w:r w:rsidRPr="007D1105">
        <w:t>» e também o cabeça de lista desse partido às eleições europeias de 2024</w:t>
      </w:r>
      <w:r w:rsidR="001773EC" w:rsidRPr="007D1105">
        <w:rPr>
          <w:rStyle w:val="doceo-font-family-base"/>
          <w:color w:val="1E1E1F"/>
        </w:rPr>
        <w:t>; considerando que</w:t>
      </w:r>
      <w:r w:rsidRPr="007D1105">
        <w:t xml:space="preserve"> o «Mi </w:t>
      </w:r>
      <w:proofErr w:type="spellStart"/>
      <w:r w:rsidRPr="007D1105">
        <w:t>Hazánk</w:t>
      </w:r>
      <w:proofErr w:type="spellEnd"/>
      <w:r w:rsidRPr="007D1105">
        <w:t xml:space="preserve"> </w:t>
      </w:r>
      <w:proofErr w:type="spellStart"/>
      <w:r w:rsidRPr="007D1105">
        <w:t>Mozgalom</w:t>
      </w:r>
      <w:proofErr w:type="spellEnd"/>
      <w:r w:rsidRPr="007D1105">
        <w:t xml:space="preserve">» também participou nas eleições europeias de 2024 e pode, portanto, ser considerado um opositor político direto de </w:t>
      </w:r>
      <w:proofErr w:type="spellStart"/>
      <w:r w:rsidRPr="007D1105">
        <w:rPr>
          <w:rStyle w:val="doceo-font-family-base"/>
          <w:color w:val="1E1E1F"/>
        </w:rPr>
        <w:t>Péter</w:t>
      </w:r>
      <w:proofErr w:type="spellEnd"/>
      <w:r w:rsidRPr="007D1105">
        <w:rPr>
          <w:rStyle w:val="doceo-font-family-base"/>
          <w:color w:val="1E1E1F"/>
        </w:rPr>
        <w:t xml:space="preserve"> </w:t>
      </w:r>
      <w:proofErr w:type="spellStart"/>
      <w:r w:rsidRPr="007D1105">
        <w:rPr>
          <w:rStyle w:val="doceo-font-family-base"/>
          <w:color w:val="1E1E1F"/>
        </w:rPr>
        <w:t>Magyar</w:t>
      </w:r>
      <w:proofErr w:type="spellEnd"/>
      <w:r w:rsidR="001773EC" w:rsidRPr="007D1105">
        <w:t>; considerando que</w:t>
      </w:r>
      <w:r w:rsidRPr="007D1105">
        <w:t xml:space="preserve"> os opositores políticos estão normalmente sujeitos a maiores críticas e polémicas no debate político do que os cidadãos que não são politicamente ativos</w:t>
      </w:r>
      <w:r w:rsidR="001773EC" w:rsidRPr="007D1105">
        <w:rPr>
          <w:rStyle w:val="doceo-font-family-base"/>
        </w:rPr>
        <w:t>; considerando que</w:t>
      </w:r>
      <w:r w:rsidRPr="007D1105">
        <w:rPr>
          <w:rStyle w:val="doceo-font-family-base"/>
        </w:rPr>
        <w:t xml:space="preserve">, ao abrigo do direito húngaro, as ações por difamação podem ser intentadas tanto </w:t>
      </w:r>
      <w:r w:rsidR="00F44D17" w:rsidRPr="007D1105">
        <w:rPr>
          <w:rStyle w:val="doceo-font-family-base"/>
        </w:rPr>
        <w:t>com base no direito penal como no direito civil</w:t>
      </w:r>
      <w:r w:rsidRPr="007D1105">
        <w:rPr>
          <w:rStyle w:val="doceo-font-family-base"/>
        </w:rPr>
        <w:t xml:space="preserve">, com </w:t>
      </w:r>
      <w:r w:rsidR="00F44D17" w:rsidRPr="007D1105">
        <w:rPr>
          <w:rStyle w:val="doceo-font-family-base"/>
        </w:rPr>
        <w:t xml:space="preserve">diferenças significativas a nível das </w:t>
      </w:r>
      <w:r w:rsidRPr="007D1105">
        <w:rPr>
          <w:rStyle w:val="doceo-font-family-base"/>
        </w:rPr>
        <w:t>consequências jurídicas</w:t>
      </w:r>
      <w:r w:rsidR="00F44D17" w:rsidRPr="007D1105">
        <w:rPr>
          <w:rStyle w:val="doceo-font-family-base"/>
        </w:rPr>
        <w:t xml:space="preserve"> correspondentes</w:t>
      </w:r>
      <w:r w:rsidRPr="007D1105">
        <w:rPr>
          <w:rStyle w:val="doceo-font-family-base"/>
        </w:rPr>
        <w:t>, incluindo pena de prisão</w:t>
      </w:r>
      <w:r w:rsidR="001773EC" w:rsidRPr="007D1105">
        <w:rPr>
          <w:rStyle w:val="doceo-font-family-base"/>
        </w:rPr>
        <w:t>; considerando que</w:t>
      </w:r>
      <w:r w:rsidRPr="007D1105">
        <w:rPr>
          <w:rStyle w:val="doceo-font-family-base"/>
        </w:rPr>
        <w:t xml:space="preserve">, no caso em apreço, a decisão de intentar uma ação penal suscita dúvidas quanto à sua finalidade, </w:t>
      </w:r>
      <w:r w:rsidR="00F44D17" w:rsidRPr="007D1105">
        <w:rPr>
          <w:rStyle w:val="doceo-font-family-base"/>
        </w:rPr>
        <w:t xml:space="preserve">que </w:t>
      </w:r>
      <w:r w:rsidRPr="007D1105">
        <w:rPr>
          <w:rStyle w:val="doceo-font-family-base"/>
        </w:rPr>
        <w:t>pode exceder o objetivo legítimo de reparação pelos alegados danos</w:t>
      </w:r>
      <w:r w:rsidR="00F44D17" w:rsidRPr="007D1105">
        <w:rPr>
          <w:rStyle w:val="doceo-font-family-base"/>
        </w:rPr>
        <w:t xml:space="preserve"> sofridos</w:t>
      </w:r>
      <w:r w:rsidRPr="007D1105">
        <w:rPr>
          <w:rStyle w:val="doceo-font-family-base"/>
        </w:rPr>
        <w:t xml:space="preserve">, e sugere que o objetivo pretendido vai além desse objetivo legítimo e visa, de facto, prejudicar a reputação de </w:t>
      </w:r>
      <w:proofErr w:type="spellStart"/>
      <w:r w:rsidRPr="007D1105">
        <w:rPr>
          <w:rStyle w:val="doceo-font-family-base"/>
        </w:rPr>
        <w:t>Péter</w:t>
      </w:r>
      <w:proofErr w:type="spellEnd"/>
      <w:r w:rsidRPr="007D1105">
        <w:rPr>
          <w:rStyle w:val="doceo-font-family-base"/>
        </w:rPr>
        <w:t xml:space="preserve"> </w:t>
      </w:r>
      <w:proofErr w:type="spellStart"/>
      <w:r w:rsidRPr="007D1105">
        <w:rPr>
          <w:rStyle w:val="doceo-font-family-base"/>
        </w:rPr>
        <w:t>Magyar</w:t>
      </w:r>
      <w:proofErr w:type="spellEnd"/>
      <w:r w:rsidRPr="007D1105">
        <w:rPr>
          <w:rStyle w:val="doceo-font-family-base"/>
        </w:rPr>
        <w:t xml:space="preserve"> na sua qualidade de deputado ao Parlamento Europeu</w:t>
      </w:r>
      <w:r w:rsidRPr="007D1105">
        <w:t>;</w:t>
      </w:r>
    </w:p>
    <w:p w14:paraId="7154299A" w14:textId="710C8AE7" w:rsidR="00CE4A85" w:rsidRPr="007D1105" w:rsidRDefault="00CE4A85" w:rsidP="00CE4A85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7D1105">
        <w:rPr>
          <w:rStyle w:val="doceo-font-family-base"/>
          <w:color w:val="1E1E1F"/>
        </w:rPr>
        <w:t>K.</w:t>
      </w:r>
      <w:r w:rsidRPr="007D1105">
        <w:rPr>
          <w:rStyle w:val="doceo-font-family-base"/>
          <w:color w:val="1E1E1F"/>
        </w:rPr>
        <w:tab/>
        <w:t>Considerando que os elementos acima referidos suscitam séri</w:t>
      </w:r>
      <w:r w:rsidR="005E59B9" w:rsidRPr="007D1105">
        <w:rPr>
          <w:rStyle w:val="doceo-font-family-base"/>
          <w:color w:val="1E1E1F"/>
        </w:rPr>
        <w:t>o</w:t>
      </w:r>
      <w:r w:rsidRPr="007D1105">
        <w:rPr>
          <w:rStyle w:val="doceo-font-family-base"/>
          <w:color w:val="1E1E1F"/>
        </w:rPr>
        <w:t xml:space="preserve">s </w:t>
      </w:r>
      <w:r w:rsidR="005E59B9" w:rsidRPr="007D1105">
        <w:rPr>
          <w:rStyle w:val="doceo-font-family-base"/>
          <w:color w:val="1E1E1F"/>
        </w:rPr>
        <w:t xml:space="preserve">receios </w:t>
      </w:r>
      <w:r w:rsidRPr="007D1105">
        <w:rPr>
          <w:rStyle w:val="doceo-font-family-base"/>
          <w:color w:val="1E1E1F"/>
        </w:rPr>
        <w:t xml:space="preserve">quanto à eventual intenção de prejudicar a atividade política de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proofErr w:type="spellEnd"/>
      <w:r w:rsidRPr="007D1105">
        <w:rPr>
          <w:rStyle w:val="doceo-font-family-base"/>
          <w:color w:val="1E1E1F"/>
        </w:rPr>
        <w:t xml:space="preserve"> e, em particular, a sua atividade enquanto deputado ao Parlamento Europeu;</w:t>
      </w:r>
    </w:p>
    <w:p w14:paraId="44CCDFBF" w14:textId="3187F7C0" w:rsidR="00CE4A85" w:rsidRPr="007D1105" w:rsidRDefault="00CE4A85" w:rsidP="00CE4A85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color w:val="1E1E1F"/>
        </w:rPr>
      </w:pPr>
      <w:r w:rsidRPr="007D1105">
        <w:rPr>
          <w:rStyle w:val="doceo-font-family-base"/>
          <w:color w:val="1E1E1F"/>
        </w:rPr>
        <w:t>L.</w:t>
      </w:r>
      <w:r w:rsidRPr="007D1105">
        <w:rPr>
          <w:rStyle w:val="doceo-font-family-base"/>
          <w:rFonts w:ascii="Helvetica" w:hAnsi="Helvetica"/>
          <w:color w:val="1E1E1F"/>
        </w:rPr>
        <w:tab/>
      </w:r>
      <w:r w:rsidRPr="007D1105">
        <w:rPr>
          <w:rStyle w:val="doceo-font-family-base"/>
          <w:color w:val="1E1E1F"/>
        </w:rPr>
        <w:t>Considerando que</w:t>
      </w:r>
      <w:r w:rsidR="004D500C" w:rsidRPr="007D1105">
        <w:rPr>
          <w:rStyle w:val="doceo-font-family-base"/>
          <w:color w:val="1E1E1F"/>
        </w:rPr>
        <w:t>, no caso em apreço,</w:t>
      </w:r>
      <w:r w:rsidRPr="007D1105">
        <w:rPr>
          <w:rStyle w:val="doceo-font-family-base"/>
          <w:color w:val="1E1E1F"/>
        </w:rPr>
        <w:t xml:space="preserve"> parece</w:t>
      </w:r>
      <w:r w:rsidR="004D500C" w:rsidRPr="007D1105">
        <w:rPr>
          <w:rStyle w:val="doceo-font-family-base"/>
          <w:color w:val="1E1E1F"/>
        </w:rPr>
        <w:t xml:space="preserve"> </w:t>
      </w:r>
      <w:r w:rsidRPr="007D1105">
        <w:rPr>
          <w:rStyle w:val="doceo-font-family-base"/>
          <w:color w:val="1E1E1F"/>
        </w:rPr>
        <w:t>pode</w:t>
      </w:r>
      <w:r w:rsidR="004D500C" w:rsidRPr="007D1105">
        <w:rPr>
          <w:rStyle w:val="doceo-font-family-base"/>
          <w:color w:val="1E1E1F"/>
        </w:rPr>
        <w:t>r</w:t>
      </w:r>
      <w:r w:rsidRPr="007D1105">
        <w:rPr>
          <w:rStyle w:val="doceo-font-family-base"/>
          <w:color w:val="1E1E1F"/>
        </w:rPr>
        <w:t xml:space="preserve"> presumir</w:t>
      </w:r>
      <w:r w:rsidR="004D500C" w:rsidRPr="007D1105">
        <w:rPr>
          <w:rStyle w:val="doceo-font-family-base"/>
          <w:color w:val="1E1E1F"/>
        </w:rPr>
        <w:t>-se</w:t>
      </w:r>
      <w:r w:rsidRPr="007D1105">
        <w:rPr>
          <w:rStyle w:val="doceo-font-family-base"/>
          <w:color w:val="1E1E1F"/>
        </w:rPr>
        <w:t xml:space="preserve"> a existência de </w:t>
      </w:r>
      <w:proofErr w:type="spellStart"/>
      <w:r w:rsidRPr="007D1105">
        <w:rPr>
          <w:rStyle w:val="doceo-font-family-base"/>
          <w:i/>
          <w:color w:val="1E1E1F"/>
        </w:rPr>
        <w:t>fumus</w:t>
      </w:r>
      <w:proofErr w:type="spellEnd"/>
      <w:r w:rsidRPr="007D1105">
        <w:rPr>
          <w:rStyle w:val="doceo-font-family-base"/>
          <w:i/>
          <w:color w:val="1E1E1F"/>
        </w:rPr>
        <w:t xml:space="preserve"> </w:t>
      </w:r>
      <w:proofErr w:type="spellStart"/>
      <w:r w:rsidRPr="007D1105">
        <w:rPr>
          <w:rStyle w:val="doceo-font-family-base"/>
          <w:i/>
          <w:color w:val="1E1E1F"/>
        </w:rPr>
        <w:t>persecutionis</w:t>
      </w:r>
      <w:proofErr w:type="spellEnd"/>
      <w:r w:rsidRPr="007D1105">
        <w:rPr>
          <w:rStyle w:val="doceo-font-family-base"/>
          <w:color w:val="1E1E1F"/>
        </w:rPr>
        <w:t xml:space="preserve">, ou seja, </w:t>
      </w:r>
      <w:r w:rsidR="002634DE" w:rsidRPr="007D1105">
        <w:rPr>
          <w:rStyle w:val="doceo-font-family-base"/>
          <w:color w:val="1E1E1F"/>
        </w:rPr>
        <w:t xml:space="preserve">de um </w:t>
      </w:r>
      <w:r w:rsidRPr="007D1105">
        <w:rPr>
          <w:rStyle w:val="doceo-font-family-base"/>
          <w:color w:val="1E1E1F"/>
        </w:rPr>
        <w:t>«</w:t>
      </w:r>
      <w:r w:rsidR="002634DE" w:rsidRPr="007D1105">
        <w:rPr>
          <w:rStyle w:val="doceo-font-family-base"/>
          <w:color w:val="1E1E1F"/>
        </w:rPr>
        <w:t xml:space="preserve">elemento </w:t>
      </w:r>
      <w:r w:rsidRPr="007D1105">
        <w:rPr>
          <w:rStyle w:val="doceo-font-family-base"/>
          <w:color w:val="1E1E1F"/>
        </w:rPr>
        <w:t>concreto»</w:t>
      </w:r>
      <w:r w:rsidRPr="007D1105">
        <w:rPr>
          <w:rStyle w:val="FootnoteReference"/>
          <w:color w:val="1E1E1F"/>
        </w:rPr>
        <w:footnoteReference w:id="3"/>
      </w:r>
      <w:r w:rsidRPr="007D1105">
        <w:rPr>
          <w:rStyle w:val="doceo-font-family-base"/>
        </w:rPr>
        <w:t xml:space="preserve"> </w:t>
      </w:r>
      <w:r w:rsidRPr="007D1105">
        <w:rPr>
          <w:rStyle w:val="doceo-font-family-base"/>
          <w:color w:val="1E1E1F"/>
        </w:rPr>
        <w:t xml:space="preserve">de que </w:t>
      </w:r>
      <w:r w:rsidR="002634DE" w:rsidRPr="007D1105">
        <w:rPr>
          <w:rStyle w:val="doceo-font-family-base"/>
          <w:color w:val="1E1E1F"/>
        </w:rPr>
        <w:t>a intenção subjacente ao processo judicial em questão é</w:t>
      </w:r>
      <w:r w:rsidRPr="007D1105">
        <w:rPr>
          <w:rStyle w:val="doceo-font-family-base"/>
          <w:color w:val="1E1E1F"/>
        </w:rPr>
        <w:t xml:space="preserve"> prejudicar a atividade política de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proofErr w:type="spellEnd"/>
      <w:r w:rsidRPr="007D1105">
        <w:rPr>
          <w:rStyle w:val="doceo-font-family-base"/>
          <w:color w:val="1E1E1F"/>
        </w:rPr>
        <w:t xml:space="preserve"> pelo pedido de levantamento da sua imunidade, sobretudo aquando da sua candidatura às eleições europeias de 2024 como cabeça de lista do seu partido político;</w:t>
      </w:r>
    </w:p>
    <w:p w14:paraId="02B08452" w14:textId="77777777" w:rsidR="00CE4A85" w:rsidRPr="007D1105" w:rsidRDefault="00CE4A85" w:rsidP="00CE4A85">
      <w:pPr>
        <w:pStyle w:val="NormalHanging12a"/>
        <w:widowControl/>
      </w:pPr>
      <w:r w:rsidRPr="007D1105">
        <w:t>M.</w:t>
      </w:r>
      <w:r w:rsidRPr="007D1105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7D1105">
        <w:rPr>
          <w:vertAlign w:val="superscript"/>
        </w:rPr>
        <w:footnoteReference w:id="4"/>
      </w:r>
      <w:r w:rsidRPr="007D1105">
        <w:t>;</w:t>
      </w:r>
    </w:p>
    <w:p w14:paraId="48D100C6" w14:textId="77777777" w:rsidR="00CE4A85" w:rsidRPr="007D1105" w:rsidRDefault="00CE4A85" w:rsidP="00CE4A85">
      <w:pPr>
        <w:pStyle w:val="NormalHanging12a"/>
      </w:pPr>
      <w:r w:rsidRPr="007D1105">
        <w:t>1.</w:t>
      </w:r>
      <w:r w:rsidRPr="007D1105">
        <w:tab/>
        <w:t xml:space="preserve">Decide não levantar a imunidade de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proofErr w:type="spellEnd"/>
      <w:r w:rsidRPr="007D1105">
        <w:t>;</w:t>
      </w:r>
    </w:p>
    <w:p w14:paraId="1CCEA0ED" w14:textId="48383E1E" w:rsidR="00E365E1" w:rsidRPr="007D1105" w:rsidRDefault="00CE4A85" w:rsidP="005E59B9">
      <w:pPr>
        <w:pStyle w:val="NormalHanging12a"/>
      </w:pPr>
      <w:r w:rsidRPr="007D1105">
        <w:t>2.</w:t>
      </w:r>
      <w:r w:rsidRPr="007D1105">
        <w:tab/>
        <w:t xml:space="preserve">Encarrega a sua Presidente de transmitir de imediato a presente decisão, bem como o relatório da sua comissão </w:t>
      </w:r>
      <w:r w:rsidR="00B57FE8" w:rsidRPr="007D1105">
        <w:t>competente</w:t>
      </w:r>
      <w:r w:rsidRPr="007D1105">
        <w:t xml:space="preserve">, às autoridades competentes da Hungria e a </w:t>
      </w:r>
      <w:proofErr w:type="spellStart"/>
      <w:r w:rsidRPr="007D1105">
        <w:t>Péter</w:t>
      </w:r>
      <w:proofErr w:type="spellEnd"/>
      <w:r w:rsidRPr="007D1105">
        <w:t xml:space="preserve"> </w:t>
      </w:r>
      <w:proofErr w:type="spellStart"/>
      <w:r w:rsidRPr="007D1105">
        <w:t>Magyar</w:t>
      </w:r>
      <w:proofErr w:type="spellEnd"/>
      <w:r w:rsidRPr="007D1105">
        <w:t>.</w:t>
      </w:r>
    </w:p>
    <w:sectPr w:rsidR="00E365E1" w:rsidRPr="007D1105" w:rsidSect="00C516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B7709" w14:textId="77777777" w:rsidR="00E91985" w:rsidRPr="00C51600" w:rsidRDefault="00E91985">
      <w:r w:rsidRPr="00C51600">
        <w:separator/>
      </w:r>
    </w:p>
  </w:endnote>
  <w:endnote w:type="continuationSeparator" w:id="0">
    <w:p w14:paraId="18D832EB" w14:textId="77777777" w:rsidR="00E91985" w:rsidRPr="00C51600" w:rsidRDefault="00E91985">
      <w:r w:rsidRPr="00C516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0B6E" w14:textId="77777777" w:rsidR="00064002" w:rsidRPr="00C516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73A6" w14:textId="77777777" w:rsidR="00064002" w:rsidRPr="00C516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2F7A9" w14:textId="77777777" w:rsidR="00064002" w:rsidRPr="00C516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A1487" w14:textId="77777777" w:rsidR="00E91985" w:rsidRPr="00C51600" w:rsidRDefault="00E91985">
      <w:r w:rsidRPr="00C51600">
        <w:separator/>
      </w:r>
    </w:p>
  </w:footnote>
  <w:footnote w:type="continuationSeparator" w:id="0">
    <w:p w14:paraId="152073FD" w14:textId="77777777" w:rsidR="00E91985" w:rsidRPr="00C51600" w:rsidRDefault="00E91985">
      <w:r w:rsidRPr="00C51600">
        <w:continuationSeparator/>
      </w:r>
    </w:p>
  </w:footnote>
  <w:footnote w:id="1">
    <w:p w14:paraId="44ACE5A2" w14:textId="7FCCA953" w:rsidR="00CE4A85" w:rsidRPr="00C51600" w:rsidRDefault="00CE4A85" w:rsidP="00C51600">
      <w:pPr>
        <w:pStyle w:val="FootnoteText"/>
        <w:ind w:left="567" w:hanging="567"/>
        <w:rPr>
          <w:sz w:val="24"/>
          <w:lang w:val="pt-PT"/>
        </w:rPr>
      </w:pPr>
      <w:r w:rsidRPr="00C51600">
        <w:rPr>
          <w:rStyle w:val="FootnoteReference"/>
          <w:sz w:val="24"/>
          <w:lang w:val="pt-PT"/>
        </w:rPr>
        <w:footnoteRef/>
      </w:r>
      <w:r w:rsidR="00C51600" w:rsidRPr="00C51600">
        <w:rPr>
          <w:sz w:val="24"/>
          <w:lang w:val="pt-PT"/>
        </w:rPr>
        <w:t xml:space="preserve"> </w:t>
      </w:r>
      <w:r w:rsidR="00C51600" w:rsidRPr="00C51600">
        <w:rPr>
          <w:sz w:val="24"/>
          <w:lang w:val="pt-PT"/>
        </w:rPr>
        <w:tab/>
      </w:r>
      <w:r w:rsidRPr="00C51600">
        <w:rPr>
          <w:sz w:val="24"/>
          <w:lang w:val="pt-PT"/>
        </w:rPr>
        <w:t>Acórdão do Tribunal de Justiça de 21 de outubro de 2008, Marra, C</w:t>
      </w:r>
      <w:r w:rsidRPr="00C51600">
        <w:rPr>
          <w:sz w:val="24"/>
          <w:lang w:val="pt-PT"/>
        </w:rPr>
        <w:noBreakHyphen/>
        <w:t>200/07 e C</w:t>
      </w:r>
      <w:r w:rsidRPr="00C51600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C51600">
        <w:rPr>
          <w:sz w:val="24"/>
          <w:lang w:val="pt-PT"/>
        </w:rPr>
        <w:t>Gollnisch</w:t>
      </w:r>
      <w:proofErr w:type="spellEnd"/>
      <w:r w:rsidRPr="00C51600">
        <w:rPr>
          <w:sz w:val="24"/>
          <w:lang w:val="pt-PT"/>
        </w:rPr>
        <w:t>/Parlamento Europeu, T</w:t>
      </w:r>
      <w:r w:rsidRPr="00C51600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C51600">
        <w:rPr>
          <w:sz w:val="24"/>
          <w:lang w:val="pt-PT"/>
        </w:rPr>
        <w:t>Patriciello</w:t>
      </w:r>
      <w:proofErr w:type="spellEnd"/>
      <w:r w:rsidRPr="00C51600">
        <w:rPr>
          <w:sz w:val="24"/>
          <w:lang w:val="pt-PT"/>
        </w:rPr>
        <w:t>, C</w:t>
      </w:r>
      <w:r w:rsidRPr="00C51600">
        <w:rPr>
          <w:sz w:val="24"/>
          <w:lang w:val="pt-PT"/>
        </w:rPr>
        <w:noBreakHyphen/>
        <w:t xml:space="preserve">163/10, ECLI: EU:C:2011:543; Acórdão do Tribunal Geral de 17 de janeiro de 2013, </w:t>
      </w:r>
      <w:proofErr w:type="spellStart"/>
      <w:r w:rsidRPr="00C51600">
        <w:rPr>
          <w:sz w:val="24"/>
          <w:lang w:val="pt-PT"/>
        </w:rPr>
        <w:t>Gollnisch</w:t>
      </w:r>
      <w:proofErr w:type="spellEnd"/>
      <w:r w:rsidRPr="00C51600">
        <w:rPr>
          <w:sz w:val="24"/>
          <w:lang w:val="pt-PT"/>
        </w:rPr>
        <w:t>/Parlamento Europeu, T</w:t>
      </w:r>
      <w:r w:rsidRPr="00C51600">
        <w:rPr>
          <w:sz w:val="24"/>
          <w:lang w:val="pt-PT"/>
        </w:rPr>
        <w:noBreakHyphen/>
        <w:t>346/11 e T</w:t>
      </w:r>
      <w:r w:rsidRPr="00C51600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C51600">
        <w:rPr>
          <w:sz w:val="24"/>
          <w:lang w:val="pt-PT"/>
        </w:rPr>
        <w:t>Junqueras</w:t>
      </w:r>
      <w:proofErr w:type="spellEnd"/>
      <w:r w:rsidRPr="00C51600">
        <w:rPr>
          <w:sz w:val="24"/>
          <w:lang w:val="pt-PT"/>
        </w:rPr>
        <w:t xml:space="preserve"> </w:t>
      </w:r>
      <w:proofErr w:type="spellStart"/>
      <w:r w:rsidRPr="00C51600">
        <w:rPr>
          <w:sz w:val="24"/>
          <w:lang w:val="pt-PT"/>
        </w:rPr>
        <w:t>Vies</w:t>
      </w:r>
      <w:proofErr w:type="spellEnd"/>
      <w:r w:rsidRPr="00C51600">
        <w:rPr>
          <w:sz w:val="24"/>
          <w:lang w:val="pt-PT"/>
        </w:rPr>
        <w:t>, C</w:t>
      </w:r>
      <w:r w:rsidRPr="00C51600">
        <w:rPr>
          <w:sz w:val="24"/>
          <w:lang w:val="pt-PT"/>
        </w:rPr>
        <w:noBreakHyphen/>
        <w:t xml:space="preserve">502/19, ECLI:EU:C:2019:1115; Acórdão do Tribunal Geral de 5 de julho de 2023, </w:t>
      </w:r>
      <w:proofErr w:type="spellStart"/>
      <w:r w:rsidRPr="00C51600">
        <w:rPr>
          <w:sz w:val="24"/>
          <w:lang w:val="pt-PT"/>
        </w:rPr>
        <w:t>Puigdemont</w:t>
      </w:r>
      <w:proofErr w:type="spellEnd"/>
      <w:r w:rsidRPr="00C51600">
        <w:rPr>
          <w:sz w:val="24"/>
          <w:lang w:val="pt-PT"/>
        </w:rPr>
        <w:t xml:space="preserve"> i </w:t>
      </w:r>
      <w:proofErr w:type="spellStart"/>
      <w:r w:rsidRPr="00C51600">
        <w:rPr>
          <w:sz w:val="24"/>
          <w:lang w:val="pt-PT"/>
        </w:rPr>
        <w:t>Casamajó</w:t>
      </w:r>
      <w:proofErr w:type="spellEnd"/>
      <w:r w:rsidRPr="00C51600">
        <w:rPr>
          <w:sz w:val="24"/>
          <w:lang w:val="pt-PT"/>
        </w:rPr>
        <w:t xml:space="preserve"> e o./Parlamento Europeu, T</w:t>
      </w:r>
      <w:r w:rsidRPr="00C51600">
        <w:rPr>
          <w:sz w:val="24"/>
          <w:lang w:val="pt-PT"/>
        </w:rPr>
        <w:noBreakHyphen/>
        <w:t>272/21, ECLI:EU:T:2023:373.</w:t>
      </w:r>
    </w:p>
  </w:footnote>
  <w:footnote w:id="2">
    <w:p w14:paraId="37F26433" w14:textId="42650AAF" w:rsidR="00CE4A85" w:rsidRPr="00C51600" w:rsidRDefault="00CE4A85" w:rsidP="00C51600">
      <w:pPr>
        <w:pStyle w:val="FootnoteText"/>
        <w:ind w:left="567" w:hanging="567"/>
        <w:rPr>
          <w:sz w:val="24"/>
          <w:lang w:val="pt-PT"/>
        </w:rPr>
      </w:pPr>
      <w:r w:rsidRPr="00C51600">
        <w:rPr>
          <w:rStyle w:val="FootnoteReference"/>
          <w:sz w:val="24"/>
          <w:lang w:val="pt-PT"/>
        </w:rPr>
        <w:footnoteRef/>
      </w:r>
      <w:r w:rsidR="00C51600" w:rsidRPr="00C51600">
        <w:rPr>
          <w:sz w:val="24"/>
          <w:lang w:val="pt-PT"/>
        </w:rPr>
        <w:t xml:space="preserve"> </w:t>
      </w:r>
      <w:r w:rsidR="00C51600" w:rsidRPr="00C51600">
        <w:rPr>
          <w:sz w:val="24"/>
          <w:lang w:val="pt-PT"/>
        </w:rPr>
        <w:tab/>
      </w:r>
      <w:r w:rsidRPr="00C51600">
        <w:rPr>
          <w:sz w:val="24"/>
          <w:lang w:val="pt-PT"/>
        </w:rPr>
        <w:t xml:space="preserve">Acórdão do Tribunal Geral de 17 de janeiro de 2013, </w:t>
      </w:r>
      <w:proofErr w:type="spellStart"/>
      <w:r w:rsidRPr="00C51600">
        <w:rPr>
          <w:sz w:val="24"/>
          <w:lang w:val="pt-PT"/>
        </w:rPr>
        <w:t>Gollnisch</w:t>
      </w:r>
      <w:proofErr w:type="spellEnd"/>
      <w:r w:rsidRPr="00C51600">
        <w:rPr>
          <w:sz w:val="24"/>
          <w:lang w:val="pt-PT"/>
        </w:rPr>
        <w:t>/Parlamento Europeu, T</w:t>
      </w:r>
      <w:r w:rsidRPr="00C51600">
        <w:rPr>
          <w:sz w:val="24"/>
          <w:lang w:val="pt-PT"/>
        </w:rPr>
        <w:noBreakHyphen/>
        <w:t>346/11 e T</w:t>
      </w:r>
      <w:r w:rsidRPr="00C51600">
        <w:rPr>
          <w:sz w:val="24"/>
          <w:lang w:val="pt-PT"/>
        </w:rPr>
        <w:noBreakHyphen/>
        <w:t>347/11, ECLI:</w:t>
      </w:r>
      <w:proofErr w:type="gramStart"/>
      <w:r w:rsidRPr="00C51600">
        <w:rPr>
          <w:sz w:val="24"/>
          <w:lang w:val="pt-PT"/>
        </w:rPr>
        <w:t>EU:T</w:t>
      </w:r>
      <w:proofErr w:type="gramEnd"/>
      <w:r w:rsidRPr="00C51600">
        <w:rPr>
          <w:sz w:val="24"/>
          <w:lang w:val="pt-PT"/>
        </w:rPr>
        <w:t>:2013:23, n.º 59 e jurisprudência citada.</w:t>
      </w:r>
    </w:p>
  </w:footnote>
  <w:footnote w:id="3">
    <w:p w14:paraId="68FAC507" w14:textId="7472D9B4" w:rsidR="00CE4A85" w:rsidRPr="00C51600" w:rsidRDefault="00CE4A85" w:rsidP="00C51600">
      <w:pPr>
        <w:pStyle w:val="FootnoteText"/>
        <w:ind w:left="567" w:hanging="567"/>
        <w:rPr>
          <w:sz w:val="24"/>
          <w:lang w:val="pt-PT"/>
        </w:rPr>
      </w:pPr>
      <w:r w:rsidRPr="00C51600">
        <w:rPr>
          <w:rStyle w:val="FootnoteReference"/>
          <w:sz w:val="24"/>
          <w:lang w:val="pt-PT"/>
        </w:rPr>
        <w:footnoteRef/>
      </w:r>
      <w:r w:rsidR="00C51600" w:rsidRPr="00C51600">
        <w:rPr>
          <w:sz w:val="24"/>
          <w:lang w:val="pt-PT"/>
        </w:rPr>
        <w:t xml:space="preserve"> </w:t>
      </w:r>
      <w:r w:rsidR="00C51600" w:rsidRPr="00C51600">
        <w:rPr>
          <w:sz w:val="24"/>
          <w:lang w:val="pt-PT"/>
        </w:rPr>
        <w:tab/>
      </w:r>
      <w:r w:rsidRPr="00C51600">
        <w:rPr>
          <w:sz w:val="24"/>
          <w:lang w:val="pt-PT"/>
        </w:rPr>
        <w:t xml:space="preserve">Acórdão do Tribunal de Justiça de 17 de setembro de 2020, </w:t>
      </w:r>
      <w:proofErr w:type="spellStart"/>
      <w:r w:rsidRPr="00C51600">
        <w:rPr>
          <w:sz w:val="24"/>
          <w:lang w:val="pt-PT"/>
        </w:rPr>
        <w:t>Troszczynski</w:t>
      </w:r>
      <w:proofErr w:type="spellEnd"/>
      <w:r w:rsidRPr="00C51600">
        <w:rPr>
          <w:sz w:val="24"/>
          <w:lang w:val="pt-PT"/>
        </w:rPr>
        <w:t>/Parlamento Europeu, C</w:t>
      </w:r>
      <w:r w:rsidRPr="00C51600">
        <w:rPr>
          <w:sz w:val="24"/>
          <w:lang w:val="pt-PT"/>
        </w:rPr>
        <w:noBreakHyphen/>
        <w:t>12/19, ECLI:EU:C:2020:725, n.º 26.</w:t>
      </w:r>
    </w:p>
  </w:footnote>
  <w:footnote w:id="4">
    <w:p w14:paraId="776588D6" w14:textId="058D9FBA" w:rsidR="00CE4A85" w:rsidRPr="00C51600" w:rsidRDefault="00CE4A85" w:rsidP="00C51600">
      <w:pPr>
        <w:pStyle w:val="FootnoteText"/>
        <w:ind w:left="567" w:hanging="567"/>
        <w:rPr>
          <w:sz w:val="24"/>
          <w:lang w:val="pt-PT"/>
        </w:rPr>
      </w:pPr>
      <w:r w:rsidRPr="00C51600">
        <w:rPr>
          <w:rStyle w:val="FootnoteReference"/>
          <w:sz w:val="24"/>
          <w:lang w:val="pt-PT"/>
        </w:rPr>
        <w:footnoteRef/>
      </w:r>
      <w:r w:rsidR="00C51600" w:rsidRPr="00C51600">
        <w:rPr>
          <w:sz w:val="24"/>
          <w:lang w:val="pt-PT"/>
        </w:rPr>
        <w:t xml:space="preserve"> </w:t>
      </w:r>
      <w:r w:rsidR="00C51600" w:rsidRPr="00C51600">
        <w:rPr>
          <w:sz w:val="24"/>
          <w:lang w:val="pt-PT"/>
        </w:rPr>
        <w:tab/>
      </w:r>
      <w:r w:rsidRPr="00C51600">
        <w:rPr>
          <w:sz w:val="24"/>
          <w:lang w:val="pt-PT"/>
        </w:rPr>
        <w:t xml:space="preserve">Acórdão do Tribunal Geral de 30 de abril de 2019, </w:t>
      </w:r>
      <w:proofErr w:type="spellStart"/>
      <w:r w:rsidRPr="00C51600">
        <w:rPr>
          <w:sz w:val="24"/>
          <w:lang w:val="pt-PT"/>
        </w:rPr>
        <w:t>Briois</w:t>
      </w:r>
      <w:proofErr w:type="spellEnd"/>
      <w:r w:rsidRPr="00C51600">
        <w:rPr>
          <w:sz w:val="24"/>
          <w:lang w:val="pt-PT"/>
        </w:rPr>
        <w:t>/Parlamento Europeu, T</w:t>
      </w:r>
      <w:r w:rsidRPr="00C51600">
        <w:rPr>
          <w:sz w:val="24"/>
          <w:lang w:val="pt-PT"/>
        </w:rPr>
        <w:noBreakHyphen/>
        <w:t>214/18, ECLI:</w:t>
      </w:r>
      <w:proofErr w:type="gramStart"/>
      <w:r w:rsidRPr="00C51600">
        <w:rPr>
          <w:sz w:val="24"/>
          <w:lang w:val="pt-PT"/>
        </w:rPr>
        <w:t>EU:T</w:t>
      </w:r>
      <w:proofErr w:type="gramEnd"/>
      <w:r w:rsidRPr="00C51600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D8F2F" w14:textId="77777777" w:rsidR="00064002" w:rsidRPr="00C516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D1FC3" w14:textId="77777777" w:rsidR="00064002" w:rsidRPr="00C516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130CD" w14:textId="77777777" w:rsidR="00064002" w:rsidRPr="00C516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6539625">
    <w:abstractNumId w:val="9"/>
  </w:num>
  <w:num w:numId="2" w16cid:durableId="59714500">
    <w:abstractNumId w:val="9"/>
  </w:num>
  <w:num w:numId="3" w16cid:durableId="410350054">
    <w:abstractNumId w:val="7"/>
  </w:num>
  <w:num w:numId="4" w16cid:durableId="1100880029">
    <w:abstractNumId w:val="7"/>
  </w:num>
  <w:num w:numId="5" w16cid:durableId="1805192811">
    <w:abstractNumId w:val="6"/>
  </w:num>
  <w:num w:numId="6" w16cid:durableId="2092697510">
    <w:abstractNumId w:val="6"/>
  </w:num>
  <w:num w:numId="7" w16cid:durableId="1476723325">
    <w:abstractNumId w:val="5"/>
  </w:num>
  <w:num w:numId="8" w16cid:durableId="350028930">
    <w:abstractNumId w:val="5"/>
  </w:num>
  <w:num w:numId="9" w16cid:durableId="1476751432">
    <w:abstractNumId w:val="4"/>
  </w:num>
  <w:num w:numId="10" w16cid:durableId="1384982794">
    <w:abstractNumId w:val="4"/>
  </w:num>
  <w:num w:numId="11" w16cid:durableId="1403410343">
    <w:abstractNumId w:val="8"/>
  </w:num>
  <w:num w:numId="12" w16cid:durableId="867178055">
    <w:abstractNumId w:val="8"/>
  </w:num>
  <w:num w:numId="13" w16cid:durableId="1854103340">
    <w:abstractNumId w:val="3"/>
  </w:num>
  <w:num w:numId="14" w16cid:durableId="1805125069">
    <w:abstractNumId w:val="3"/>
  </w:num>
  <w:num w:numId="15" w16cid:durableId="2004232962">
    <w:abstractNumId w:val="2"/>
  </w:num>
  <w:num w:numId="16" w16cid:durableId="1685744673">
    <w:abstractNumId w:val="2"/>
  </w:num>
  <w:num w:numId="17" w16cid:durableId="294335124">
    <w:abstractNumId w:val="1"/>
  </w:num>
  <w:num w:numId="18" w16cid:durableId="1136681442">
    <w:abstractNumId w:val="1"/>
  </w:num>
  <w:num w:numId="19" w16cid:durableId="512577310">
    <w:abstractNumId w:val="0"/>
  </w:num>
  <w:num w:numId="20" w16cid:durableId="64762839">
    <w:abstractNumId w:val="0"/>
  </w:num>
  <w:num w:numId="21" w16cid:durableId="1830905257">
    <w:abstractNumId w:val="9"/>
  </w:num>
  <w:num w:numId="22" w16cid:durableId="964232373">
    <w:abstractNumId w:val="7"/>
  </w:num>
  <w:num w:numId="23" w16cid:durableId="566306706">
    <w:abstractNumId w:val="6"/>
  </w:num>
  <w:num w:numId="24" w16cid:durableId="1920017402">
    <w:abstractNumId w:val="5"/>
  </w:num>
  <w:num w:numId="25" w16cid:durableId="354959826">
    <w:abstractNumId w:val="4"/>
  </w:num>
  <w:num w:numId="26" w16cid:durableId="1256399787">
    <w:abstractNumId w:val="8"/>
  </w:num>
  <w:num w:numId="27" w16cid:durableId="891963311">
    <w:abstractNumId w:val="3"/>
  </w:num>
  <w:num w:numId="28" w16cid:durableId="546188399">
    <w:abstractNumId w:val="2"/>
  </w:num>
  <w:num w:numId="29" w16cid:durableId="480315169">
    <w:abstractNumId w:val="1"/>
  </w:num>
  <w:num w:numId="30" w16cid:durableId="677927529">
    <w:abstractNumId w:val="0"/>
  </w:num>
  <w:num w:numId="31" w16cid:durableId="39669946">
    <w:abstractNumId w:val="9"/>
  </w:num>
  <w:num w:numId="32" w16cid:durableId="716123785">
    <w:abstractNumId w:val="7"/>
  </w:num>
  <w:num w:numId="33" w16cid:durableId="1337658565">
    <w:abstractNumId w:val="6"/>
  </w:num>
  <w:num w:numId="34" w16cid:durableId="996541335">
    <w:abstractNumId w:val="5"/>
  </w:num>
  <w:num w:numId="35" w16cid:durableId="919367190">
    <w:abstractNumId w:val="4"/>
  </w:num>
  <w:num w:numId="36" w16cid:durableId="647629832">
    <w:abstractNumId w:val="8"/>
  </w:num>
  <w:num w:numId="37" w16cid:durableId="1951400573">
    <w:abstractNumId w:val="3"/>
  </w:num>
  <w:num w:numId="38" w16cid:durableId="742677090">
    <w:abstractNumId w:val="2"/>
  </w:num>
  <w:num w:numId="39" w16cid:durableId="789712191">
    <w:abstractNumId w:val="1"/>
  </w:num>
  <w:num w:numId="40" w16cid:durableId="957687478">
    <w:abstractNumId w:val="0"/>
  </w:num>
  <w:num w:numId="41" w16cid:durableId="1518159533">
    <w:abstractNumId w:val="10"/>
  </w:num>
  <w:num w:numId="42" w16cid:durableId="1379207480">
    <w:abstractNumId w:val="10"/>
  </w:num>
  <w:num w:numId="43" w16cid:durableId="1724527269">
    <w:abstractNumId w:val="10"/>
  </w:num>
  <w:num w:numId="44" w16cid:durableId="1211765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PT"/>
    <w:docVar w:name="dvnumam" w:val="0"/>
    <w:docVar w:name="dvpe" w:val="775.580"/>
    <w:docVar w:name="dvrapporteur" w:val="Relator: "/>
    <w:docVar w:name="dvtitre" w:val="Decisão do Parlamento Europeu, de ... de ... de 2025,_x000d__x000a_ sobre o pedido de levantamento da imunidade de Péter Magyar(2025/2096(IMM))"/>
  </w:docVars>
  <w:rsids>
    <w:rsidRoot w:val="00E91985"/>
    <w:rsid w:val="00002272"/>
    <w:rsid w:val="00054B41"/>
    <w:rsid w:val="00064002"/>
    <w:rsid w:val="000677B9"/>
    <w:rsid w:val="000831BA"/>
    <w:rsid w:val="000A42CC"/>
    <w:rsid w:val="000E7DD9"/>
    <w:rsid w:val="0010095E"/>
    <w:rsid w:val="00125B37"/>
    <w:rsid w:val="001773EC"/>
    <w:rsid w:val="00187494"/>
    <w:rsid w:val="001C0D66"/>
    <w:rsid w:val="001E6071"/>
    <w:rsid w:val="001F32AE"/>
    <w:rsid w:val="002634DE"/>
    <w:rsid w:val="002767FF"/>
    <w:rsid w:val="002807FD"/>
    <w:rsid w:val="002B18FE"/>
    <w:rsid w:val="002B5493"/>
    <w:rsid w:val="00343214"/>
    <w:rsid w:val="00361C00"/>
    <w:rsid w:val="00395FA1"/>
    <w:rsid w:val="003E15D4"/>
    <w:rsid w:val="003E4FE0"/>
    <w:rsid w:val="003F3E39"/>
    <w:rsid w:val="00411CCE"/>
    <w:rsid w:val="0041666E"/>
    <w:rsid w:val="00421060"/>
    <w:rsid w:val="00471C19"/>
    <w:rsid w:val="004867E3"/>
    <w:rsid w:val="00494A28"/>
    <w:rsid w:val="004C0004"/>
    <w:rsid w:val="004C5D52"/>
    <w:rsid w:val="004D500C"/>
    <w:rsid w:val="0050519A"/>
    <w:rsid w:val="005072A1"/>
    <w:rsid w:val="00511329"/>
    <w:rsid w:val="00514517"/>
    <w:rsid w:val="00545827"/>
    <w:rsid w:val="00560270"/>
    <w:rsid w:val="005C2568"/>
    <w:rsid w:val="005C333A"/>
    <w:rsid w:val="005E59B9"/>
    <w:rsid w:val="005F1B17"/>
    <w:rsid w:val="006037C0"/>
    <w:rsid w:val="00616539"/>
    <w:rsid w:val="006631B6"/>
    <w:rsid w:val="00680577"/>
    <w:rsid w:val="006F74FA"/>
    <w:rsid w:val="00724961"/>
    <w:rsid w:val="00731ADD"/>
    <w:rsid w:val="00734777"/>
    <w:rsid w:val="00741BDC"/>
    <w:rsid w:val="00747932"/>
    <w:rsid w:val="00751A4A"/>
    <w:rsid w:val="00751D78"/>
    <w:rsid w:val="00756632"/>
    <w:rsid w:val="00762C74"/>
    <w:rsid w:val="00786EC0"/>
    <w:rsid w:val="007D1105"/>
    <w:rsid w:val="007D1690"/>
    <w:rsid w:val="007E22AD"/>
    <w:rsid w:val="00817416"/>
    <w:rsid w:val="00842779"/>
    <w:rsid w:val="008518C9"/>
    <w:rsid w:val="00865F67"/>
    <w:rsid w:val="00881A7B"/>
    <w:rsid w:val="008840E5"/>
    <w:rsid w:val="00887B3E"/>
    <w:rsid w:val="008C2AC6"/>
    <w:rsid w:val="008D72F4"/>
    <w:rsid w:val="00924DD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59E2"/>
    <w:rsid w:val="00B57FE8"/>
    <w:rsid w:val="00BD48FE"/>
    <w:rsid w:val="00BD7BD8"/>
    <w:rsid w:val="00BE6ADC"/>
    <w:rsid w:val="00C05BFE"/>
    <w:rsid w:val="00C13C03"/>
    <w:rsid w:val="00C23CD4"/>
    <w:rsid w:val="00C51600"/>
    <w:rsid w:val="00C61C0C"/>
    <w:rsid w:val="00C941CB"/>
    <w:rsid w:val="00CC2357"/>
    <w:rsid w:val="00CE4A85"/>
    <w:rsid w:val="00CF071A"/>
    <w:rsid w:val="00D058B8"/>
    <w:rsid w:val="00D56C11"/>
    <w:rsid w:val="00D834A0"/>
    <w:rsid w:val="00D872DF"/>
    <w:rsid w:val="00D91E21"/>
    <w:rsid w:val="00DA7FCD"/>
    <w:rsid w:val="00DE7DBD"/>
    <w:rsid w:val="00E365E1"/>
    <w:rsid w:val="00E44A4C"/>
    <w:rsid w:val="00E820A4"/>
    <w:rsid w:val="00E91985"/>
    <w:rsid w:val="00EB006A"/>
    <w:rsid w:val="00EB4772"/>
    <w:rsid w:val="00ED169E"/>
    <w:rsid w:val="00ED4235"/>
    <w:rsid w:val="00EE7979"/>
    <w:rsid w:val="00F04346"/>
    <w:rsid w:val="00F075DC"/>
    <w:rsid w:val="00F149E9"/>
    <w:rsid w:val="00F14DA6"/>
    <w:rsid w:val="00F30F82"/>
    <w:rsid w:val="00F44D1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DA6A6"/>
  <w15:chartTrackingRefBased/>
  <w15:docId w15:val="{3B4492FB-C65E-4280-985D-D5F6C36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E4A85"/>
    <w:pPr>
      <w:spacing w:after="240"/>
      <w:ind w:left="567" w:hanging="567"/>
    </w:pPr>
  </w:style>
  <w:style w:type="paragraph" w:customStyle="1" w:styleId="EPComma">
    <w:name w:val="EPComma"/>
    <w:basedOn w:val="Normal"/>
    <w:rsid w:val="00CE4A85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CE4A85"/>
  </w:style>
  <w:style w:type="paragraph" w:customStyle="1" w:styleId="doceo-line-height-base">
    <w:name w:val="doceo-line-height-base"/>
    <w:basedOn w:val="Normal"/>
    <w:rsid w:val="00CE4A85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EE7979"/>
    <w:rPr>
      <w:sz w:val="24"/>
      <w:lang w:val="pt-PT"/>
    </w:rPr>
  </w:style>
  <w:style w:type="character" w:styleId="CommentReference">
    <w:name w:val="annotation reference"/>
    <w:basedOn w:val="DefaultParagraphFont"/>
    <w:rsid w:val="006165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65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653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16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6539"/>
    <w:rPr>
      <w:b/>
      <w:bCs/>
      <w:lang w:val="pt-PT"/>
    </w:rPr>
  </w:style>
  <w:style w:type="character" w:styleId="Hyperlink">
    <w:name w:val="Hyperlink"/>
    <w:basedOn w:val="DefaultParagraphFont"/>
    <w:rsid w:val="006165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5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D50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1188</Words>
  <Characters>6242</Characters>
  <Application>Microsoft Office Word</Application>
  <DocSecurity>0</DocSecurity>
  <Lines>178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2025-10-07T12:30:00Z</dcterms:created>
  <dcterms:modified xsi:type="dcterms:W3CDTF">2025-10-07T12:30:00Z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A10-0182/2025</vt:lpwstr>
  </property>
  <property fmtid="{D5CDD505-2E9C-101B-9397-08002B2CF9AE}" pid="4" name="&lt;Type&gt;">
    <vt:lpwstr>RR</vt:lpwstr>
  </property>
</Properties>
</file>